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theme/themeOverride1.xml" ContentType="application/vnd.openxmlformats-officedocument.themeOverride+xml"/>
  <Override PartName="/word/charts/chart4.xml" ContentType="application/vnd.openxmlformats-officedocument.drawingml.chart+xml"/>
  <Override PartName="/word/theme/themeOverride2.xml" ContentType="application/vnd.openxmlformats-officedocument.themeOverride+xml"/>
  <Override PartName="/word/charts/chart5.xml" ContentType="application/vnd.openxmlformats-officedocument.drawingml.chart+xml"/>
  <Override PartName="/word/theme/themeOverride3.xml" ContentType="application/vnd.openxmlformats-officedocument.themeOverride+xml"/>
  <Override PartName="/word/charts/chart6.xml" ContentType="application/vnd.openxmlformats-officedocument.drawingml.chart+xml"/>
  <Override PartName="/word/theme/themeOverride4.xml" ContentType="application/vnd.openxmlformats-officedocument.themeOverride+xml"/>
  <Override PartName="/word/charts/chart7.xml" ContentType="application/vnd.openxmlformats-officedocument.drawingml.chart+xml"/>
  <Override PartName="/word/theme/themeOverride5.xml" ContentType="application/vnd.openxmlformats-officedocument.themeOverride+xml"/>
  <Override PartName="/word/charts/chart8.xml" ContentType="application/vnd.openxmlformats-officedocument.drawingml.chart+xml"/>
  <Override PartName="/word/theme/themeOverride6.xml" ContentType="application/vnd.openxmlformats-officedocument.themeOverride+xml"/>
  <Override PartName="/word/charts/chart9.xml" ContentType="application/vnd.openxmlformats-officedocument.drawingml.chart+xml"/>
  <Override PartName="/word/theme/themeOverride7.xml" ContentType="application/vnd.openxmlformats-officedocument.themeOverride+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F86A941" w14:textId="7B7D7789" w:rsidR="00445A56" w:rsidRPr="006070EA" w:rsidRDefault="005521B1" w:rsidP="009E07E1">
      <w:pPr>
        <w:tabs>
          <w:tab w:val="left" w:pos="3570"/>
        </w:tabs>
        <w:spacing w:line="240" w:lineRule="auto"/>
        <w:rPr>
          <w:rFonts w:asciiTheme="majorHAnsi" w:hAnsiTheme="majorHAnsi" w:cstheme="majorHAnsi"/>
          <w:color w:val="FF0000"/>
        </w:rPr>
      </w:pPr>
      <w:r w:rsidRPr="006070EA">
        <w:rPr>
          <w:rFonts w:asciiTheme="majorHAnsi" w:hAnsiTheme="majorHAnsi" w:cstheme="majorHAnsi"/>
          <w:noProof/>
          <w:color w:val="FF0000"/>
          <w:lang w:eastAsia="cs-CZ"/>
        </w:rPr>
        <w:drawing>
          <wp:inline distT="0" distB="0" distL="0" distR="0" wp14:anchorId="7B38DD82" wp14:editId="0CEB7B0E">
            <wp:extent cx="5760720" cy="3853180"/>
            <wp:effectExtent l="0" t="0" r="0" b="0"/>
            <wp:docPr id="16" name="Obráze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www.slatinanz.cz/www/obecslatinanadzdobnici/fs/wrs-galerie/slatina/slatina12.jpg"/>
                    <pic:cNvPicPr>
                      <a:picLocks noChangeAspect="1" noChangeArrowheads="1"/>
                    </pic:cNvPicPr>
                  </pic:nvPicPr>
                  <pic:blipFill>
                    <a:blip r:embed="rId8" cstate="print">
                      <a:alphaModFix amt="50000"/>
                      <a:extLst>
                        <a:ext uri="{BEBA8EAE-BF5A-486C-A8C5-ECC9F3942E4B}">
                          <a14:imgProps xmlns:a14="http://schemas.microsoft.com/office/drawing/2010/main">
                            <a14:imgLayer r:embed="rId9">
                              <a14:imgEffect>
                                <a14:saturation sat="0"/>
                              </a14:imgEffect>
                            </a14:imgLayer>
                          </a14:imgProps>
                        </a:ext>
                        <a:ext uri="{28A0092B-C50C-407E-A947-70E740481C1C}">
                          <a14:useLocalDpi xmlns:a14="http://schemas.microsoft.com/office/drawing/2010/main" val="0"/>
                        </a:ext>
                      </a:extLst>
                    </a:blip>
                    <a:stretch>
                      <a:fillRect/>
                    </a:stretch>
                  </pic:blipFill>
                  <pic:spPr bwMode="auto">
                    <a:xfrm>
                      <a:off x="0" y="0"/>
                      <a:ext cx="5760720" cy="3853180"/>
                    </a:xfrm>
                    <a:prstGeom prst="rect">
                      <a:avLst/>
                    </a:prstGeom>
                    <a:noFill/>
                    <a:ln>
                      <a:noFill/>
                    </a:ln>
                    <a:effectLst>
                      <a:glow>
                        <a:schemeClr val="accent1"/>
                      </a:glow>
                      <a:outerShdw dist="50800" sx="1000" sy="1000" algn="ctr" rotWithShape="0">
                        <a:srgbClr val="000000">
                          <a:alpha val="50000"/>
                        </a:srgbClr>
                      </a:outerShdw>
                      <a:softEdge rad="165100"/>
                    </a:effectLst>
                  </pic:spPr>
                </pic:pic>
              </a:graphicData>
            </a:graphic>
          </wp:inline>
        </w:drawing>
      </w:r>
    </w:p>
    <w:p w14:paraId="5C17ED04" w14:textId="0F6289D5" w:rsidR="00C227EC" w:rsidRPr="006070EA" w:rsidRDefault="00C227EC" w:rsidP="009E07E1">
      <w:pPr>
        <w:tabs>
          <w:tab w:val="left" w:pos="3570"/>
        </w:tabs>
        <w:spacing w:line="240" w:lineRule="auto"/>
        <w:rPr>
          <w:rFonts w:asciiTheme="majorHAnsi" w:hAnsiTheme="majorHAnsi" w:cstheme="majorHAnsi"/>
          <w:color w:val="FF0000"/>
        </w:rPr>
      </w:pPr>
    </w:p>
    <w:p w14:paraId="524E73D0" w14:textId="379DEBEA" w:rsidR="005521B1" w:rsidRPr="006070EA" w:rsidRDefault="005521B1" w:rsidP="009E07E1">
      <w:pPr>
        <w:tabs>
          <w:tab w:val="left" w:pos="3570"/>
        </w:tabs>
        <w:spacing w:line="240" w:lineRule="auto"/>
        <w:rPr>
          <w:rFonts w:asciiTheme="majorHAnsi" w:hAnsiTheme="majorHAnsi" w:cstheme="majorHAnsi"/>
          <w:color w:val="FF0000"/>
        </w:rPr>
      </w:pPr>
    </w:p>
    <w:p w14:paraId="40703697" w14:textId="77777777" w:rsidR="005521B1" w:rsidRPr="006070EA" w:rsidRDefault="005521B1" w:rsidP="009E07E1">
      <w:pPr>
        <w:tabs>
          <w:tab w:val="left" w:pos="3570"/>
        </w:tabs>
        <w:spacing w:line="240" w:lineRule="auto"/>
        <w:rPr>
          <w:rFonts w:asciiTheme="majorHAnsi" w:hAnsiTheme="majorHAnsi" w:cstheme="majorHAnsi"/>
          <w:color w:val="FF0000"/>
        </w:rPr>
      </w:pPr>
    </w:p>
    <w:p w14:paraId="3BEE327A" w14:textId="77777777" w:rsidR="00206D0F" w:rsidRPr="006070EA" w:rsidRDefault="00206D0F" w:rsidP="009E07E1">
      <w:pPr>
        <w:tabs>
          <w:tab w:val="left" w:pos="3570"/>
        </w:tabs>
        <w:spacing w:line="240" w:lineRule="auto"/>
        <w:rPr>
          <w:rFonts w:asciiTheme="majorHAnsi" w:hAnsiTheme="majorHAnsi" w:cstheme="majorHAnsi"/>
          <w:color w:val="FF0000"/>
        </w:rPr>
      </w:pPr>
    </w:p>
    <w:p w14:paraId="3C134019" w14:textId="77777777" w:rsidR="006C454C" w:rsidRPr="006070EA" w:rsidRDefault="006C454C" w:rsidP="009E07E1">
      <w:pPr>
        <w:tabs>
          <w:tab w:val="left" w:pos="3570"/>
        </w:tabs>
        <w:spacing w:line="240" w:lineRule="auto"/>
        <w:rPr>
          <w:rFonts w:asciiTheme="majorHAnsi" w:hAnsiTheme="majorHAnsi" w:cstheme="majorHAnsi"/>
          <w:color w:val="FF0000"/>
        </w:rPr>
      </w:pPr>
    </w:p>
    <w:p w14:paraId="78CAFA80" w14:textId="77777777" w:rsidR="00552A32" w:rsidRDefault="00552A32" w:rsidP="00552A32">
      <w:r>
        <w:rPr>
          <w:noProof/>
        </w:rPr>
        <w:drawing>
          <wp:inline distT="0" distB="0" distL="0" distR="0" wp14:anchorId="726AD461" wp14:editId="07629084">
            <wp:extent cx="2028825" cy="438420"/>
            <wp:effectExtent l="0" t="0" r="0" b="0"/>
            <wp:docPr id="1488677389" name="Obrázek 1" descr="Obsah obrázku Grafika, Barevnost, kruh, grafický design&#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8677389" name="Obrázek 1" descr="Obsah obrázku Grafika, Barevnost, kruh, grafický design&#10;&#10;Obsah generovaný pomocí AI může být nesprávný."/>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082658" cy="450053"/>
                    </a:xfrm>
                    <a:prstGeom prst="rect">
                      <a:avLst/>
                    </a:prstGeom>
                    <a:noFill/>
                  </pic:spPr>
                </pic:pic>
              </a:graphicData>
            </a:graphic>
          </wp:inline>
        </w:drawing>
      </w:r>
      <w:r w:rsidRPr="00DC3AB7">
        <w:t xml:space="preserve"> </w:t>
      </w:r>
    </w:p>
    <w:p w14:paraId="1DF8F20E" w14:textId="77777777" w:rsidR="00552A32" w:rsidRPr="00DC3AB7" w:rsidRDefault="00552A32" w:rsidP="00552A32">
      <w:pPr>
        <w:rPr>
          <w:sz w:val="24"/>
          <w:szCs w:val="24"/>
        </w:rPr>
      </w:pPr>
      <w:r w:rsidRPr="00DC3AB7">
        <w:rPr>
          <w:sz w:val="24"/>
          <w:szCs w:val="24"/>
        </w:rPr>
        <w:t>Územní plán obce Kostomlaty nad Labem byl spolufinancován z prostředků státního rozpočtu ČR, z programu Ministerstva pro místní rozvoj ČR</w:t>
      </w:r>
    </w:p>
    <w:p w14:paraId="363288C3" w14:textId="77777777" w:rsidR="00076FBB" w:rsidRPr="006070EA" w:rsidRDefault="00076FBB" w:rsidP="00EF06C2">
      <w:pPr>
        <w:tabs>
          <w:tab w:val="left" w:pos="3570"/>
        </w:tabs>
        <w:spacing w:line="240" w:lineRule="auto"/>
        <w:jc w:val="right"/>
        <w:rPr>
          <w:rFonts w:asciiTheme="majorHAnsi" w:hAnsiTheme="majorHAnsi" w:cstheme="majorHAnsi"/>
          <w:b/>
          <w:color w:val="FF0000"/>
          <w:sz w:val="10"/>
          <w:szCs w:val="10"/>
        </w:rPr>
      </w:pPr>
    </w:p>
    <w:tbl>
      <w:tblPr>
        <w:tblStyle w:val="Mkatabulky"/>
        <w:tblW w:w="0" w:type="auto"/>
        <w:jc w:val="center"/>
        <w:tblLayout w:type="fixed"/>
        <w:tblLook w:val="04A0" w:firstRow="1" w:lastRow="0" w:firstColumn="1" w:lastColumn="0" w:noHBand="0" w:noVBand="1"/>
      </w:tblPr>
      <w:tblGrid>
        <w:gridCol w:w="2093"/>
        <w:gridCol w:w="5670"/>
        <w:gridCol w:w="1299"/>
      </w:tblGrid>
      <w:tr w:rsidR="00734352" w:rsidRPr="006070EA" w14:paraId="2CAA5327" w14:textId="77777777" w:rsidTr="00F44A32">
        <w:trPr>
          <w:jc w:val="center"/>
        </w:trPr>
        <w:tc>
          <w:tcPr>
            <w:tcW w:w="9062" w:type="dxa"/>
            <w:gridSpan w:val="3"/>
            <w:tcBorders>
              <w:top w:val="nil"/>
              <w:left w:val="nil"/>
              <w:bottom w:val="single" w:sz="12" w:space="0" w:color="auto"/>
              <w:right w:val="nil"/>
            </w:tcBorders>
            <w:shd w:val="clear" w:color="auto" w:fill="F2F2F2" w:themeFill="background1" w:themeFillShade="F2"/>
          </w:tcPr>
          <w:p w14:paraId="0CD6EF63" w14:textId="0CB24F7A" w:rsidR="00323335" w:rsidRPr="006070EA" w:rsidRDefault="00F44A32" w:rsidP="00E5190B">
            <w:pPr>
              <w:tabs>
                <w:tab w:val="left" w:pos="3570"/>
              </w:tabs>
              <w:spacing w:before="60" w:after="60"/>
              <w:rPr>
                <w:rFonts w:asciiTheme="majorHAnsi" w:hAnsiTheme="majorHAnsi" w:cstheme="majorHAnsi"/>
                <w:b/>
                <w:sz w:val="36"/>
              </w:rPr>
            </w:pPr>
            <w:r w:rsidRPr="006070EA">
              <w:rPr>
                <w:rFonts w:asciiTheme="majorHAnsi" w:hAnsiTheme="majorHAnsi" w:cstheme="majorHAnsi"/>
                <w:b/>
                <w:sz w:val="36"/>
              </w:rPr>
              <w:t xml:space="preserve">ODŮVODNĚNÍ </w:t>
            </w:r>
            <w:r w:rsidR="00323335" w:rsidRPr="006070EA">
              <w:rPr>
                <w:rFonts w:asciiTheme="majorHAnsi" w:hAnsiTheme="majorHAnsi" w:cstheme="majorHAnsi"/>
                <w:b/>
                <w:sz w:val="36"/>
              </w:rPr>
              <w:t>ÚZEMNÍ</w:t>
            </w:r>
            <w:r w:rsidRPr="006070EA">
              <w:rPr>
                <w:rFonts w:asciiTheme="majorHAnsi" w:hAnsiTheme="majorHAnsi" w:cstheme="majorHAnsi"/>
                <w:b/>
                <w:sz w:val="36"/>
              </w:rPr>
              <w:t>HO</w:t>
            </w:r>
            <w:r w:rsidR="00323335" w:rsidRPr="006070EA">
              <w:rPr>
                <w:rFonts w:asciiTheme="majorHAnsi" w:hAnsiTheme="majorHAnsi" w:cstheme="majorHAnsi"/>
                <w:b/>
                <w:sz w:val="36"/>
              </w:rPr>
              <w:t xml:space="preserve"> PLÁN</w:t>
            </w:r>
            <w:r w:rsidRPr="006070EA">
              <w:rPr>
                <w:rFonts w:asciiTheme="majorHAnsi" w:hAnsiTheme="majorHAnsi" w:cstheme="majorHAnsi"/>
                <w:b/>
                <w:sz w:val="36"/>
              </w:rPr>
              <w:t>U</w:t>
            </w:r>
            <w:r w:rsidR="00323335" w:rsidRPr="006070EA">
              <w:rPr>
                <w:rFonts w:asciiTheme="majorHAnsi" w:hAnsiTheme="majorHAnsi" w:cstheme="majorHAnsi"/>
                <w:b/>
                <w:sz w:val="36"/>
              </w:rPr>
              <w:t xml:space="preserve"> </w:t>
            </w:r>
            <w:r w:rsidR="00B158F2" w:rsidRPr="006070EA">
              <w:rPr>
                <w:rFonts w:asciiTheme="majorHAnsi" w:hAnsiTheme="majorHAnsi" w:cstheme="majorHAnsi"/>
                <w:b/>
                <w:sz w:val="36"/>
              </w:rPr>
              <w:t>KOSTOMLATY NAD LABEM</w:t>
            </w:r>
          </w:p>
        </w:tc>
      </w:tr>
      <w:tr w:rsidR="00734352" w:rsidRPr="006070EA" w14:paraId="0C58DF37" w14:textId="77777777" w:rsidTr="00E810E5">
        <w:trPr>
          <w:trHeight w:val="454"/>
          <w:jc w:val="center"/>
        </w:trPr>
        <w:tc>
          <w:tcPr>
            <w:tcW w:w="2093" w:type="dxa"/>
            <w:tcBorders>
              <w:top w:val="single" w:sz="12" w:space="0" w:color="auto"/>
              <w:left w:val="nil"/>
              <w:right w:val="nil"/>
            </w:tcBorders>
          </w:tcPr>
          <w:p w14:paraId="1D44BCC3" w14:textId="6F60562B" w:rsidR="00E810E5" w:rsidRPr="006070EA" w:rsidRDefault="00E810E5" w:rsidP="009E07E1">
            <w:pPr>
              <w:tabs>
                <w:tab w:val="left" w:pos="3570"/>
              </w:tabs>
              <w:spacing w:after="120"/>
              <w:rPr>
                <w:rFonts w:asciiTheme="majorHAnsi" w:hAnsiTheme="majorHAnsi" w:cstheme="majorHAnsi"/>
              </w:rPr>
            </w:pPr>
            <w:r w:rsidRPr="006070EA">
              <w:rPr>
                <w:rFonts w:asciiTheme="majorHAnsi" w:hAnsiTheme="majorHAnsi" w:cstheme="majorHAnsi"/>
                <w:spacing w:val="20"/>
              </w:rPr>
              <w:t>POŘIZOVATEL</w:t>
            </w:r>
          </w:p>
        </w:tc>
        <w:tc>
          <w:tcPr>
            <w:tcW w:w="5670" w:type="dxa"/>
            <w:tcBorders>
              <w:top w:val="single" w:sz="12" w:space="0" w:color="auto"/>
              <w:left w:val="nil"/>
              <w:right w:val="single" w:sz="4" w:space="0" w:color="auto"/>
            </w:tcBorders>
            <w:vAlign w:val="center"/>
          </w:tcPr>
          <w:p w14:paraId="710A4427" w14:textId="0994211B" w:rsidR="00E810E5" w:rsidRPr="006070EA" w:rsidRDefault="00734352" w:rsidP="009E07E1">
            <w:pPr>
              <w:tabs>
                <w:tab w:val="left" w:pos="3570"/>
              </w:tabs>
              <w:spacing w:before="60" w:after="60"/>
              <w:jc w:val="right"/>
              <w:rPr>
                <w:rFonts w:asciiTheme="majorHAnsi" w:hAnsiTheme="majorHAnsi" w:cstheme="majorHAnsi"/>
                <w:b/>
              </w:rPr>
            </w:pPr>
            <w:r w:rsidRPr="006070EA">
              <w:rPr>
                <w:rFonts w:asciiTheme="majorHAnsi" w:hAnsiTheme="majorHAnsi" w:cstheme="majorHAnsi"/>
                <w:b/>
              </w:rPr>
              <w:t>Městský úřad Nymburk</w:t>
            </w:r>
          </w:p>
        </w:tc>
        <w:tc>
          <w:tcPr>
            <w:tcW w:w="1299" w:type="dxa"/>
            <w:vMerge w:val="restart"/>
            <w:tcBorders>
              <w:top w:val="single" w:sz="12" w:space="0" w:color="auto"/>
              <w:left w:val="nil"/>
              <w:right w:val="nil"/>
            </w:tcBorders>
            <w:vAlign w:val="center"/>
          </w:tcPr>
          <w:p w14:paraId="5D2BF064" w14:textId="77777777" w:rsidR="00734352" w:rsidRPr="006070EA" w:rsidRDefault="00734352" w:rsidP="00734352">
            <w:pPr>
              <w:tabs>
                <w:tab w:val="left" w:pos="3570"/>
              </w:tabs>
              <w:spacing w:after="120"/>
              <w:jc w:val="center"/>
              <w:rPr>
                <w:rFonts w:asciiTheme="majorHAnsi" w:hAnsiTheme="majorHAnsi" w:cstheme="majorHAnsi"/>
              </w:rPr>
            </w:pPr>
            <w:r w:rsidRPr="006070EA">
              <w:rPr>
                <w:rFonts w:asciiTheme="majorHAnsi" w:hAnsiTheme="majorHAnsi" w:cstheme="majorHAnsi"/>
              </w:rPr>
              <w:t>DATUM</w:t>
            </w:r>
          </w:p>
          <w:p w14:paraId="6839CC20" w14:textId="01F7D741" w:rsidR="00E810E5" w:rsidRPr="006070EA" w:rsidRDefault="00A04AE9" w:rsidP="00734352">
            <w:pPr>
              <w:tabs>
                <w:tab w:val="left" w:pos="3570"/>
              </w:tabs>
              <w:spacing w:after="120"/>
              <w:jc w:val="center"/>
              <w:rPr>
                <w:rFonts w:asciiTheme="majorHAnsi" w:hAnsiTheme="majorHAnsi" w:cstheme="majorHAnsi"/>
                <w:b/>
                <w:sz w:val="24"/>
              </w:rPr>
            </w:pPr>
            <w:r>
              <w:rPr>
                <w:rFonts w:asciiTheme="majorHAnsi" w:hAnsiTheme="majorHAnsi" w:cstheme="majorHAnsi"/>
                <w:b/>
                <w:sz w:val="24"/>
              </w:rPr>
              <w:t>VI</w:t>
            </w:r>
            <w:r w:rsidR="004E6571">
              <w:rPr>
                <w:rFonts w:asciiTheme="majorHAnsi" w:hAnsiTheme="majorHAnsi" w:cstheme="majorHAnsi"/>
                <w:b/>
                <w:sz w:val="24"/>
              </w:rPr>
              <w:t>I</w:t>
            </w:r>
            <w:r w:rsidR="005521B1" w:rsidRPr="006070EA">
              <w:rPr>
                <w:rFonts w:asciiTheme="majorHAnsi" w:hAnsiTheme="majorHAnsi" w:cstheme="majorHAnsi"/>
                <w:b/>
                <w:sz w:val="24"/>
              </w:rPr>
              <w:t>/202</w:t>
            </w:r>
            <w:r w:rsidR="00312AEE">
              <w:rPr>
                <w:rFonts w:asciiTheme="majorHAnsi" w:hAnsiTheme="majorHAnsi" w:cstheme="majorHAnsi"/>
                <w:b/>
                <w:sz w:val="24"/>
              </w:rPr>
              <w:t>5</w:t>
            </w:r>
          </w:p>
        </w:tc>
      </w:tr>
      <w:tr w:rsidR="00734352" w:rsidRPr="006070EA" w14:paraId="088DF5BF" w14:textId="77777777" w:rsidTr="00E810E5">
        <w:trPr>
          <w:trHeight w:val="454"/>
          <w:jc w:val="center"/>
        </w:trPr>
        <w:tc>
          <w:tcPr>
            <w:tcW w:w="2093" w:type="dxa"/>
            <w:tcBorders>
              <w:left w:val="nil"/>
              <w:bottom w:val="single" w:sz="4" w:space="0" w:color="auto"/>
              <w:right w:val="nil"/>
            </w:tcBorders>
          </w:tcPr>
          <w:p w14:paraId="76123607" w14:textId="77777777" w:rsidR="00323335" w:rsidRPr="006070EA" w:rsidRDefault="00323335" w:rsidP="009E07E1">
            <w:pPr>
              <w:tabs>
                <w:tab w:val="left" w:pos="3570"/>
              </w:tabs>
              <w:spacing w:after="120"/>
              <w:rPr>
                <w:rFonts w:asciiTheme="majorHAnsi" w:hAnsiTheme="majorHAnsi" w:cstheme="majorHAnsi"/>
              </w:rPr>
            </w:pPr>
            <w:r w:rsidRPr="006070EA">
              <w:rPr>
                <w:rFonts w:asciiTheme="majorHAnsi" w:hAnsiTheme="majorHAnsi" w:cstheme="majorHAnsi"/>
                <w:spacing w:val="20"/>
              </w:rPr>
              <w:t>OBJEDNATEL</w:t>
            </w:r>
          </w:p>
        </w:tc>
        <w:tc>
          <w:tcPr>
            <w:tcW w:w="5670" w:type="dxa"/>
            <w:tcBorders>
              <w:top w:val="single" w:sz="4" w:space="0" w:color="auto"/>
              <w:left w:val="nil"/>
            </w:tcBorders>
          </w:tcPr>
          <w:p w14:paraId="33AF9A30" w14:textId="7048941B" w:rsidR="00323335" w:rsidRPr="006070EA" w:rsidRDefault="00734352" w:rsidP="0064030C">
            <w:pPr>
              <w:tabs>
                <w:tab w:val="left" w:pos="3570"/>
              </w:tabs>
              <w:spacing w:before="60" w:after="60"/>
              <w:jc w:val="right"/>
              <w:rPr>
                <w:rFonts w:asciiTheme="majorHAnsi" w:hAnsiTheme="majorHAnsi" w:cstheme="majorHAnsi"/>
                <w:b/>
              </w:rPr>
            </w:pPr>
            <w:r w:rsidRPr="006070EA">
              <w:rPr>
                <w:rFonts w:asciiTheme="majorHAnsi" w:hAnsiTheme="majorHAnsi" w:cstheme="majorHAnsi"/>
                <w:b/>
              </w:rPr>
              <w:t>Obec Kostomlaty nad Labem</w:t>
            </w:r>
          </w:p>
        </w:tc>
        <w:tc>
          <w:tcPr>
            <w:tcW w:w="1299" w:type="dxa"/>
            <w:vMerge/>
            <w:tcBorders>
              <w:right w:val="nil"/>
            </w:tcBorders>
            <w:vAlign w:val="center"/>
          </w:tcPr>
          <w:p w14:paraId="72BAEFC9" w14:textId="77777777" w:rsidR="00323335" w:rsidRPr="006070EA" w:rsidRDefault="00323335" w:rsidP="009E07E1">
            <w:pPr>
              <w:tabs>
                <w:tab w:val="left" w:pos="3570"/>
              </w:tabs>
              <w:jc w:val="center"/>
              <w:rPr>
                <w:rFonts w:asciiTheme="majorHAnsi" w:hAnsiTheme="majorHAnsi" w:cstheme="majorHAnsi"/>
              </w:rPr>
            </w:pPr>
          </w:p>
        </w:tc>
      </w:tr>
      <w:tr w:rsidR="00734352" w:rsidRPr="006070EA" w14:paraId="343C64CE" w14:textId="77777777" w:rsidTr="00F44A32">
        <w:trPr>
          <w:trHeight w:val="1320"/>
          <w:jc w:val="center"/>
        </w:trPr>
        <w:tc>
          <w:tcPr>
            <w:tcW w:w="2093" w:type="dxa"/>
            <w:tcBorders>
              <w:top w:val="single" w:sz="4" w:space="0" w:color="auto"/>
              <w:left w:val="nil"/>
              <w:bottom w:val="single" w:sz="12" w:space="0" w:color="auto"/>
              <w:right w:val="nil"/>
            </w:tcBorders>
          </w:tcPr>
          <w:p w14:paraId="49196073" w14:textId="77777777" w:rsidR="00323335" w:rsidRPr="006070EA" w:rsidRDefault="00323335" w:rsidP="009E07E1">
            <w:pPr>
              <w:tabs>
                <w:tab w:val="left" w:pos="3570"/>
              </w:tabs>
              <w:spacing w:after="120"/>
              <w:rPr>
                <w:rFonts w:asciiTheme="majorHAnsi" w:hAnsiTheme="majorHAnsi" w:cstheme="majorHAnsi"/>
                <w:spacing w:val="20"/>
              </w:rPr>
            </w:pPr>
            <w:r w:rsidRPr="006070EA">
              <w:rPr>
                <w:rFonts w:asciiTheme="majorHAnsi" w:hAnsiTheme="majorHAnsi" w:cstheme="majorHAnsi"/>
                <w:spacing w:val="20"/>
              </w:rPr>
              <w:t>ZHOTOVITEL</w:t>
            </w:r>
          </w:p>
          <w:p w14:paraId="6D96013A" w14:textId="77777777" w:rsidR="00323335" w:rsidRPr="006070EA" w:rsidRDefault="00323335" w:rsidP="009E07E1">
            <w:pPr>
              <w:tabs>
                <w:tab w:val="left" w:pos="3570"/>
              </w:tabs>
              <w:spacing w:after="120"/>
              <w:rPr>
                <w:rFonts w:asciiTheme="majorHAnsi" w:hAnsiTheme="majorHAnsi" w:cstheme="majorHAnsi"/>
              </w:rPr>
            </w:pPr>
          </w:p>
        </w:tc>
        <w:tc>
          <w:tcPr>
            <w:tcW w:w="5670" w:type="dxa"/>
            <w:tcBorders>
              <w:top w:val="single" w:sz="4" w:space="0" w:color="auto"/>
              <w:left w:val="nil"/>
              <w:bottom w:val="single" w:sz="12" w:space="0" w:color="auto"/>
            </w:tcBorders>
          </w:tcPr>
          <w:p w14:paraId="2EBA0C07" w14:textId="77777777" w:rsidR="00323335" w:rsidRPr="006070EA" w:rsidRDefault="00323335" w:rsidP="009E07E1">
            <w:pPr>
              <w:tabs>
                <w:tab w:val="left" w:pos="3570"/>
              </w:tabs>
              <w:spacing w:before="60" w:after="60"/>
              <w:jc w:val="right"/>
              <w:rPr>
                <w:rFonts w:asciiTheme="majorHAnsi" w:hAnsiTheme="majorHAnsi" w:cstheme="majorHAnsi"/>
                <w:b/>
              </w:rPr>
            </w:pPr>
            <w:r w:rsidRPr="006070EA">
              <w:rPr>
                <w:rFonts w:asciiTheme="majorHAnsi" w:hAnsiTheme="majorHAnsi" w:cstheme="majorHAnsi"/>
                <w:b/>
              </w:rPr>
              <w:t>ŽALUDA, projektová kancelář</w:t>
            </w:r>
          </w:p>
          <w:p w14:paraId="4C51AEC6" w14:textId="09EA8777" w:rsidR="00734352" w:rsidRPr="006070EA" w:rsidRDefault="00734352" w:rsidP="00734352">
            <w:pPr>
              <w:tabs>
                <w:tab w:val="left" w:pos="3570"/>
              </w:tabs>
              <w:jc w:val="right"/>
              <w:rPr>
                <w:rFonts w:asciiTheme="majorHAnsi" w:hAnsiTheme="majorHAnsi" w:cstheme="majorHAnsi"/>
                <w:sz w:val="20"/>
              </w:rPr>
            </w:pPr>
            <w:r w:rsidRPr="006070EA">
              <w:rPr>
                <w:rFonts w:asciiTheme="majorHAnsi" w:hAnsiTheme="majorHAnsi" w:cstheme="majorHAnsi"/>
                <w:sz w:val="20"/>
              </w:rPr>
              <w:t>Ing. Eduard Žaluda, RNDr. Ing. Miroslav Vrtiška,</w:t>
            </w:r>
            <w:r w:rsidR="005521B1" w:rsidRPr="006070EA">
              <w:rPr>
                <w:rFonts w:asciiTheme="majorHAnsi" w:hAnsiTheme="majorHAnsi" w:cstheme="majorHAnsi"/>
                <w:sz w:val="20"/>
              </w:rPr>
              <w:t xml:space="preserve"> Ph.D.,</w:t>
            </w:r>
            <w:r w:rsidRPr="006070EA">
              <w:rPr>
                <w:rFonts w:asciiTheme="majorHAnsi" w:hAnsiTheme="majorHAnsi" w:cstheme="majorHAnsi"/>
                <w:sz w:val="20"/>
              </w:rPr>
              <w:t xml:space="preserve"> </w:t>
            </w:r>
          </w:p>
          <w:p w14:paraId="74AABEB0" w14:textId="1DCA4851" w:rsidR="00734352" w:rsidRPr="006070EA" w:rsidRDefault="00734352" w:rsidP="00734352">
            <w:pPr>
              <w:tabs>
                <w:tab w:val="left" w:pos="3570"/>
              </w:tabs>
              <w:jc w:val="right"/>
              <w:rPr>
                <w:rFonts w:asciiTheme="majorHAnsi" w:hAnsiTheme="majorHAnsi" w:cstheme="majorHAnsi"/>
                <w:sz w:val="20"/>
              </w:rPr>
            </w:pPr>
            <w:r w:rsidRPr="006070EA">
              <w:rPr>
                <w:rFonts w:asciiTheme="majorHAnsi" w:hAnsiTheme="majorHAnsi" w:cstheme="majorHAnsi"/>
                <w:sz w:val="20"/>
              </w:rPr>
              <w:t xml:space="preserve">Ing. arch Alena </w:t>
            </w:r>
            <w:r w:rsidR="004E6571">
              <w:rPr>
                <w:rFonts w:asciiTheme="majorHAnsi" w:hAnsiTheme="majorHAnsi" w:cstheme="majorHAnsi"/>
                <w:sz w:val="20"/>
              </w:rPr>
              <w:t>Svobodová</w:t>
            </w:r>
            <w:r w:rsidRPr="006070EA">
              <w:rPr>
                <w:rFonts w:asciiTheme="majorHAnsi" w:hAnsiTheme="majorHAnsi" w:cstheme="majorHAnsi"/>
                <w:sz w:val="20"/>
              </w:rPr>
              <w:t xml:space="preserve">, Ing. arch. Rostislav Aubrecht, </w:t>
            </w:r>
          </w:p>
          <w:p w14:paraId="31FD36C7" w14:textId="55626132" w:rsidR="00323335" w:rsidRPr="006070EA" w:rsidRDefault="00734352" w:rsidP="00734352">
            <w:pPr>
              <w:tabs>
                <w:tab w:val="left" w:pos="3570"/>
              </w:tabs>
              <w:jc w:val="right"/>
              <w:rPr>
                <w:rFonts w:asciiTheme="majorHAnsi" w:hAnsiTheme="majorHAnsi" w:cstheme="majorHAnsi"/>
                <w:sz w:val="20"/>
              </w:rPr>
            </w:pPr>
            <w:r w:rsidRPr="006070EA">
              <w:rPr>
                <w:rFonts w:asciiTheme="majorHAnsi" w:hAnsiTheme="majorHAnsi" w:cstheme="majorHAnsi"/>
                <w:sz w:val="20"/>
              </w:rPr>
              <w:t>Mgr. Michal Bobr</w:t>
            </w:r>
            <w:r w:rsidR="00F346BD" w:rsidRPr="006070EA">
              <w:rPr>
                <w:rFonts w:asciiTheme="majorHAnsi" w:hAnsiTheme="majorHAnsi" w:cstheme="majorHAnsi"/>
                <w:sz w:val="20"/>
              </w:rPr>
              <w:t xml:space="preserve"> </w:t>
            </w:r>
          </w:p>
        </w:tc>
        <w:tc>
          <w:tcPr>
            <w:tcW w:w="1299" w:type="dxa"/>
            <w:tcBorders>
              <w:top w:val="single" w:sz="4" w:space="0" w:color="auto"/>
              <w:bottom w:val="single" w:sz="12" w:space="0" w:color="auto"/>
              <w:right w:val="nil"/>
            </w:tcBorders>
            <w:vAlign w:val="center"/>
          </w:tcPr>
          <w:p w14:paraId="5A2B330E" w14:textId="77777777" w:rsidR="00323335" w:rsidRPr="006070EA" w:rsidRDefault="00323335" w:rsidP="009E07E1">
            <w:pPr>
              <w:tabs>
                <w:tab w:val="left" w:pos="3570"/>
              </w:tabs>
              <w:jc w:val="center"/>
              <w:rPr>
                <w:rFonts w:asciiTheme="majorHAnsi" w:hAnsiTheme="majorHAnsi" w:cstheme="majorHAnsi"/>
              </w:rPr>
            </w:pPr>
            <w:r w:rsidRPr="006070EA">
              <w:rPr>
                <w:rFonts w:asciiTheme="majorHAnsi" w:hAnsiTheme="majorHAnsi" w:cstheme="majorHAnsi"/>
              </w:rPr>
              <w:t>PARE</w:t>
            </w:r>
          </w:p>
          <w:p w14:paraId="465273DB" w14:textId="77777777" w:rsidR="00323335" w:rsidRPr="006070EA" w:rsidRDefault="00323335" w:rsidP="009E07E1">
            <w:pPr>
              <w:tabs>
                <w:tab w:val="left" w:pos="3570"/>
              </w:tabs>
              <w:jc w:val="center"/>
              <w:rPr>
                <w:rFonts w:asciiTheme="majorHAnsi" w:hAnsiTheme="majorHAnsi" w:cstheme="majorHAnsi"/>
              </w:rPr>
            </w:pPr>
          </w:p>
          <w:p w14:paraId="6433753E" w14:textId="77777777" w:rsidR="00323335" w:rsidRPr="006070EA" w:rsidRDefault="00323335" w:rsidP="009E07E1">
            <w:pPr>
              <w:tabs>
                <w:tab w:val="left" w:pos="3570"/>
              </w:tabs>
              <w:jc w:val="center"/>
              <w:rPr>
                <w:rFonts w:asciiTheme="majorHAnsi" w:hAnsiTheme="majorHAnsi" w:cstheme="majorHAnsi"/>
              </w:rPr>
            </w:pPr>
          </w:p>
          <w:p w14:paraId="2525BFD0" w14:textId="77777777" w:rsidR="00323335" w:rsidRPr="006070EA" w:rsidRDefault="00323335" w:rsidP="009E07E1">
            <w:pPr>
              <w:tabs>
                <w:tab w:val="left" w:pos="3570"/>
              </w:tabs>
              <w:jc w:val="center"/>
              <w:rPr>
                <w:rFonts w:asciiTheme="majorHAnsi" w:hAnsiTheme="majorHAnsi" w:cstheme="majorHAnsi"/>
              </w:rPr>
            </w:pPr>
          </w:p>
        </w:tc>
      </w:tr>
      <w:tr w:rsidR="00734352" w:rsidRPr="006070EA" w14:paraId="2CFBB5FF" w14:textId="77777777" w:rsidTr="00F44A32">
        <w:trPr>
          <w:jc w:val="center"/>
        </w:trPr>
        <w:tc>
          <w:tcPr>
            <w:tcW w:w="9062" w:type="dxa"/>
            <w:gridSpan w:val="3"/>
            <w:tcBorders>
              <w:top w:val="single" w:sz="12" w:space="0" w:color="auto"/>
              <w:left w:val="nil"/>
              <w:bottom w:val="single" w:sz="12" w:space="0" w:color="auto"/>
              <w:right w:val="nil"/>
            </w:tcBorders>
          </w:tcPr>
          <w:p w14:paraId="0BF40F4D" w14:textId="77777777" w:rsidR="00323335" w:rsidRPr="006070EA" w:rsidRDefault="00323335" w:rsidP="009E07E1">
            <w:pPr>
              <w:tabs>
                <w:tab w:val="left" w:pos="3570"/>
              </w:tabs>
              <w:rPr>
                <w:rFonts w:asciiTheme="majorHAnsi" w:hAnsiTheme="majorHAnsi" w:cstheme="majorHAnsi"/>
                <w:sz w:val="32"/>
              </w:rPr>
            </w:pPr>
            <w:r w:rsidRPr="006070EA">
              <w:rPr>
                <w:rFonts w:asciiTheme="majorHAnsi" w:hAnsiTheme="majorHAnsi" w:cstheme="majorHAnsi"/>
                <w:sz w:val="32"/>
              </w:rPr>
              <w:t>TEXTOVÁ ČÁST</w:t>
            </w:r>
          </w:p>
        </w:tc>
      </w:tr>
    </w:tbl>
    <w:p w14:paraId="23FB99BA" w14:textId="77777777" w:rsidR="00734352" w:rsidRPr="006070EA" w:rsidRDefault="00076FBB" w:rsidP="00734352">
      <w:pPr>
        <w:keepNext/>
        <w:tabs>
          <w:tab w:val="left" w:pos="4253"/>
        </w:tabs>
        <w:spacing w:after="0" w:line="240" w:lineRule="auto"/>
        <w:rPr>
          <w:rFonts w:asciiTheme="majorHAnsi" w:hAnsiTheme="majorHAnsi" w:cstheme="majorHAnsi"/>
          <w:b/>
          <w:sz w:val="20"/>
        </w:rPr>
      </w:pPr>
      <w:r w:rsidRPr="006070EA">
        <w:rPr>
          <w:rFonts w:asciiTheme="majorHAnsi" w:hAnsiTheme="majorHAnsi" w:cstheme="majorHAnsi"/>
          <w:b/>
          <w:sz w:val="20"/>
        </w:rPr>
        <w:lastRenderedPageBreak/>
        <w:t>POŘIZOVATEL</w:t>
      </w:r>
      <w:r w:rsidRPr="006070EA">
        <w:rPr>
          <w:rFonts w:asciiTheme="majorHAnsi" w:hAnsiTheme="majorHAnsi" w:cstheme="majorHAnsi"/>
          <w:sz w:val="20"/>
        </w:rPr>
        <w:tab/>
      </w:r>
      <w:r w:rsidR="00734352" w:rsidRPr="006070EA">
        <w:rPr>
          <w:rFonts w:asciiTheme="majorHAnsi" w:hAnsiTheme="majorHAnsi" w:cstheme="majorHAnsi"/>
          <w:b/>
          <w:sz w:val="20"/>
        </w:rPr>
        <w:t>Městský úřad Nymburk</w:t>
      </w:r>
    </w:p>
    <w:p w14:paraId="06453B3B" w14:textId="77777777" w:rsidR="00734352" w:rsidRPr="006070EA" w:rsidRDefault="00734352"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Odbor výstavby</w:t>
      </w:r>
    </w:p>
    <w:p w14:paraId="28FE04ED" w14:textId="77777777" w:rsidR="00734352" w:rsidRPr="006070EA" w:rsidRDefault="00734352"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Náměstí Přemsyslovců 163</w:t>
      </w:r>
    </w:p>
    <w:p w14:paraId="182BE2E5" w14:textId="5B0497BE" w:rsidR="00076FBB" w:rsidRPr="006070EA" w:rsidRDefault="00734352" w:rsidP="00734352">
      <w:pPr>
        <w:keepNext/>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 xml:space="preserve">288 02 Nymburk </w:t>
      </w:r>
      <w:r w:rsidR="00927DC9">
        <w:rPr>
          <w:rFonts w:asciiTheme="majorHAnsi" w:hAnsiTheme="majorHAnsi" w:cstheme="majorHAnsi"/>
          <w:sz w:val="20"/>
        </w:rPr>
        <w:pict w14:anchorId="1C5ABC0A">
          <v:rect id="_x0000_i1025" style="width:453.6pt;height:1.5pt" o:hralign="center" o:hrstd="t" o:hr="t" fillcolor="#a0a0a0" stroked="f"/>
        </w:pict>
      </w:r>
    </w:p>
    <w:p w14:paraId="34E0D20C" w14:textId="77777777" w:rsidR="00734352" w:rsidRPr="006070EA" w:rsidRDefault="00076FBB"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b/>
          <w:sz w:val="20"/>
        </w:rPr>
        <w:t>OBJEDNATEL</w:t>
      </w:r>
      <w:r w:rsidRPr="006070EA">
        <w:rPr>
          <w:rFonts w:asciiTheme="majorHAnsi" w:hAnsiTheme="majorHAnsi" w:cstheme="majorHAnsi"/>
          <w:sz w:val="20"/>
        </w:rPr>
        <w:tab/>
      </w:r>
      <w:r w:rsidR="00734352" w:rsidRPr="006070EA">
        <w:rPr>
          <w:rFonts w:asciiTheme="majorHAnsi" w:hAnsiTheme="majorHAnsi" w:cstheme="majorHAnsi"/>
          <w:b/>
          <w:sz w:val="20"/>
        </w:rPr>
        <w:t>Obec Kostomlaty nad Labem</w:t>
      </w:r>
    </w:p>
    <w:p w14:paraId="2FE6F273" w14:textId="77777777" w:rsidR="00734352" w:rsidRPr="006070EA" w:rsidRDefault="00734352"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Hronětická 237</w:t>
      </w:r>
    </w:p>
    <w:p w14:paraId="49EFE252" w14:textId="77777777" w:rsidR="00734352" w:rsidRPr="006070EA" w:rsidRDefault="00734352"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289 21 Kostomlaty nad Labem</w:t>
      </w:r>
    </w:p>
    <w:p w14:paraId="650B31F0" w14:textId="12CA34A4" w:rsidR="00076FBB" w:rsidRPr="006070EA" w:rsidRDefault="00927DC9" w:rsidP="00734352">
      <w:pPr>
        <w:tabs>
          <w:tab w:val="left" w:pos="4253"/>
        </w:tabs>
        <w:spacing w:after="0" w:line="240" w:lineRule="auto"/>
        <w:rPr>
          <w:rFonts w:asciiTheme="majorHAnsi" w:hAnsiTheme="majorHAnsi" w:cstheme="majorHAnsi"/>
          <w:sz w:val="20"/>
        </w:rPr>
      </w:pPr>
      <w:r>
        <w:rPr>
          <w:rFonts w:asciiTheme="majorHAnsi" w:hAnsiTheme="majorHAnsi" w:cstheme="majorHAnsi"/>
          <w:sz w:val="20"/>
        </w:rPr>
        <w:pict w14:anchorId="5FEC99A2">
          <v:rect id="_x0000_i1026" style="width:453.6pt;height:1.5pt" o:hralign="center" o:hrstd="t" o:hr="t" fillcolor="#a0a0a0" stroked="f"/>
        </w:pict>
      </w:r>
    </w:p>
    <w:p w14:paraId="79879FBF" w14:textId="77777777" w:rsidR="00076FBB" w:rsidRPr="006070EA" w:rsidRDefault="00076FBB" w:rsidP="00076FBB">
      <w:pPr>
        <w:tabs>
          <w:tab w:val="left" w:pos="4253"/>
        </w:tabs>
        <w:spacing w:after="0" w:line="240" w:lineRule="auto"/>
        <w:rPr>
          <w:rFonts w:asciiTheme="majorHAnsi" w:hAnsiTheme="majorHAnsi" w:cstheme="majorHAnsi"/>
          <w:sz w:val="20"/>
        </w:rPr>
      </w:pPr>
      <w:r w:rsidRPr="006070EA">
        <w:rPr>
          <w:rFonts w:asciiTheme="majorHAnsi" w:hAnsiTheme="majorHAnsi" w:cstheme="majorHAnsi"/>
          <w:b/>
          <w:sz w:val="20"/>
        </w:rPr>
        <w:t>PROJEKTANT</w:t>
      </w:r>
      <w:r w:rsidRPr="006070EA">
        <w:rPr>
          <w:rFonts w:asciiTheme="majorHAnsi" w:hAnsiTheme="majorHAnsi" w:cstheme="majorHAnsi"/>
          <w:sz w:val="20"/>
        </w:rPr>
        <w:tab/>
      </w:r>
      <w:r w:rsidRPr="006070EA">
        <w:rPr>
          <w:rFonts w:asciiTheme="majorHAnsi" w:hAnsiTheme="majorHAnsi" w:cstheme="majorHAnsi"/>
          <w:b/>
          <w:sz w:val="20"/>
        </w:rPr>
        <w:t>Ing. Eduard Žaluda</w:t>
      </w:r>
    </w:p>
    <w:p w14:paraId="6308613D" w14:textId="77777777" w:rsidR="00076FBB" w:rsidRPr="006070EA" w:rsidRDefault="00076FBB" w:rsidP="00076FBB">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(č. autorizace: 4077)</w:t>
      </w:r>
    </w:p>
    <w:p w14:paraId="53874EEE" w14:textId="77777777" w:rsidR="00076FBB" w:rsidRPr="006070EA" w:rsidRDefault="00927DC9" w:rsidP="00076FBB">
      <w:pPr>
        <w:tabs>
          <w:tab w:val="left" w:pos="4253"/>
        </w:tabs>
        <w:spacing w:after="0" w:line="240" w:lineRule="auto"/>
        <w:jc w:val="center"/>
        <w:rPr>
          <w:rFonts w:asciiTheme="majorHAnsi" w:hAnsiTheme="majorHAnsi" w:cstheme="majorHAnsi"/>
          <w:sz w:val="20"/>
        </w:rPr>
      </w:pPr>
      <w:r>
        <w:rPr>
          <w:rFonts w:asciiTheme="majorHAnsi" w:hAnsiTheme="majorHAnsi" w:cstheme="majorHAnsi"/>
          <w:sz w:val="20"/>
        </w:rPr>
        <w:pict w14:anchorId="12CEB911">
          <v:rect id="_x0000_i1027" style="width:453.6pt;height:1.5pt" o:hralign="center" o:hrstd="t" o:hr="t" fillcolor="#a0a0a0" stroked="f"/>
        </w:pict>
      </w:r>
    </w:p>
    <w:p w14:paraId="08EBDE46" w14:textId="77777777" w:rsidR="00076FBB" w:rsidRPr="006070EA" w:rsidRDefault="00076FBB" w:rsidP="00076FBB">
      <w:pPr>
        <w:tabs>
          <w:tab w:val="left" w:pos="4253"/>
        </w:tabs>
        <w:spacing w:after="0" w:line="240" w:lineRule="auto"/>
        <w:rPr>
          <w:rFonts w:asciiTheme="majorHAnsi" w:hAnsiTheme="majorHAnsi" w:cstheme="majorHAnsi"/>
          <w:sz w:val="20"/>
        </w:rPr>
      </w:pPr>
      <w:r w:rsidRPr="006070EA">
        <w:rPr>
          <w:rFonts w:asciiTheme="majorHAnsi" w:hAnsiTheme="majorHAnsi" w:cstheme="majorHAnsi"/>
          <w:b/>
          <w:sz w:val="20"/>
        </w:rPr>
        <w:t>ZHOTOVITEL</w:t>
      </w:r>
      <w:r w:rsidRPr="006070EA">
        <w:rPr>
          <w:rFonts w:asciiTheme="majorHAnsi" w:hAnsiTheme="majorHAnsi" w:cstheme="majorHAnsi"/>
          <w:sz w:val="20"/>
        </w:rPr>
        <w:tab/>
      </w:r>
      <w:r w:rsidRPr="006070EA">
        <w:rPr>
          <w:rFonts w:asciiTheme="majorHAnsi" w:hAnsiTheme="majorHAnsi" w:cstheme="majorHAnsi"/>
          <w:b/>
          <w:sz w:val="20"/>
        </w:rPr>
        <w:t>ŽALUDA, projektová kancelář</w:t>
      </w:r>
    </w:p>
    <w:p w14:paraId="5BBAE6CA" w14:textId="77777777" w:rsidR="00076FBB" w:rsidRPr="006070EA" w:rsidRDefault="00076FBB" w:rsidP="00076FBB">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Železná, 493/20, 110 00 Praha 1</w:t>
      </w:r>
    </w:p>
    <w:p w14:paraId="2C34B88A" w14:textId="77777777" w:rsidR="00076FBB" w:rsidRPr="006070EA" w:rsidRDefault="00076FBB" w:rsidP="00076FBB">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kancelář: Na Březince 1515/22, 150 00 Praha 5</w:t>
      </w:r>
    </w:p>
    <w:p w14:paraId="7D9841D9" w14:textId="77777777" w:rsidR="00076FBB" w:rsidRPr="006070EA" w:rsidRDefault="00076FBB" w:rsidP="00076FBB">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tel.: 737 149 299</w:t>
      </w:r>
    </w:p>
    <w:p w14:paraId="5523191E" w14:textId="77777777" w:rsidR="00076FBB" w:rsidRPr="006070EA" w:rsidRDefault="00076FBB" w:rsidP="00076FBB">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e-mail: eduard.zaluda@gmail.com</w:t>
      </w:r>
    </w:p>
    <w:p w14:paraId="3E877455" w14:textId="77777777" w:rsidR="00076FBB" w:rsidRPr="006070EA" w:rsidRDefault="00927DC9" w:rsidP="00076FBB">
      <w:pPr>
        <w:tabs>
          <w:tab w:val="left" w:pos="4253"/>
        </w:tabs>
        <w:spacing w:after="0" w:line="240" w:lineRule="auto"/>
        <w:jc w:val="center"/>
        <w:rPr>
          <w:rFonts w:asciiTheme="majorHAnsi" w:hAnsiTheme="majorHAnsi" w:cstheme="majorHAnsi"/>
          <w:sz w:val="20"/>
        </w:rPr>
      </w:pPr>
      <w:r>
        <w:rPr>
          <w:rFonts w:asciiTheme="majorHAnsi" w:hAnsiTheme="majorHAnsi" w:cstheme="majorHAnsi"/>
          <w:sz w:val="20"/>
        </w:rPr>
        <w:pict w14:anchorId="1F9E7328">
          <v:rect id="_x0000_i1028" style="width:453.6pt;height:1.5pt" o:hralign="center" o:hrstd="t" o:hr="t" fillcolor="#a0a0a0" stroked="f"/>
        </w:pict>
      </w:r>
    </w:p>
    <w:p w14:paraId="4C6CF232" w14:textId="77777777" w:rsidR="00734352" w:rsidRPr="006070EA" w:rsidRDefault="00076FBB"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b/>
          <w:sz w:val="20"/>
        </w:rPr>
        <w:t>AUTORSKÝ KOLEKTIV</w:t>
      </w:r>
      <w:r w:rsidRPr="006070EA">
        <w:rPr>
          <w:rFonts w:asciiTheme="majorHAnsi" w:hAnsiTheme="majorHAnsi" w:cstheme="majorHAnsi"/>
          <w:sz w:val="20"/>
        </w:rPr>
        <w:tab/>
      </w:r>
      <w:r w:rsidR="00734352" w:rsidRPr="006070EA">
        <w:rPr>
          <w:rFonts w:asciiTheme="majorHAnsi" w:hAnsiTheme="majorHAnsi" w:cstheme="majorHAnsi"/>
          <w:sz w:val="20"/>
        </w:rPr>
        <w:t>Ing. Eduard Žaluda</w:t>
      </w:r>
    </w:p>
    <w:p w14:paraId="0A9449CD" w14:textId="06854627" w:rsidR="00734352" w:rsidRPr="006070EA" w:rsidRDefault="00734352"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r>
      <w:r w:rsidR="005521B1" w:rsidRPr="006070EA">
        <w:rPr>
          <w:rFonts w:asciiTheme="majorHAnsi" w:hAnsiTheme="majorHAnsi" w:cstheme="majorHAnsi"/>
          <w:sz w:val="20"/>
        </w:rPr>
        <w:t xml:space="preserve">RNDr. </w:t>
      </w:r>
      <w:r w:rsidRPr="006070EA">
        <w:rPr>
          <w:rFonts w:asciiTheme="majorHAnsi" w:hAnsiTheme="majorHAnsi" w:cstheme="majorHAnsi"/>
          <w:sz w:val="20"/>
        </w:rPr>
        <w:t>Ing. Miroslav Vrtiška</w:t>
      </w:r>
      <w:r w:rsidR="005521B1" w:rsidRPr="006070EA">
        <w:rPr>
          <w:rFonts w:asciiTheme="majorHAnsi" w:hAnsiTheme="majorHAnsi" w:cstheme="majorHAnsi"/>
          <w:sz w:val="20"/>
        </w:rPr>
        <w:t>, Ph.D.</w:t>
      </w:r>
    </w:p>
    <w:p w14:paraId="75DFE495" w14:textId="7295E982" w:rsidR="00734352" w:rsidRPr="006070EA" w:rsidRDefault="00734352"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 xml:space="preserve">Ing. arch. Alena </w:t>
      </w:r>
      <w:r w:rsidR="004E6571">
        <w:rPr>
          <w:rFonts w:asciiTheme="majorHAnsi" w:hAnsiTheme="majorHAnsi" w:cstheme="majorHAnsi"/>
          <w:sz w:val="20"/>
        </w:rPr>
        <w:t>Svobodová</w:t>
      </w:r>
      <w:r w:rsidRPr="006070EA">
        <w:rPr>
          <w:rFonts w:asciiTheme="majorHAnsi" w:hAnsiTheme="majorHAnsi" w:cstheme="majorHAnsi"/>
          <w:sz w:val="20"/>
        </w:rPr>
        <w:t xml:space="preserve"> </w:t>
      </w:r>
    </w:p>
    <w:p w14:paraId="2951214A" w14:textId="77777777" w:rsidR="00734352" w:rsidRPr="006070EA" w:rsidRDefault="00734352"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Ing. arch. Rostislav Aubrecht</w:t>
      </w:r>
      <w:r w:rsidRPr="006070EA">
        <w:rPr>
          <w:rFonts w:asciiTheme="majorHAnsi" w:hAnsiTheme="majorHAnsi" w:cstheme="majorHAnsi"/>
          <w:sz w:val="20"/>
        </w:rPr>
        <w:tab/>
      </w:r>
    </w:p>
    <w:p w14:paraId="41D5AD7F" w14:textId="2876E2C9" w:rsidR="00076FBB" w:rsidRPr="006070EA" w:rsidRDefault="00734352" w:rsidP="00734352">
      <w:pPr>
        <w:tabs>
          <w:tab w:val="left" w:pos="4253"/>
        </w:tabs>
        <w:spacing w:after="0" w:line="240" w:lineRule="auto"/>
        <w:rPr>
          <w:rFonts w:asciiTheme="majorHAnsi" w:hAnsiTheme="majorHAnsi" w:cstheme="majorHAnsi"/>
          <w:sz w:val="20"/>
        </w:rPr>
      </w:pPr>
      <w:r w:rsidRPr="006070EA">
        <w:rPr>
          <w:rFonts w:asciiTheme="majorHAnsi" w:hAnsiTheme="majorHAnsi" w:cstheme="majorHAnsi"/>
          <w:sz w:val="20"/>
        </w:rPr>
        <w:tab/>
        <w:t>Mgr. Michal Bobr</w:t>
      </w:r>
    </w:p>
    <w:p w14:paraId="3D6DC983" w14:textId="77777777" w:rsidR="00076FBB" w:rsidRPr="006070EA" w:rsidRDefault="00927DC9" w:rsidP="00076FBB">
      <w:pPr>
        <w:tabs>
          <w:tab w:val="left" w:pos="4253"/>
        </w:tabs>
        <w:spacing w:after="0" w:line="240" w:lineRule="auto"/>
        <w:jc w:val="center"/>
        <w:rPr>
          <w:rFonts w:asciiTheme="majorHAnsi" w:hAnsiTheme="majorHAnsi" w:cstheme="majorHAnsi"/>
          <w:sz w:val="20"/>
        </w:rPr>
      </w:pPr>
      <w:r>
        <w:rPr>
          <w:rFonts w:asciiTheme="majorHAnsi" w:hAnsiTheme="majorHAnsi" w:cstheme="majorHAnsi"/>
          <w:sz w:val="20"/>
        </w:rPr>
        <w:pict w14:anchorId="1CB47EEE">
          <v:rect id="_x0000_i1029" style="width:453.6pt;height:1.5pt" o:hralign="center" o:hrstd="t" o:hr="t" fillcolor="#a0a0a0" stroked="f"/>
        </w:pict>
      </w:r>
    </w:p>
    <w:p w14:paraId="37D88167" w14:textId="6E50EA63" w:rsidR="00076FBB" w:rsidRPr="006070EA" w:rsidRDefault="00076FBB" w:rsidP="00076FBB">
      <w:pPr>
        <w:tabs>
          <w:tab w:val="left" w:pos="4253"/>
        </w:tabs>
        <w:spacing w:line="240" w:lineRule="auto"/>
        <w:rPr>
          <w:rFonts w:asciiTheme="majorHAnsi" w:hAnsiTheme="majorHAnsi" w:cstheme="majorHAnsi"/>
          <w:sz w:val="20"/>
        </w:rPr>
      </w:pPr>
      <w:r w:rsidRPr="006070EA">
        <w:rPr>
          <w:rFonts w:asciiTheme="majorHAnsi" w:hAnsiTheme="majorHAnsi" w:cstheme="majorHAnsi"/>
          <w:b/>
          <w:sz w:val="20"/>
        </w:rPr>
        <w:t>DATUM ZPRACOVÁNÍ</w:t>
      </w:r>
      <w:r w:rsidRPr="006070EA">
        <w:rPr>
          <w:rFonts w:asciiTheme="majorHAnsi" w:hAnsiTheme="majorHAnsi" w:cstheme="majorHAnsi"/>
          <w:sz w:val="20"/>
        </w:rPr>
        <w:tab/>
      </w:r>
      <w:r w:rsidR="00A04AE9">
        <w:rPr>
          <w:rFonts w:asciiTheme="majorHAnsi" w:hAnsiTheme="majorHAnsi" w:cstheme="majorHAnsi"/>
          <w:sz w:val="20"/>
        </w:rPr>
        <w:t>červenec</w:t>
      </w:r>
      <w:r w:rsidR="005521B1" w:rsidRPr="006070EA">
        <w:rPr>
          <w:rFonts w:asciiTheme="majorHAnsi" w:hAnsiTheme="majorHAnsi" w:cstheme="majorHAnsi"/>
          <w:sz w:val="20"/>
        </w:rPr>
        <w:t xml:space="preserve"> 202</w:t>
      </w:r>
      <w:r w:rsidR="00312AEE">
        <w:rPr>
          <w:rFonts w:asciiTheme="majorHAnsi" w:hAnsiTheme="majorHAnsi" w:cstheme="majorHAnsi"/>
          <w:sz w:val="20"/>
        </w:rPr>
        <w:t>5</w:t>
      </w:r>
    </w:p>
    <w:p w14:paraId="07E92BF5" w14:textId="77777777" w:rsidR="00C227EC" w:rsidRPr="006070EA" w:rsidRDefault="00C227EC" w:rsidP="009E07E1">
      <w:pPr>
        <w:tabs>
          <w:tab w:val="left" w:pos="3570"/>
        </w:tabs>
        <w:spacing w:line="240" w:lineRule="auto"/>
        <w:rPr>
          <w:rFonts w:asciiTheme="majorHAnsi" w:hAnsiTheme="majorHAnsi" w:cstheme="majorHAnsi"/>
          <w:color w:val="FF0000"/>
        </w:rPr>
      </w:pPr>
    </w:p>
    <w:p w14:paraId="1747F9D3" w14:textId="77777777" w:rsidR="00445A56" w:rsidRPr="006070EA" w:rsidRDefault="00445A56" w:rsidP="009E07E1">
      <w:pPr>
        <w:tabs>
          <w:tab w:val="left" w:pos="3570"/>
        </w:tabs>
        <w:spacing w:line="240" w:lineRule="auto"/>
        <w:rPr>
          <w:rFonts w:asciiTheme="majorHAnsi" w:hAnsiTheme="majorHAnsi" w:cstheme="majorHAnsi"/>
          <w:color w:val="FF0000"/>
        </w:rPr>
      </w:pPr>
    </w:p>
    <w:p w14:paraId="3F47C063" w14:textId="77777777" w:rsidR="00445A56" w:rsidRPr="006070EA" w:rsidRDefault="00445A56" w:rsidP="009E07E1">
      <w:pPr>
        <w:tabs>
          <w:tab w:val="left" w:pos="3570"/>
        </w:tabs>
        <w:spacing w:line="240" w:lineRule="auto"/>
        <w:rPr>
          <w:rFonts w:asciiTheme="majorHAnsi" w:hAnsiTheme="majorHAnsi" w:cstheme="majorHAnsi"/>
          <w:color w:val="FF0000"/>
        </w:rPr>
      </w:pPr>
    </w:p>
    <w:p w14:paraId="3EAC5A4D" w14:textId="77777777" w:rsidR="00445A56" w:rsidRPr="006070EA" w:rsidRDefault="00445A56" w:rsidP="009E07E1">
      <w:pPr>
        <w:tabs>
          <w:tab w:val="left" w:pos="3570"/>
        </w:tabs>
        <w:spacing w:line="240" w:lineRule="auto"/>
        <w:rPr>
          <w:rFonts w:asciiTheme="majorHAnsi" w:hAnsiTheme="majorHAnsi" w:cstheme="majorHAnsi"/>
          <w:color w:val="FF0000"/>
        </w:rPr>
      </w:pPr>
    </w:p>
    <w:p w14:paraId="7511089F" w14:textId="77777777" w:rsidR="00445A56" w:rsidRPr="006070EA" w:rsidRDefault="00445A56" w:rsidP="009E07E1">
      <w:pPr>
        <w:tabs>
          <w:tab w:val="left" w:pos="3570"/>
        </w:tabs>
        <w:spacing w:line="240" w:lineRule="auto"/>
        <w:rPr>
          <w:rFonts w:asciiTheme="majorHAnsi" w:hAnsiTheme="majorHAnsi" w:cstheme="majorHAnsi"/>
          <w:color w:val="FF0000"/>
        </w:rPr>
      </w:pPr>
    </w:p>
    <w:p w14:paraId="2984B4FF" w14:textId="77777777" w:rsidR="00445A56" w:rsidRPr="006070EA" w:rsidRDefault="00445A56" w:rsidP="009E07E1">
      <w:pPr>
        <w:tabs>
          <w:tab w:val="left" w:pos="3570"/>
        </w:tabs>
        <w:spacing w:line="240" w:lineRule="auto"/>
        <w:rPr>
          <w:rFonts w:asciiTheme="majorHAnsi" w:hAnsiTheme="majorHAnsi" w:cstheme="majorHAnsi"/>
          <w:color w:val="FF0000"/>
        </w:rPr>
      </w:pPr>
    </w:p>
    <w:p w14:paraId="63207094" w14:textId="77777777" w:rsidR="00E03D0B" w:rsidRPr="006070EA" w:rsidRDefault="00E03D0B" w:rsidP="009E07E1">
      <w:pPr>
        <w:tabs>
          <w:tab w:val="left" w:pos="3570"/>
        </w:tabs>
        <w:spacing w:line="240" w:lineRule="auto"/>
        <w:rPr>
          <w:rFonts w:asciiTheme="majorHAnsi" w:hAnsiTheme="majorHAnsi" w:cstheme="majorHAnsi"/>
          <w:color w:val="FF0000"/>
        </w:rPr>
      </w:pPr>
    </w:p>
    <w:p w14:paraId="6E8BC4B7" w14:textId="77777777" w:rsidR="00EF06C2" w:rsidRPr="006070EA" w:rsidRDefault="00EF06C2" w:rsidP="009E07E1">
      <w:pPr>
        <w:tabs>
          <w:tab w:val="left" w:pos="3570"/>
        </w:tabs>
        <w:spacing w:line="240" w:lineRule="auto"/>
        <w:rPr>
          <w:rFonts w:asciiTheme="majorHAnsi" w:hAnsiTheme="majorHAnsi" w:cstheme="majorHAnsi"/>
          <w:color w:val="FF0000"/>
        </w:rPr>
      </w:pPr>
    </w:p>
    <w:p w14:paraId="0306905A" w14:textId="77777777" w:rsidR="00EF06C2" w:rsidRPr="006070EA" w:rsidRDefault="00EF06C2" w:rsidP="009E07E1">
      <w:pPr>
        <w:tabs>
          <w:tab w:val="left" w:pos="3570"/>
        </w:tabs>
        <w:spacing w:line="240" w:lineRule="auto"/>
        <w:rPr>
          <w:rFonts w:asciiTheme="majorHAnsi" w:hAnsiTheme="majorHAnsi" w:cstheme="majorHAnsi"/>
          <w:color w:val="FF0000"/>
        </w:rPr>
      </w:pPr>
    </w:p>
    <w:p w14:paraId="2DDC8784" w14:textId="77777777" w:rsidR="00076FBB" w:rsidRPr="006070EA" w:rsidRDefault="00076FBB" w:rsidP="009E07E1">
      <w:pPr>
        <w:tabs>
          <w:tab w:val="left" w:pos="3570"/>
        </w:tabs>
        <w:spacing w:line="240" w:lineRule="auto"/>
        <w:rPr>
          <w:rFonts w:asciiTheme="majorHAnsi" w:hAnsiTheme="majorHAnsi" w:cstheme="majorHAnsi"/>
          <w:color w:val="FF0000"/>
        </w:rPr>
      </w:pPr>
    </w:p>
    <w:p w14:paraId="00479CFD" w14:textId="77777777" w:rsidR="00EF06C2" w:rsidRPr="006070EA" w:rsidRDefault="00EF06C2" w:rsidP="009E07E1">
      <w:pPr>
        <w:tabs>
          <w:tab w:val="left" w:pos="3570"/>
        </w:tabs>
        <w:spacing w:line="240" w:lineRule="auto"/>
        <w:jc w:val="center"/>
        <w:rPr>
          <w:rFonts w:asciiTheme="majorHAnsi" w:hAnsiTheme="majorHAnsi" w:cstheme="majorHAnsi"/>
          <w:color w:val="FF0000"/>
          <w:sz w:val="20"/>
          <w:szCs w:val="20"/>
        </w:rPr>
      </w:pPr>
    </w:p>
    <w:p w14:paraId="565E4BB5" w14:textId="3D4542A9" w:rsidR="00E03D0B" w:rsidRPr="006070EA" w:rsidRDefault="00734352" w:rsidP="00EF06C2">
      <w:pPr>
        <w:tabs>
          <w:tab w:val="left" w:pos="3570"/>
        </w:tabs>
        <w:spacing w:after="0" w:line="240" w:lineRule="auto"/>
        <w:jc w:val="center"/>
        <w:rPr>
          <w:rFonts w:asciiTheme="majorHAnsi" w:hAnsiTheme="majorHAnsi" w:cstheme="majorHAnsi"/>
          <w:color w:val="FF0000"/>
        </w:rPr>
      </w:pPr>
      <w:r w:rsidRPr="006070EA">
        <w:rPr>
          <w:rFonts w:asciiTheme="majorHAnsi" w:hAnsiTheme="majorHAnsi" w:cstheme="majorHAnsi"/>
          <w:noProof/>
          <w:color w:val="FF0000"/>
        </w:rPr>
        <w:drawing>
          <wp:inline distT="0" distB="0" distL="0" distR="0" wp14:anchorId="22166227" wp14:editId="4FC03CF2">
            <wp:extent cx="1628775" cy="1828800"/>
            <wp:effectExtent l="0" t="0" r="0" b="0"/>
            <wp:docPr id="19" name="Obrázek 19" descr="Obsah obrázku text, klipar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Obrázek 19" descr="Obsah obrázku text, klipart&#10;&#10;Popis byl vytvořen automaticky"/>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1628775" cy="1828800"/>
                    </a:xfrm>
                    <a:prstGeom prst="rect">
                      <a:avLst/>
                    </a:prstGeom>
                    <a:noFill/>
                    <a:ln>
                      <a:noFill/>
                    </a:ln>
                  </pic:spPr>
                </pic:pic>
              </a:graphicData>
            </a:graphic>
          </wp:inline>
        </w:drawing>
      </w:r>
    </w:p>
    <w:p w14:paraId="7A8B48A0" w14:textId="77777777" w:rsidR="00E03D0B" w:rsidRPr="006070EA" w:rsidRDefault="00E03D0B" w:rsidP="009E07E1">
      <w:pPr>
        <w:spacing w:line="240" w:lineRule="auto"/>
        <w:rPr>
          <w:rFonts w:asciiTheme="majorHAnsi" w:hAnsiTheme="majorHAnsi" w:cstheme="majorHAnsi"/>
          <w:color w:val="FF0000"/>
        </w:rPr>
        <w:sectPr w:rsidR="00E03D0B" w:rsidRPr="006070EA" w:rsidSect="0065127D">
          <w:pgSz w:w="11906" w:h="16838"/>
          <w:pgMar w:top="1417" w:right="1417" w:bottom="1417" w:left="1417" w:header="708" w:footer="708" w:gutter="0"/>
          <w:cols w:space="708"/>
          <w:titlePg/>
          <w:docGrid w:linePitch="360"/>
        </w:sectPr>
      </w:pPr>
    </w:p>
    <w:p w14:paraId="4C6E239A" w14:textId="3A3E3C9F" w:rsidR="004E08AA" w:rsidRPr="006070EA" w:rsidRDefault="004E08AA" w:rsidP="009E07E1">
      <w:pPr>
        <w:spacing w:line="240" w:lineRule="auto"/>
        <w:jc w:val="center"/>
        <w:rPr>
          <w:rFonts w:asciiTheme="majorHAnsi" w:hAnsiTheme="majorHAnsi" w:cstheme="majorHAnsi"/>
          <w:b/>
          <w:sz w:val="36"/>
        </w:rPr>
      </w:pPr>
      <w:r w:rsidRPr="006070EA">
        <w:rPr>
          <w:rFonts w:asciiTheme="majorHAnsi" w:hAnsiTheme="majorHAnsi" w:cstheme="majorHAnsi"/>
          <w:b/>
          <w:sz w:val="36"/>
        </w:rPr>
        <w:lastRenderedPageBreak/>
        <w:t xml:space="preserve">ODŮVODNĚNÍ ÚZEMNÍHO </w:t>
      </w:r>
      <w:r w:rsidR="00441938" w:rsidRPr="006070EA">
        <w:rPr>
          <w:rFonts w:asciiTheme="majorHAnsi" w:hAnsiTheme="majorHAnsi" w:cstheme="majorHAnsi"/>
          <w:b/>
          <w:sz w:val="36"/>
        </w:rPr>
        <w:t xml:space="preserve">PLÁNU </w:t>
      </w:r>
      <w:r w:rsidR="00734352" w:rsidRPr="006070EA">
        <w:rPr>
          <w:rFonts w:asciiTheme="majorHAnsi" w:hAnsiTheme="majorHAnsi" w:cstheme="majorHAnsi"/>
          <w:b/>
          <w:sz w:val="36"/>
        </w:rPr>
        <w:t>KOSTOMLATY NAD LABEM</w:t>
      </w:r>
    </w:p>
    <w:p w14:paraId="38589FFD" w14:textId="77777777" w:rsidR="004E08AA" w:rsidRPr="006070EA" w:rsidRDefault="004E08AA" w:rsidP="00D814A9">
      <w:pPr>
        <w:pStyle w:val="Odstavecseseznamem"/>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0" w:name="_Toc424119780"/>
      <w:bookmarkStart w:id="1" w:name="_Toc204678161"/>
      <w:r w:rsidRPr="006070EA">
        <w:rPr>
          <w:rFonts w:asciiTheme="majorHAnsi" w:hAnsiTheme="majorHAnsi" w:cstheme="majorHAnsi"/>
          <w:b/>
          <w:sz w:val="24"/>
          <w:szCs w:val="28"/>
        </w:rPr>
        <w:t>POSTUP PŘI POŘÍZENÍ ÚZEMNÍHO PLÁNU</w:t>
      </w:r>
      <w:bookmarkEnd w:id="0"/>
      <w:bookmarkEnd w:id="1"/>
    </w:p>
    <w:p w14:paraId="3AFE8CF8" w14:textId="77777777" w:rsidR="004E08AA" w:rsidRPr="006070EA" w:rsidRDefault="004E08AA" w:rsidP="00D814A9">
      <w:pPr>
        <w:spacing w:after="120" w:line="240" w:lineRule="auto"/>
        <w:ind w:left="567" w:firstLine="142"/>
        <w:jc w:val="both"/>
        <w:rPr>
          <w:rFonts w:asciiTheme="majorHAnsi" w:hAnsiTheme="majorHAnsi" w:cstheme="majorHAnsi"/>
          <w:i/>
          <w:sz w:val="18"/>
          <w:szCs w:val="20"/>
        </w:rPr>
      </w:pPr>
      <w:r w:rsidRPr="006070EA">
        <w:rPr>
          <w:rFonts w:asciiTheme="majorHAnsi" w:hAnsiTheme="majorHAnsi" w:cstheme="majorHAnsi"/>
          <w:i/>
          <w:sz w:val="18"/>
          <w:szCs w:val="20"/>
        </w:rPr>
        <w:t>Zákon č. 500/2004 Sb., správní řád, ve znění pozdějších předpisů (dále jen „Zákon č. 500/2004 Sb.</w:t>
      </w:r>
      <w:r w:rsidR="00027596" w:rsidRPr="006070EA">
        <w:rPr>
          <w:rFonts w:asciiTheme="majorHAnsi" w:hAnsiTheme="majorHAnsi" w:cstheme="majorHAnsi"/>
          <w:i/>
          <w:sz w:val="18"/>
          <w:szCs w:val="20"/>
        </w:rPr>
        <w:t>“</w:t>
      </w:r>
      <w:r w:rsidRPr="006070EA">
        <w:rPr>
          <w:rFonts w:asciiTheme="majorHAnsi" w:hAnsiTheme="majorHAnsi" w:cstheme="majorHAnsi"/>
          <w:i/>
          <w:sz w:val="18"/>
          <w:szCs w:val="20"/>
        </w:rPr>
        <w:t>)</w:t>
      </w:r>
    </w:p>
    <w:p w14:paraId="5272DAB0" w14:textId="77777777" w:rsidR="004E08AA" w:rsidRPr="006070EA" w:rsidRDefault="004E08AA" w:rsidP="00D814A9">
      <w:pPr>
        <w:spacing w:after="120" w:line="240" w:lineRule="auto"/>
        <w:ind w:left="567" w:firstLine="142"/>
        <w:jc w:val="both"/>
        <w:rPr>
          <w:rFonts w:asciiTheme="majorHAnsi" w:hAnsiTheme="majorHAnsi" w:cstheme="majorHAnsi"/>
          <w:b/>
          <w:i/>
          <w:sz w:val="18"/>
          <w:szCs w:val="20"/>
        </w:rPr>
      </w:pPr>
      <w:r w:rsidRPr="006070EA">
        <w:rPr>
          <w:rFonts w:asciiTheme="majorHAnsi" w:hAnsiTheme="majorHAnsi" w:cstheme="majorHAnsi"/>
          <w:b/>
          <w:i/>
          <w:sz w:val="18"/>
          <w:szCs w:val="20"/>
        </w:rPr>
        <w:t>Zpracovává pořizovatel.</w:t>
      </w:r>
    </w:p>
    <w:p w14:paraId="531F26D1"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Obec Kostomlaty má platný územní plán z roku 2003.</w:t>
      </w:r>
    </w:p>
    <w:p w14:paraId="6D210D65"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Zastupitelstvo obce Kostomlaty dne 28.04.2016 usnesením č. 34/2016 rozhodlo o pořízení nového územního plánu. Pořizovatelem projednání územního plánu byl pověřen Městský úřad Nymburk, odbor výstavby. Zastupitelstvo dále rozhodlo, že určeným zastupitelem pro spolupráci s pořizovatelem územního plánu bude starostka obce Ing. Romana Hradilová.</w:t>
      </w:r>
    </w:p>
    <w:p w14:paraId="280BC3FE"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 xml:space="preserve">V březnu 2019 úřad územního plánování ve spolupráci s určeným zastupitelem zpracoval návrh zadání územního plánu Kostomlaty, který byl projednán podle § 47 odst. 2 a 3 stavebního zákona. Návrh zadání byl jednotlivě zaslán krajskému úřadu, dotčeným orgánům a sousedním obcím. Veřejnosti bylo projednávání zadání včetně poučení o lhůtách, ve kterých je může podávat k návrhu zadání připomínky, oznámeno veřejnou vyhláškou. Návrh zadání byl vystaven k veřejnému nahlížení v tištěné podobě po dobu 30 dnů na Obecním úřadě v Kostomlatech nad Labem a na Městském úřadu Nymburk, v elektronické podobě na internetových stránkách obou obcí. Krajský úřad, orgán posuzování vlivů na životní prostředí ve svém stanovisku z 23.4.požadoval zpracování vyhodnocení vlivů na životní prostředí (tzv. SEA) dle přílohy stavebního zákona. Návrh zadání byl upraven a upřesněn, a byl zhotoven pracovní koordinační výkres.  Na základě těchto podkladů vydal Krajský úřad Středočeského kraje dne 16.8.2021 nové stanovisko, ve kterém zpracování SEA nepožadoval. Upravený návrh zadání byl v souladu s § 47 odst. 4 stavebního zákona předložen zastupitelstvu obce, které jej dne 21.10.2021 svým usnesením č.7 schválilo. </w:t>
      </w:r>
    </w:p>
    <w:p w14:paraId="666ABB1E"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Na základě schváleného zadání byl vypracován návrh územního plánu. Zpracovatelem územního plánu byl Ing. arch. Eduard Žaluda, projektová kancelář, Železná 493/20, Praha 1, ČKA  04 077, IČO 73580872.</w:t>
      </w:r>
    </w:p>
    <w:p w14:paraId="2799518E"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V květnu 2022 pořizovatel v souladu s § 50 stavebního zákona zahájil projednávání návrhu územního plánu. V souladu s § 50 odst. 3 stavebního zákona byl návrh územního plánu doručen veřejnou vyhláškou. Každý mohl ve lhůtě do 30 dnů uplatnit u pořizovatele písemné připomínky. Společné jednání pro dotčené orgány, krajský úřad a sousední obce se uskutečnilo dne 24.06.2022 na Městském úřadě Nymburk. Zpracovatel provedl výklad návrhu územního plánu. Ve stanovené lhůtě mohly dotčené orgány uplatnit stanoviska a sousední obce podněty a ostatní připomínky.</w:t>
      </w:r>
    </w:p>
    <w:p w14:paraId="3FDA7E64"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 xml:space="preserve">Krajský úřad Středočeského kraje, ve svém koordinovaném stanovisku ze dne 20.07.20212 vyjádřil nesouhlas s předpokládaným záborem ZPF. Návrh územního plánu byl opraven, zastavitelné plochy byly redukovány, přesto Krajský úřad dne 28.4.2023 opět vydal nesouhlasné stanovisko z hlediska ochrany ZPF. Dne 6.6.2023 proběhlo na Krajském úřadě jednání, na kterém byly dohodnuty podmínky pro úpravu návrhu územního plánu, které byly následně zapracovány do návrhu ÚP. K upravenému návrhu územního plánu vydal dne 27.07.2023 Krajský úřad, odbor životního prostředí, nové souhlasné stanovisko. </w:t>
      </w:r>
    </w:p>
    <w:p w14:paraId="3C2F98F2"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Krajský úřad Středočeského kraje, odbor územního plánování a stavebního řádu, jako nadřízený správní orgán v září 2023 neshledal v návrhu územního plánu žádné nedostatky a vydal souhlas s dalším postupem projednávání územního plánu.</w:t>
      </w:r>
    </w:p>
    <w:p w14:paraId="090B54DC"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Pořizovatel oznámil v souladu s § 52 odst. 1 stavebního zákona a § 172 zákona č. 500/2004 Sb., správní řád, zahájení řízení o územním plánu a konání veřejného jednání v Kostomlatech nad Labem. Oznámení bylo jednotlivě zasláno krajskému úřadu, dotčeným orgánům a sousedním obcím. Veřejnosti byl termín a místo veřejného projednání oznámeno veřejnou vyhláškou. Návrh územního plánu byl vystaven na Obecním úřadě Kostomlaty a na Městském úřadě Nymburk, v elektronické podobě na internetových stránkách obou obcí.</w:t>
      </w:r>
    </w:p>
    <w:p w14:paraId="12C32057"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 xml:space="preserve">Veřejné projednání se konalo v Kostomlatech nad Labem dne 21.02.2024, zpracovatelem byl proveden výklad. Proběhla </w:t>
      </w:r>
      <w:proofErr w:type="gramStart"/>
      <w:r w:rsidRPr="00F46326">
        <w:rPr>
          <w:rFonts w:asciiTheme="majorHAnsi" w:hAnsiTheme="majorHAnsi" w:cstheme="majorHAnsi"/>
          <w:sz w:val="18"/>
          <w:szCs w:val="20"/>
        </w:rPr>
        <w:t>diskuze</w:t>
      </w:r>
      <w:proofErr w:type="gramEnd"/>
      <w:r w:rsidRPr="00F46326">
        <w:rPr>
          <w:rFonts w:asciiTheme="majorHAnsi" w:hAnsiTheme="majorHAnsi" w:cstheme="majorHAnsi"/>
          <w:sz w:val="18"/>
          <w:szCs w:val="20"/>
        </w:rPr>
        <w:t>, přítomní měli možnost položit otázky k návrhu územního plánu. Přítomní byli poučeni o možnosti, způsobu a termínu podání námitek a připomínek.</w:t>
      </w:r>
    </w:p>
    <w:p w14:paraId="62BC67B8"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 xml:space="preserve">Pořizovatel s určeným zastupitelem vyhodnotil výsledky projednání, zpracoval návrh rozhodnutí o námitkách a vyhodnocení připomínek uplatněných k návrhu územního plánu a projednal je s dotčenými orgány a krajským úřadem. V souladu s výsledky vyhodnocení projednání byla provedena úprava územního plánu. Protože úpravou návrhu územního plánu došlo k novým zásahům do vlastnických práv, bylo rozhodnuto o provedení opakovaného veřejného projednání. </w:t>
      </w:r>
    </w:p>
    <w:p w14:paraId="70E3EDEF"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Pořizovatel oznámil v souladu s § 53 odst. 2 stavebního zákona a § 172 zákona č. 500/2004 Sb., správní řád, konání opakovaného veřejného projednání v Kostomlatech nad Labem. Oznámení bylo jednotlivě zasláno krajskému úřadu, dotčeným orgánům a sousedním obcím. Veřejnosti byl termín a místo veřejného projednání oznámeno veřejnou vyhláškou. Návrh územního plánu byl vystaven na Obecním úřadě Kovanice a na Městském úřadě Nymburk, v elektronické podobě na internetových stránkách obou obcí.</w:t>
      </w:r>
    </w:p>
    <w:p w14:paraId="732BDFD5"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lastRenderedPageBreak/>
        <w:t xml:space="preserve">Opakované veřejné projednání proběhlo dne 05.03.2025 v Kostomlatech nad Labem. Zpracovatelem byl proveden výklad změn, které byly v návrhu územního plánu provedeny od prvního veřejného projednání. Proběhla </w:t>
      </w:r>
      <w:proofErr w:type="gramStart"/>
      <w:r w:rsidRPr="00F46326">
        <w:rPr>
          <w:rFonts w:asciiTheme="majorHAnsi" w:hAnsiTheme="majorHAnsi" w:cstheme="majorHAnsi"/>
          <w:sz w:val="18"/>
          <w:szCs w:val="20"/>
        </w:rPr>
        <w:t>diskuze</w:t>
      </w:r>
      <w:proofErr w:type="gramEnd"/>
      <w:r w:rsidRPr="00F46326">
        <w:rPr>
          <w:rFonts w:asciiTheme="majorHAnsi" w:hAnsiTheme="majorHAnsi" w:cstheme="majorHAnsi"/>
          <w:sz w:val="18"/>
          <w:szCs w:val="20"/>
        </w:rPr>
        <w:t>, přítomní měli možnost položit otázky k návrhu územního plánu. Přítomní byli poučeni o možnosti, způsobu a termínu podání námitek a připomínek.</w:t>
      </w:r>
    </w:p>
    <w:p w14:paraId="7536F1E0"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Krajský úřad Středočeského kraje vydal k upravenému návrhu územního plánu Kostomlaty k opakovanému veřejnému projednání souhlasné stanovisko dne 03.03.2025.</w:t>
      </w:r>
    </w:p>
    <w:p w14:paraId="57EA162F"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Pořizovatel s určeným zastupitelem vyhodnotil výsledky projednání, zpracoval návrh rozhodnutí o námitkách a vyhodnocení připomínek uplatněných k návrhu územního plánu a projednal je s dotčenými orgány a krajským úřadem. Krajský úřad vydal souhlasné stanovisko k návrhu rozhodnutí o námitkách 12.06.2025. V souladu s výsledky vyhodnocení projednání byla provedena úprava územního plánu.</w:t>
      </w:r>
    </w:p>
    <w:p w14:paraId="4A61F3FF"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 xml:space="preserve">Pořizovatel v souladu s § 53 odst. 4 přezkoumal soulad návrhu územního plánu s politikou územního rozvoje a územně plánovací dokumentací vydanou krajem, s cíli a úkoly územního plánování, s požadavky stavebního zákona a jeho prováděcích právních předpisů, s požadavky zvláštních právních předpisů a se stanovisky dotčených orgánů a stanoviskem krajského úřadu.     </w:t>
      </w:r>
    </w:p>
    <w:p w14:paraId="2ADA5F32" w14:textId="77777777" w:rsidR="00F46326" w:rsidRPr="00F46326" w:rsidRDefault="00F46326" w:rsidP="00F46326">
      <w:pPr>
        <w:spacing w:line="240" w:lineRule="auto"/>
        <w:ind w:firstLine="709"/>
        <w:jc w:val="both"/>
        <w:rPr>
          <w:rFonts w:asciiTheme="majorHAnsi" w:hAnsiTheme="majorHAnsi" w:cstheme="majorHAnsi"/>
          <w:sz w:val="18"/>
          <w:szCs w:val="20"/>
        </w:rPr>
      </w:pPr>
      <w:r w:rsidRPr="00F46326">
        <w:rPr>
          <w:rFonts w:asciiTheme="majorHAnsi" w:hAnsiTheme="majorHAnsi" w:cstheme="majorHAnsi"/>
          <w:sz w:val="18"/>
          <w:szCs w:val="20"/>
        </w:rPr>
        <w:t>Pořizovatel podle § 54 odst. 1 předložil návrh územního plánu zastupitelstvu obce Kostomlaty nad Labem ke schválení.</w:t>
      </w:r>
    </w:p>
    <w:p w14:paraId="7869DE2D" w14:textId="77777777" w:rsidR="004E08AA" w:rsidRPr="006070EA" w:rsidRDefault="004E08AA" w:rsidP="00D814A9">
      <w:pPr>
        <w:pStyle w:val="Odstavecseseznamem"/>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2" w:name="_Toc424119781"/>
      <w:bookmarkStart w:id="3" w:name="_Toc204678162"/>
      <w:r w:rsidRPr="006070EA">
        <w:rPr>
          <w:rFonts w:asciiTheme="majorHAnsi" w:hAnsiTheme="majorHAnsi" w:cstheme="majorHAnsi"/>
          <w:b/>
          <w:sz w:val="24"/>
          <w:szCs w:val="28"/>
        </w:rPr>
        <w:t>VYHODNOCENÍ KOORDINAC</w:t>
      </w:r>
      <w:r w:rsidR="009775ED" w:rsidRPr="006070EA">
        <w:rPr>
          <w:rFonts w:asciiTheme="majorHAnsi" w:hAnsiTheme="majorHAnsi" w:cstheme="majorHAnsi"/>
          <w:b/>
          <w:sz w:val="24"/>
          <w:szCs w:val="28"/>
        </w:rPr>
        <w:t>E</w:t>
      </w:r>
      <w:r w:rsidRPr="006070EA">
        <w:rPr>
          <w:rFonts w:asciiTheme="majorHAnsi" w:hAnsiTheme="majorHAnsi" w:cstheme="majorHAnsi"/>
          <w:b/>
          <w:sz w:val="24"/>
          <w:szCs w:val="28"/>
        </w:rPr>
        <w:t xml:space="preserve"> VYUŽÍVÁNÍ ÚZEMÍ Z HLEDISKA ŠIRŠÍCH VZTAHŮ V</w:t>
      </w:r>
      <w:r w:rsidR="00A069ED" w:rsidRPr="006070EA">
        <w:rPr>
          <w:rFonts w:asciiTheme="majorHAnsi" w:hAnsiTheme="majorHAnsi" w:cstheme="majorHAnsi"/>
          <w:b/>
          <w:sz w:val="24"/>
          <w:szCs w:val="28"/>
        </w:rPr>
        <w:t> </w:t>
      </w:r>
      <w:r w:rsidRPr="006070EA">
        <w:rPr>
          <w:rFonts w:asciiTheme="majorHAnsi" w:hAnsiTheme="majorHAnsi" w:cstheme="majorHAnsi"/>
          <w:b/>
          <w:sz w:val="24"/>
          <w:szCs w:val="28"/>
        </w:rPr>
        <w:t>ÚZEMÍ</w:t>
      </w:r>
      <w:bookmarkEnd w:id="2"/>
      <w:bookmarkEnd w:id="3"/>
    </w:p>
    <w:p w14:paraId="107D6514" w14:textId="77777777" w:rsidR="004E08AA" w:rsidRPr="006070EA" w:rsidRDefault="004E08AA" w:rsidP="00D814A9">
      <w:pPr>
        <w:spacing w:after="120" w:line="240" w:lineRule="auto"/>
        <w:ind w:left="709"/>
        <w:jc w:val="both"/>
        <w:rPr>
          <w:rFonts w:asciiTheme="majorHAnsi" w:hAnsiTheme="majorHAnsi" w:cstheme="majorHAnsi"/>
          <w:i/>
          <w:sz w:val="18"/>
          <w:szCs w:val="20"/>
        </w:rPr>
      </w:pPr>
      <w:r w:rsidRPr="006070EA">
        <w:rPr>
          <w:rFonts w:asciiTheme="majorHAnsi" w:hAnsiTheme="majorHAnsi" w:cstheme="majorHAnsi"/>
          <w:i/>
          <w:sz w:val="18"/>
          <w:szCs w:val="20"/>
        </w:rPr>
        <w:t>Vyhláška č. 500/2006 Sb., o územně analytických podkladech, územně plánovací dokumentaci a</w:t>
      </w:r>
      <w:r w:rsidR="00D814A9" w:rsidRPr="006070EA">
        <w:rPr>
          <w:rFonts w:asciiTheme="majorHAnsi" w:hAnsiTheme="majorHAnsi" w:cstheme="majorHAnsi"/>
          <w:i/>
          <w:sz w:val="18"/>
          <w:szCs w:val="20"/>
        </w:rPr>
        <w:t> </w:t>
      </w:r>
      <w:r w:rsidRPr="006070EA">
        <w:rPr>
          <w:rFonts w:asciiTheme="majorHAnsi" w:hAnsiTheme="majorHAnsi" w:cstheme="majorHAnsi"/>
          <w:i/>
          <w:sz w:val="18"/>
          <w:szCs w:val="20"/>
        </w:rPr>
        <w:t>způsobu evidence územně plánovací činnosti</w:t>
      </w:r>
      <w:r w:rsidR="00452B1F" w:rsidRPr="006070EA">
        <w:rPr>
          <w:rFonts w:asciiTheme="majorHAnsi" w:hAnsiTheme="majorHAnsi" w:cstheme="majorHAnsi"/>
          <w:i/>
          <w:sz w:val="18"/>
          <w:szCs w:val="20"/>
        </w:rPr>
        <w:t>, ve znění pozdějších předpisů se zkratkou (dále jen „Vyhláška č.</w:t>
      </w:r>
      <w:r w:rsidR="00DC6611" w:rsidRPr="006070EA">
        <w:rPr>
          <w:rFonts w:asciiTheme="majorHAnsi" w:hAnsiTheme="majorHAnsi" w:cstheme="majorHAnsi"/>
          <w:i/>
          <w:sz w:val="18"/>
          <w:szCs w:val="20"/>
        </w:rPr>
        <w:t> </w:t>
      </w:r>
      <w:r w:rsidR="00452B1F" w:rsidRPr="006070EA">
        <w:rPr>
          <w:rFonts w:asciiTheme="majorHAnsi" w:hAnsiTheme="majorHAnsi" w:cstheme="majorHAnsi"/>
          <w:i/>
          <w:sz w:val="18"/>
          <w:szCs w:val="20"/>
        </w:rPr>
        <w:t>500/2006 Sb.</w:t>
      </w:r>
      <w:r w:rsidR="00027596" w:rsidRPr="006070EA">
        <w:rPr>
          <w:rFonts w:asciiTheme="majorHAnsi" w:hAnsiTheme="majorHAnsi" w:cstheme="majorHAnsi"/>
          <w:i/>
          <w:sz w:val="18"/>
          <w:szCs w:val="20"/>
        </w:rPr>
        <w:t>“</w:t>
      </w:r>
      <w:r w:rsidR="00452B1F" w:rsidRPr="006070EA">
        <w:rPr>
          <w:rFonts w:asciiTheme="majorHAnsi" w:hAnsiTheme="majorHAnsi" w:cstheme="majorHAnsi"/>
          <w:i/>
          <w:sz w:val="18"/>
          <w:szCs w:val="20"/>
        </w:rPr>
        <w:t>), příloha č.</w:t>
      </w:r>
      <w:r w:rsidR="0050797C" w:rsidRPr="006070EA">
        <w:rPr>
          <w:rFonts w:asciiTheme="majorHAnsi" w:hAnsiTheme="majorHAnsi" w:cstheme="majorHAnsi"/>
          <w:i/>
          <w:sz w:val="18"/>
          <w:szCs w:val="20"/>
        </w:rPr>
        <w:t> </w:t>
      </w:r>
      <w:r w:rsidR="00452B1F" w:rsidRPr="006070EA">
        <w:rPr>
          <w:rFonts w:asciiTheme="majorHAnsi" w:hAnsiTheme="majorHAnsi" w:cstheme="majorHAnsi"/>
          <w:i/>
          <w:sz w:val="18"/>
          <w:szCs w:val="20"/>
        </w:rPr>
        <w:t xml:space="preserve">7, část II., odst. </w:t>
      </w:r>
      <w:proofErr w:type="gramStart"/>
      <w:r w:rsidR="00452B1F" w:rsidRPr="006070EA">
        <w:rPr>
          <w:rFonts w:asciiTheme="majorHAnsi" w:hAnsiTheme="majorHAnsi" w:cstheme="majorHAnsi"/>
          <w:i/>
          <w:sz w:val="18"/>
          <w:szCs w:val="20"/>
        </w:rPr>
        <w:t>1a</w:t>
      </w:r>
      <w:proofErr w:type="gramEnd"/>
      <w:r w:rsidR="00452B1F" w:rsidRPr="006070EA">
        <w:rPr>
          <w:rFonts w:asciiTheme="majorHAnsi" w:hAnsiTheme="majorHAnsi" w:cstheme="majorHAnsi"/>
          <w:i/>
          <w:sz w:val="18"/>
          <w:szCs w:val="20"/>
        </w:rPr>
        <w:t>)</w:t>
      </w:r>
    </w:p>
    <w:p w14:paraId="359B6624" w14:textId="77777777" w:rsidR="00452B1F" w:rsidRPr="006070EA" w:rsidRDefault="00452B1F" w:rsidP="00D814A9">
      <w:pPr>
        <w:spacing w:after="120" w:line="240" w:lineRule="auto"/>
        <w:ind w:left="567" w:firstLine="142"/>
        <w:jc w:val="both"/>
        <w:rPr>
          <w:rFonts w:asciiTheme="majorHAnsi" w:hAnsiTheme="majorHAnsi" w:cstheme="majorHAnsi"/>
          <w:b/>
          <w:i/>
          <w:sz w:val="18"/>
          <w:szCs w:val="20"/>
        </w:rPr>
      </w:pPr>
      <w:r w:rsidRPr="006070EA">
        <w:rPr>
          <w:rFonts w:asciiTheme="majorHAnsi" w:hAnsiTheme="majorHAnsi" w:cstheme="majorHAnsi"/>
          <w:b/>
          <w:i/>
          <w:sz w:val="18"/>
          <w:szCs w:val="20"/>
        </w:rPr>
        <w:t>Zpracovává projektant.</w:t>
      </w:r>
    </w:p>
    <w:p w14:paraId="25AA3D8F" w14:textId="77777777" w:rsidR="00452B1F" w:rsidRPr="006070EA" w:rsidRDefault="00452B1F" w:rsidP="009E07E1">
      <w:pPr>
        <w:spacing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Z hlediska širších vztahů je v územním plánu řešena návaznost jednotlivých funkčních ploch a dalších prostorových a</w:t>
      </w:r>
      <w:r w:rsidR="0050797C" w:rsidRPr="006070EA">
        <w:rPr>
          <w:rFonts w:asciiTheme="majorHAnsi" w:hAnsiTheme="majorHAnsi" w:cstheme="majorHAnsi"/>
          <w:sz w:val="18"/>
          <w:szCs w:val="20"/>
        </w:rPr>
        <w:t> </w:t>
      </w:r>
      <w:r w:rsidRPr="006070EA">
        <w:rPr>
          <w:rFonts w:asciiTheme="majorHAnsi" w:hAnsiTheme="majorHAnsi" w:cstheme="majorHAnsi"/>
          <w:sz w:val="18"/>
          <w:szCs w:val="20"/>
        </w:rPr>
        <w:t>funkčních vazeb v oblasti dopravní a technické infrastruktury, ochrany přírody a navazujících prvků územního systému ekologické stability.</w:t>
      </w:r>
    </w:p>
    <w:p w14:paraId="0F085F8F" w14:textId="0FCEDA09" w:rsidR="00452B1F" w:rsidRPr="006070EA" w:rsidRDefault="0028434D" w:rsidP="00982B04">
      <w:pPr>
        <w:pStyle w:val="Odstavecseseznamem"/>
        <w:numPr>
          <w:ilvl w:val="1"/>
          <w:numId w:val="2"/>
        </w:numPr>
        <w:spacing w:before="160" w:after="120" w:line="240" w:lineRule="auto"/>
        <w:ind w:left="709" w:hanging="709"/>
        <w:contextualSpacing w:val="0"/>
        <w:outlineLvl w:val="1"/>
        <w:rPr>
          <w:rFonts w:asciiTheme="majorHAnsi" w:hAnsiTheme="majorHAnsi" w:cstheme="majorHAnsi"/>
          <w:b/>
          <w:sz w:val="24"/>
          <w:szCs w:val="20"/>
        </w:rPr>
      </w:pPr>
      <w:bookmarkStart w:id="4" w:name="_Toc415755909"/>
      <w:bookmarkStart w:id="5" w:name="_Toc415756275"/>
      <w:bookmarkStart w:id="6" w:name="_Toc415756634"/>
      <w:bookmarkStart w:id="7" w:name="_Toc415756901"/>
      <w:bookmarkStart w:id="8" w:name="_Toc415757151"/>
      <w:bookmarkStart w:id="9" w:name="_Toc415757400"/>
      <w:bookmarkStart w:id="10" w:name="_Toc415757558"/>
      <w:bookmarkStart w:id="11" w:name="_Toc424050084"/>
      <w:bookmarkStart w:id="12" w:name="_Toc424050258"/>
      <w:bookmarkStart w:id="13" w:name="_Toc424050416"/>
      <w:bookmarkStart w:id="14" w:name="_Toc424112278"/>
      <w:bookmarkStart w:id="15" w:name="_Toc424119302"/>
      <w:bookmarkStart w:id="16" w:name="_Toc424119782"/>
      <w:bookmarkStart w:id="17" w:name="_Toc424120038"/>
      <w:bookmarkStart w:id="18" w:name="_Toc424120464"/>
      <w:bookmarkStart w:id="19" w:name="_Toc424126171"/>
      <w:bookmarkStart w:id="20" w:name="_Toc424138752"/>
      <w:bookmarkStart w:id="21" w:name="_Toc445291867"/>
      <w:bookmarkStart w:id="22" w:name="_Toc445910380"/>
      <w:bookmarkStart w:id="23" w:name="_Toc448831859"/>
      <w:bookmarkStart w:id="24" w:name="_Toc448832049"/>
      <w:bookmarkStart w:id="25" w:name="_Toc450037709"/>
      <w:bookmarkStart w:id="26" w:name="_Toc450223000"/>
      <w:bookmarkStart w:id="27" w:name="_Toc424119790"/>
      <w:bookmarkStart w:id="28" w:name="_Toc20467816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r w:rsidRPr="006070EA">
        <w:rPr>
          <w:rFonts w:asciiTheme="majorHAnsi" w:hAnsiTheme="majorHAnsi" w:cstheme="majorHAnsi"/>
          <w:b/>
          <w:sz w:val="24"/>
          <w:szCs w:val="20"/>
        </w:rPr>
        <w:t xml:space="preserve">Základní údaje o obci </w:t>
      </w:r>
      <w:bookmarkEnd w:id="27"/>
      <w:r w:rsidR="009F054A" w:rsidRPr="006070EA">
        <w:rPr>
          <w:rFonts w:asciiTheme="majorHAnsi" w:hAnsiTheme="majorHAnsi" w:cstheme="majorHAnsi"/>
          <w:b/>
          <w:sz w:val="24"/>
          <w:szCs w:val="20"/>
        </w:rPr>
        <w:t>Kostomlaty nad Labem</w:t>
      </w:r>
      <w:bookmarkEnd w:id="28"/>
    </w:p>
    <w:tbl>
      <w:tblPr>
        <w:tblStyle w:val="Mkatabulky"/>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3402"/>
        <w:gridCol w:w="3402"/>
      </w:tblGrid>
      <w:tr w:rsidR="009B5D4A" w:rsidRPr="006070EA" w14:paraId="316330E9" w14:textId="77777777" w:rsidTr="004F6CC3">
        <w:trPr>
          <w:trHeight w:val="20"/>
          <w:jc w:val="center"/>
        </w:trPr>
        <w:tc>
          <w:tcPr>
            <w:tcW w:w="3402" w:type="dxa"/>
            <w:vAlign w:val="center"/>
          </w:tcPr>
          <w:p w14:paraId="4F46A4CD" w14:textId="77777777" w:rsidR="009F1104" w:rsidRPr="006070EA" w:rsidRDefault="009F1104" w:rsidP="00D55F4A">
            <w:pPr>
              <w:rPr>
                <w:rFonts w:asciiTheme="majorHAnsi" w:hAnsiTheme="majorHAnsi" w:cstheme="majorHAnsi"/>
                <w:b/>
                <w:sz w:val="18"/>
                <w:szCs w:val="20"/>
              </w:rPr>
            </w:pPr>
            <w:r w:rsidRPr="006070EA">
              <w:rPr>
                <w:rFonts w:asciiTheme="majorHAnsi" w:hAnsiTheme="majorHAnsi" w:cstheme="majorHAnsi"/>
                <w:b/>
                <w:sz w:val="18"/>
                <w:szCs w:val="20"/>
              </w:rPr>
              <w:t>řešené území</w:t>
            </w:r>
            <w:r w:rsidR="00C87A6F" w:rsidRPr="006070EA">
              <w:rPr>
                <w:rFonts w:asciiTheme="majorHAnsi" w:hAnsiTheme="majorHAnsi" w:cstheme="majorHAnsi"/>
                <w:b/>
                <w:sz w:val="18"/>
                <w:szCs w:val="20"/>
              </w:rPr>
              <w:t xml:space="preserve"> – obec</w:t>
            </w:r>
            <w:r w:rsidR="00F45351" w:rsidRPr="006070EA">
              <w:rPr>
                <w:rFonts w:asciiTheme="majorHAnsi" w:hAnsiTheme="majorHAnsi" w:cstheme="majorHAnsi"/>
                <w:b/>
                <w:sz w:val="18"/>
                <w:szCs w:val="20"/>
              </w:rPr>
              <w:t xml:space="preserve"> (</w:t>
            </w:r>
            <w:r w:rsidR="000F6181" w:rsidRPr="006070EA">
              <w:rPr>
                <w:rFonts w:asciiTheme="majorHAnsi" w:hAnsiTheme="majorHAnsi" w:cstheme="majorHAnsi"/>
                <w:b/>
                <w:sz w:val="18"/>
                <w:szCs w:val="20"/>
              </w:rPr>
              <w:t>kód</w:t>
            </w:r>
            <w:r w:rsidR="00F45351" w:rsidRPr="006070EA">
              <w:rPr>
                <w:rFonts w:asciiTheme="majorHAnsi" w:hAnsiTheme="majorHAnsi" w:cstheme="majorHAnsi"/>
                <w:b/>
                <w:sz w:val="18"/>
                <w:szCs w:val="20"/>
              </w:rPr>
              <w:t>)</w:t>
            </w:r>
          </w:p>
        </w:tc>
        <w:tc>
          <w:tcPr>
            <w:tcW w:w="3402" w:type="dxa"/>
            <w:vAlign w:val="center"/>
          </w:tcPr>
          <w:p w14:paraId="642D1A9F" w14:textId="27A0DE26" w:rsidR="009F1104" w:rsidRPr="006070EA" w:rsidRDefault="009B5D4A" w:rsidP="0090362B">
            <w:pPr>
              <w:rPr>
                <w:rFonts w:asciiTheme="majorHAnsi" w:hAnsiTheme="majorHAnsi" w:cstheme="majorHAnsi"/>
                <w:sz w:val="18"/>
                <w:szCs w:val="20"/>
              </w:rPr>
            </w:pPr>
            <w:r w:rsidRPr="006070EA">
              <w:rPr>
                <w:rFonts w:asciiTheme="majorHAnsi" w:hAnsiTheme="majorHAnsi" w:cstheme="majorHAnsi"/>
                <w:sz w:val="18"/>
                <w:szCs w:val="20"/>
              </w:rPr>
              <w:t xml:space="preserve">Obec </w:t>
            </w:r>
            <w:r w:rsidR="00CE57B5" w:rsidRPr="006070EA">
              <w:rPr>
                <w:rFonts w:asciiTheme="majorHAnsi" w:hAnsiTheme="majorHAnsi" w:cstheme="majorHAnsi"/>
                <w:sz w:val="18"/>
                <w:szCs w:val="20"/>
              </w:rPr>
              <w:t>Kostomlaty nad Labem</w:t>
            </w:r>
            <w:r w:rsidRPr="006070EA">
              <w:rPr>
                <w:rFonts w:asciiTheme="majorHAnsi" w:hAnsiTheme="majorHAnsi" w:cstheme="majorHAnsi"/>
                <w:sz w:val="18"/>
                <w:szCs w:val="20"/>
              </w:rPr>
              <w:t xml:space="preserve"> (537331)</w:t>
            </w:r>
          </w:p>
        </w:tc>
      </w:tr>
      <w:tr w:rsidR="009B5D4A" w:rsidRPr="006070EA" w14:paraId="7B978872" w14:textId="77777777" w:rsidTr="00483AA2">
        <w:trPr>
          <w:trHeight w:val="20"/>
          <w:jc w:val="center"/>
        </w:trPr>
        <w:tc>
          <w:tcPr>
            <w:tcW w:w="3402" w:type="dxa"/>
            <w:vAlign w:val="center"/>
          </w:tcPr>
          <w:p w14:paraId="45582ABE" w14:textId="77777777" w:rsidR="009B5D4A" w:rsidRPr="006070EA" w:rsidRDefault="009B5D4A" w:rsidP="009E07E1">
            <w:pPr>
              <w:rPr>
                <w:rFonts w:asciiTheme="majorHAnsi" w:hAnsiTheme="majorHAnsi" w:cstheme="majorHAnsi"/>
                <w:b/>
                <w:sz w:val="18"/>
                <w:szCs w:val="20"/>
              </w:rPr>
            </w:pPr>
            <w:r w:rsidRPr="006070EA">
              <w:rPr>
                <w:rFonts w:asciiTheme="majorHAnsi" w:hAnsiTheme="majorHAnsi" w:cstheme="majorHAnsi"/>
                <w:b/>
                <w:sz w:val="18"/>
                <w:szCs w:val="20"/>
              </w:rPr>
              <w:t>obec s pověřeným obecním úřadem</w:t>
            </w:r>
          </w:p>
        </w:tc>
        <w:tc>
          <w:tcPr>
            <w:tcW w:w="3402" w:type="dxa"/>
            <w:vMerge w:val="restart"/>
            <w:vAlign w:val="center"/>
          </w:tcPr>
          <w:p w14:paraId="626C9B88" w14:textId="1EC2A35E" w:rsidR="009B5D4A" w:rsidRPr="006070EA" w:rsidRDefault="009B5D4A" w:rsidP="009E07E1">
            <w:pPr>
              <w:rPr>
                <w:rFonts w:asciiTheme="majorHAnsi" w:hAnsiTheme="majorHAnsi" w:cstheme="majorHAnsi"/>
                <w:sz w:val="18"/>
                <w:szCs w:val="20"/>
              </w:rPr>
            </w:pPr>
            <w:r w:rsidRPr="006070EA">
              <w:rPr>
                <w:rFonts w:asciiTheme="majorHAnsi" w:hAnsiTheme="majorHAnsi" w:cstheme="majorHAnsi"/>
                <w:sz w:val="18"/>
                <w:szCs w:val="20"/>
              </w:rPr>
              <w:t>Nymburk</w:t>
            </w:r>
          </w:p>
        </w:tc>
      </w:tr>
      <w:tr w:rsidR="009B5D4A" w:rsidRPr="006070EA" w14:paraId="3AEF61C8" w14:textId="77777777" w:rsidTr="00C617D6">
        <w:trPr>
          <w:trHeight w:val="20"/>
          <w:jc w:val="center"/>
        </w:trPr>
        <w:tc>
          <w:tcPr>
            <w:tcW w:w="3402" w:type="dxa"/>
            <w:vAlign w:val="center"/>
          </w:tcPr>
          <w:p w14:paraId="7F5A67A9" w14:textId="77777777" w:rsidR="009B5D4A" w:rsidRPr="006070EA" w:rsidRDefault="009B5D4A" w:rsidP="009E07E1">
            <w:pPr>
              <w:rPr>
                <w:rFonts w:asciiTheme="majorHAnsi" w:hAnsiTheme="majorHAnsi" w:cstheme="majorHAnsi"/>
                <w:b/>
                <w:sz w:val="18"/>
                <w:szCs w:val="20"/>
              </w:rPr>
            </w:pPr>
            <w:r w:rsidRPr="006070EA">
              <w:rPr>
                <w:rFonts w:asciiTheme="majorHAnsi" w:hAnsiTheme="majorHAnsi" w:cstheme="majorHAnsi"/>
                <w:b/>
                <w:sz w:val="18"/>
                <w:szCs w:val="20"/>
              </w:rPr>
              <w:t>obec s rozšířenou působností</w:t>
            </w:r>
          </w:p>
        </w:tc>
        <w:tc>
          <w:tcPr>
            <w:tcW w:w="3402" w:type="dxa"/>
            <w:vMerge/>
            <w:vAlign w:val="center"/>
          </w:tcPr>
          <w:p w14:paraId="4A47AE1D" w14:textId="5373FA01" w:rsidR="009B5D4A" w:rsidRPr="006070EA" w:rsidRDefault="009B5D4A" w:rsidP="009E07E1">
            <w:pPr>
              <w:rPr>
                <w:rFonts w:asciiTheme="majorHAnsi" w:hAnsiTheme="majorHAnsi" w:cstheme="majorHAnsi"/>
                <w:sz w:val="18"/>
                <w:szCs w:val="20"/>
              </w:rPr>
            </w:pPr>
          </w:p>
        </w:tc>
      </w:tr>
      <w:tr w:rsidR="009B5D4A" w:rsidRPr="006070EA" w14:paraId="6B49B3A1" w14:textId="77777777" w:rsidTr="008864EA">
        <w:trPr>
          <w:trHeight w:val="20"/>
          <w:jc w:val="center"/>
        </w:trPr>
        <w:tc>
          <w:tcPr>
            <w:tcW w:w="3402" w:type="dxa"/>
            <w:vAlign w:val="center"/>
          </w:tcPr>
          <w:p w14:paraId="0C8707EE" w14:textId="3D83CFC2" w:rsidR="009B5D4A" w:rsidRPr="006070EA" w:rsidRDefault="009B5D4A" w:rsidP="009E07E1">
            <w:pPr>
              <w:rPr>
                <w:rFonts w:asciiTheme="majorHAnsi" w:hAnsiTheme="majorHAnsi" w:cstheme="majorHAnsi"/>
                <w:b/>
                <w:sz w:val="18"/>
                <w:szCs w:val="20"/>
              </w:rPr>
            </w:pPr>
            <w:r w:rsidRPr="006070EA">
              <w:rPr>
                <w:rFonts w:asciiTheme="majorHAnsi" w:hAnsiTheme="majorHAnsi" w:cstheme="majorHAnsi"/>
                <w:b/>
                <w:sz w:val="18"/>
                <w:szCs w:val="20"/>
              </w:rPr>
              <w:t>okres (NUTS 4)</w:t>
            </w:r>
          </w:p>
        </w:tc>
        <w:tc>
          <w:tcPr>
            <w:tcW w:w="3402" w:type="dxa"/>
            <w:vAlign w:val="center"/>
          </w:tcPr>
          <w:p w14:paraId="3347F9DF" w14:textId="36D83E86" w:rsidR="009B5D4A" w:rsidRPr="006070EA" w:rsidRDefault="009B5D4A" w:rsidP="009E07E1">
            <w:pPr>
              <w:rPr>
                <w:rFonts w:asciiTheme="majorHAnsi" w:hAnsiTheme="majorHAnsi" w:cstheme="majorHAnsi"/>
                <w:sz w:val="18"/>
                <w:szCs w:val="20"/>
              </w:rPr>
            </w:pPr>
            <w:r w:rsidRPr="006070EA">
              <w:rPr>
                <w:rFonts w:asciiTheme="majorHAnsi" w:hAnsiTheme="majorHAnsi" w:cstheme="majorHAnsi"/>
                <w:sz w:val="18"/>
                <w:szCs w:val="20"/>
              </w:rPr>
              <w:t>Nymburk (CZ0208)</w:t>
            </w:r>
          </w:p>
        </w:tc>
      </w:tr>
      <w:tr w:rsidR="009B5D4A" w:rsidRPr="006070EA" w14:paraId="5CC30BE6" w14:textId="77777777" w:rsidTr="004F6CC3">
        <w:trPr>
          <w:trHeight w:val="20"/>
          <w:jc w:val="center"/>
        </w:trPr>
        <w:tc>
          <w:tcPr>
            <w:tcW w:w="3402" w:type="dxa"/>
            <w:vAlign w:val="center"/>
          </w:tcPr>
          <w:p w14:paraId="057D1C9B" w14:textId="2C9F1DD5" w:rsidR="00C87A6F" w:rsidRPr="006070EA" w:rsidRDefault="00C87A6F" w:rsidP="009E07E1">
            <w:pPr>
              <w:rPr>
                <w:rFonts w:asciiTheme="majorHAnsi" w:hAnsiTheme="majorHAnsi" w:cstheme="majorHAnsi"/>
                <w:b/>
                <w:sz w:val="18"/>
                <w:szCs w:val="20"/>
              </w:rPr>
            </w:pPr>
            <w:r w:rsidRPr="006070EA">
              <w:rPr>
                <w:rFonts w:asciiTheme="majorHAnsi" w:hAnsiTheme="majorHAnsi" w:cstheme="majorHAnsi"/>
                <w:b/>
                <w:sz w:val="18"/>
                <w:szCs w:val="20"/>
              </w:rPr>
              <w:t xml:space="preserve">kraj </w:t>
            </w:r>
            <w:r w:rsidR="009B5D4A" w:rsidRPr="006070EA">
              <w:rPr>
                <w:rFonts w:asciiTheme="majorHAnsi" w:hAnsiTheme="majorHAnsi" w:cstheme="majorHAnsi"/>
                <w:b/>
                <w:sz w:val="18"/>
                <w:szCs w:val="20"/>
              </w:rPr>
              <w:t>(NUTS 3)</w:t>
            </w:r>
          </w:p>
        </w:tc>
        <w:tc>
          <w:tcPr>
            <w:tcW w:w="3402" w:type="dxa"/>
            <w:vAlign w:val="center"/>
          </w:tcPr>
          <w:p w14:paraId="2BBF1630" w14:textId="603F338A" w:rsidR="00C87A6F" w:rsidRPr="006070EA" w:rsidRDefault="009B5D4A" w:rsidP="009E07E1">
            <w:pPr>
              <w:rPr>
                <w:rFonts w:asciiTheme="majorHAnsi" w:hAnsiTheme="majorHAnsi" w:cstheme="majorHAnsi"/>
                <w:sz w:val="18"/>
                <w:szCs w:val="20"/>
              </w:rPr>
            </w:pPr>
            <w:r w:rsidRPr="006070EA">
              <w:rPr>
                <w:rFonts w:asciiTheme="majorHAnsi" w:hAnsiTheme="majorHAnsi" w:cstheme="majorHAnsi"/>
                <w:sz w:val="18"/>
                <w:szCs w:val="20"/>
              </w:rPr>
              <w:t>Středočeský (CZ020)</w:t>
            </w:r>
            <w:r w:rsidR="00C87A6F" w:rsidRPr="006070EA">
              <w:rPr>
                <w:rFonts w:asciiTheme="majorHAnsi" w:hAnsiTheme="majorHAnsi" w:cstheme="majorHAnsi"/>
                <w:sz w:val="18"/>
                <w:szCs w:val="20"/>
              </w:rPr>
              <w:t xml:space="preserve"> </w:t>
            </w:r>
          </w:p>
        </w:tc>
      </w:tr>
      <w:tr w:rsidR="0082601C" w:rsidRPr="006070EA" w14:paraId="722FD915" w14:textId="77777777" w:rsidTr="004F6CC3">
        <w:trPr>
          <w:trHeight w:val="20"/>
          <w:jc w:val="center"/>
        </w:trPr>
        <w:tc>
          <w:tcPr>
            <w:tcW w:w="3402" w:type="dxa"/>
            <w:vMerge w:val="restart"/>
            <w:vAlign w:val="center"/>
          </w:tcPr>
          <w:p w14:paraId="41AC55F0" w14:textId="77777777" w:rsidR="009B5D4A" w:rsidRPr="006070EA" w:rsidRDefault="009B5D4A" w:rsidP="009E07E1">
            <w:pPr>
              <w:rPr>
                <w:rFonts w:asciiTheme="majorHAnsi" w:hAnsiTheme="majorHAnsi" w:cstheme="majorHAnsi"/>
                <w:b/>
                <w:sz w:val="18"/>
                <w:szCs w:val="20"/>
              </w:rPr>
            </w:pPr>
            <w:r w:rsidRPr="006070EA">
              <w:rPr>
                <w:rFonts w:asciiTheme="majorHAnsi" w:hAnsiTheme="majorHAnsi" w:cstheme="majorHAnsi"/>
                <w:b/>
                <w:sz w:val="18"/>
                <w:szCs w:val="20"/>
              </w:rPr>
              <w:t>katastrální území (kód k. ú.)</w:t>
            </w:r>
          </w:p>
        </w:tc>
        <w:tc>
          <w:tcPr>
            <w:tcW w:w="3402" w:type="dxa"/>
            <w:vAlign w:val="center"/>
          </w:tcPr>
          <w:p w14:paraId="0B69BACC" w14:textId="7876FB72" w:rsidR="009B5D4A" w:rsidRPr="006070EA" w:rsidRDefault="009B5D4A" w:rsidP="0090362B">
            <w:pPr>
              <w:rPr>
                <w:rFonts w:asciiTheme="majorHAnsi" w:hAnsiTheme="majorHAnsi" w:cstheme="majorHAnsi"/>
                <w:sz w:val="18"/>
                <w:szCs w:val="20"/>
              </w:rPr>
            </w:pPr>
            <w:r w:rsidRPr="006070EA">
              <w:rPr>
                <w:rFonts w:asciiTheme="majorHAnsi" w:hAnsiTheme="majorHAnsi" w:cstheme="majorHAnsi"/>
                <w:sz w:val="18"/>
                <w:szCs w:val="20"/>
              </w:rPr>
              <w:t>Hronětice (</w:t>
            </w:r>
            <w:r w:rsidR="0082601C" w:rsidRPr="006070EA">
              <w:rPr>
                <w:rFonts w:asciiTheme="majorHAnsi" w:hAnsiTheme="majorHAnsi" w:cstheme="majorHAnsi"/>
                <w:sz w:val="18"/>
                <w:szCs w:val="20"/>
              </w:rPr>
              <w:t>648353</w:t>
            </w:r>
            <w:r w:rsidRPr="006070EA">
              <w:rPr>
                <w:rFonts w:asciiTheme="majorHAnsi" w:hAnsiTheme="majorHAnsi" w:cstheme="majorHAnsi"/>
                <w:sz w:val="18"/>
                <w:szCs w:val="20"/>
              </w:rPr>
              <w:t>)</w:t>
            </w:r>
          </w:p>
        </w:tc>
      </w:tr>
      <w:tr w:rsidR="0082601C" w:rsidRPr="006070EA" w14:paraId="669EA4BA" w14:textId="77777777" w:rsidTr="004F6CC3">
        <w:trPr>
          <w:trHeight w:val="20"/>
          <w:jc w:val="center"/>
        </w:trPr>
        <w:tc>
          <w:tcPr>
            <w:tcW w:w="3402" w:type="dxa"/>
            <w:vMerge/>
            <w:vAlign w:val="center"/>
          </w:tcPr>
          <w:p w14:paraId="4468FC3B" w14:textId="77777777" w:rsidR="009B5D4A" w:rsidRPr="006070EA" w:rsidRDefault="009B5D4A" w:rsidP="009E07E1">
            <w:pPr>
              <w:rPr>
                <w:rFonts w:asciiTheme="majorHAnsi" w:hAnsiTheme="majorHAnsi" w:cstheme="majorHAnsi"/>
                <w:b/>
                <w:sz w:val="18"/>
                <w:szCs w:val="20"/>
              </w:rPr>
            </w:pPr>
          </w:p>
        </w:tc>
        <w:tc>
          <w:tcPr>
            <w:tcW w:w="3402" w:type="dxa"/>
            <w:vAlign w:val="center"/>
          </w:tcPr>
          <w:p w14:paraId="0AA13C9A" w14:textId="3A65F4D0" w:rsidR="009B5D4A" w:rsidRPr="006070EA" w:rsidRDefault="009B5D4A" w:rsidP="0090362B">
            <w:pPr>
              <w:rPr>
                <w:rFonts w:asciiTheme="majorHAnsi" w:hAnsiTheme="majorHAnsi" w:cstheme="majorHAnsi"/>
                <w:sz w:val="18"/>
                <w:szCs w:val="20"/>
              </w:rPr>
            </w:pPr>
            <w:r w:rsidRPr="006070EA">
              <w:rPr>
                <w:rFonts w:asciiTheme="majorHAnsi" w:hAnsiTheme="majorHAnsi" w:cstheme="majorHAnsi"/>
                <w:sz w:val="18"/>
                <w:szCs w:val="20"/>
              </w:rPr>
              <w:t>Kostomlaty nad Labem (</w:t>
            </w:r>
            <w:r w:rsidR="0082601C" w:rsidRPr="006070EA">
              <w:rPr>
                <w:rFonts w:asciiTheme="majorHAnsi" w:hAnsiTheme="majorHAnsi" w:cstheme="majorHAnsi"/>
                <w:sz w:val="18"/>
                <w:szCs w:val="20"/>
              </w:rPr>
              <w:t>670626</w:t>
            </w:r>
            <w:r w:rsidRPr="006070EA">
              <w:rPr>
                <w:rFonts w:asciiTheme="majorHAnsi" w:hAnsiTheme="majorHAnsi" w:cstheme="majorHAnsi"/>
                <w:sz w:val="18"/>
                <w:szCs w:val="20"/>
              </w:rPr>
              <w:t>)</w:t>
            </w:r>
          </w:p>
        </w:tc>
      </w:tr>
      <w:tr w:rsidR="0082601C" w:rsidRPr="006070EA" w14:paraId="461C1F60" w14:textId="77777777" w:rsidTr="004F6CC3">
        <w:trPr>
          <w:trHeight w:val="20"/>
          <w:jc w:val="center"/>
        </w:trPr>
        <w:tc>
          <w:tcPr>
            <w:tcW w:w="3402" w:type="dxa"/>
            <w:vMerge/>
            <w:vAlign w:val="center"/>
          </w:tcPr>
          <w:p w14:paraId="4652DB8C" w14:textId="77777777" w:rsidR="009B5D4A" w:rsidRPr="006070EA" w:rsidRDefault="009B5D4A" w:rsidP="009E07E1">
            <w:pPr>
              <w:rPr>
                <w:rFonts w:asciiTheme="majorHAnsi" w:hAnsiTheme="majorHAnsi" w:cstheme="majorHAnsi"/>
                <w:b/>
                <w:sz w:val="18"/>
                <w:szCs w:val="20"/>
              </w:rPr>
            </w:pPr>
          </w:p>
        </w:tc>
        <w:tc>
          <w:tcPr>
            <w:tcW w:w="3402" w:type="dxa"/>
            <w:vAlign w:val="center"/>
          </w:tcPr>
          <w:p w14:paraId="73BD741B" w14:textId="63C630F9" w:rsidR="009B5D4A" w:rsidRPr="006070EA" w:rsidRDefault="009B5D4A" w:rsidP="0090362B">
            <w:pPr>
              <w:rPr>
                <w:rFonts w:asciiTheme="majorHAnsi" w:hAnsiTheme="majorHAnsi" w:cstheme="majorHAnsi"/>
                <w:sz w:val="18"/>
                <w:szCs w:val="20"/>
              </w:rPr>
            </w:pPr>
            <w:r w:rsidRPr="006070EA">
              <w:rPr>
                <w:rFonts w:asciiTheme="majorHAnsi" w:hAnsiTheme="majorHAnsi" w:cstheme="majorHAnsi"/>
                <w:sz w:val="18"/>
                <w:szCs w:val="20"/>
              </w:rPr>
              <w:t>Lány u Kostomlat nad Labem</w:t>
            </w:r>
            <w:r w:rsidR="0082601C" w:rsidRPr="006070EA">
              <w:rPr>
                <w:rFonts w:asciiTheme="majorHAnsi" w:hAnsiTheme="majorHAnsi" w:cstheme="majorHAnsi"/>
                <w:sz w:val="18"/>
                <w:szCs w:val="20"/>
              </w:rPr>
              <w:t xml:space="preserve"> (670634)</w:t>
            </w:r>
          </w:p>
        </w:tc>
      </w:tr>
      <w:tr w:rsidR="0082601C" w:rsidRPr="006070EA" w14:paraId="6C27A553" w14:textId="77777777" w:rsidTr="004F6CC3">
        <w:trPr>
          <w:trHeight w:val="20"/>
          <w:jc w:val="center"/>
        </w:trPr>
        <w:tc>
          <w:tcPr>
            <w:tcW w:w="3402" w:type="dxa"/>
            <w:vMerge w:val="restart"/>
            <w:vAlign w:val="center"/>
          </w:tcPr>
          <w:p w14:paraId="30A7E494" w14:textId="77777777" w:rsidR="0082601C" w:rsidRPr="006070EA" w:rsidRDefault="0082601C" w:rsidP="009E07E1">
            <w:pPr>
              <w:rPr>
                <w:rFonts w:asciiTheme="majorHAnsi" w:hAnsiTheme="majorHAnsi" w:cstheme="majorHAnsi"/>
                <w:b/>
                <w:sz w:val="18"/>
                <w:szCs w:val="20"/>
              </w:rPr>
            </w:pPr>
            <w:r w:rsidRPr="006070EA">
              <w:rPr>
                <w:rFonts w:asciiTheme="majorHAnsi" w:hAnsiTheme="majorHAnsi" w:cstheme="majorHAnsi"/>
                <w:b/>
                <w:sz w:val="18"/>
                <w:szCs w:val="20"/>
              </w:rPr>
              <w:t>části obce (kód č. o.)</w:t>
            </w:r>
          </w:p>
        </w:tc>
        <w:tc>
          <w:tcPr>
            <w:tcW w:w="3402" w:type="dxa"/>
            <w:vAlign w:val="center"/>
          </w:tcPr>
          <w:p w14:paraId="33F8D59D" w14:textId="319056E8" w:rsidR="0082601C" w:rsidRPr="006070EA" w:rsidRDefault="0082601C" w:rsidP="0090362B">
            <w:pPr>
              <w:rPr>
                <w:rFonts w:asciiTheme="majorHAnsi" w:hAnsiTheme="majorHAnsi" w:cstheme="majorHAnsi"/>
                <w:sz w:val="18"/>
                <w:szCs w:val="20"/>
              </w:rPr>
            </w:pPr>
            <w:r w:rsidRPr="006070EA">
              <w:rPr>
                <w:rFonts w:asciiTheme="majorHAnsi" w:hAnsiTheme="majorHAnsi" w:cstheme="majorHAnsi"/>
                <w:sz w:val="18"/>
                <w:szCs w:val="20"/>
              </w:rPr>
              <w:t>Hronětice</w:t>
            </w:r>
          </w:p>
        </w:tc>
      </w:tr>
      <w:tr w:rsidR="0082601C" w:rsidRPr="006070EA" w14:paraId="444C4B0D" w14:textId="77777777" w:rsidTr="004F6CC3">
        <w:trPr>
          <w:trHeight w:val="20"/>
          <w:jc w:val="center"/>
        </w:trPr>
        <w:tc>
          <w:tcPr>
            <w:tcW w:w="3402" w:type="dxa"/>
            <w:vMerge/>
            <w:vAlign w:val="center"/>
          </w:tcPr>
          <w:p w14:paraId="5A8A20C8" w14:textId="77777777" w:rsidR="0082601C" w:rsidRPr="006070EA" w:rsidRDefault="0082601C" w:rsidP="009E07E1">
            <w:pPr>
              <w:rPr>
                <w:rFonts w:asciiTheme="majorHAnsi" w:hAnsiTheme="majorHAnsi" w:cstheme="majorHAnsi"/>
                <w:b/>
                <w:sz w:val="18"/>
                <w:szCs w:val="20"/>
              </w:rPr>
            </w:pPr>
          </w:p>
        </w:tc>
        <w:tc>
          <w:tcPr>
            <w:tcW w:w="3402" w:type="dxa"/>
            <w:vAlign w:val="center"/>
          </w:tcPr>
          <w:p w14:paraId="00186E4E" w14:textId="42FA166E" w:rsidR="0082601C" w:rsidRPr="006070EA" w:rsidRDefault="0082601C" w:rsidP="0090362B">
            <w:pPr>
              <w:rPr>
                <w:rFonts w:asciiTheme="majorHAnsi" w:hAnsiTheme="majorHAnsi" w:cstheme="majorHAnsi"/>
                <w:sz w:val="18"/>
                <w:szCs w:val="20"/>
              </w:rPr>
            </w:pPr>
            <w:r w:rsidRPr="006070EA">
              <w:rPr>
                <w:rFonts w:asciiTheme="majorHAnsi" w:hAnsiTheme="majorHAnsi" w:cstheme="majorHAnsi"/>
                <w:sz w:val="18"/>
                <w:szCs w:val="20"/>
              </w:rPr>
              <w:t>Kostomlaty nad Labem</w:t>
            </w:r>
          </w:p>
        </w:tc>
      </w:tr>
      <w:tr w:rsidR="0082601C" w:rsidRPr="006070EA" w14:paraId="26EF62E7" w14:textId="77777777" w:rsidTr="004F6CC3">
        <w:trPr>
          <w:trHeight w:val="20"/>
          <w:jc w:val="center"/>
        </w:trPr>
        <w:tc>
          <w:tcPr>
            <w:tcW w:w="3402" w:type="dxa"/>
            <w:vMerge/>
            <w:vAlign w:val="center"/>
          </w:tcPr>
          <w:p w14:paraId="1096ED2F" w14:textId="77777777" w:rsidR="0082601C" w:rsidRPr="006070EA" w:rsidRDefault="0082601C" w:rsidP="009E07E1">
            <w:pPr>
              <w:rPr>
                <w:rFonts w:asciiTheme="majorHAnsi" w:hAnsiTheme="majorHAnsi" w:cstheme="majorHAnsi"/>
                <w:b/>
                <w:sz w:val="18"/>
                <w:szCs w:val="20"/>
              </w:rPr>
            </w:pPr>
          </w:p>
        </w:tc>
        <w:tc>
          <w:tcPr>
            <w:tcW w:w="3402" w:type="dxa"/>
            <w:vAlign w:val="center"/>
          </w:tcPr>
          <w:p w14:paraId="0915DDEC" w14:textId="70480AAD" w:rsidR="0082601C" w:rsidRPr="006070EA" w:rsidRDefault="0082601C" w:rsidP="0090362B">
            <w:pPr>
              <w:rPr>
                <w:rFonts w:asciiTheme="majorHAnsi" w:hAnsiTheme="majorHAnsi" w:cstheme="majorHAnsi"/>
                <w:sz w:val="18"/>
                <w:szCs w:val="20"/>
              </w:rPr>
            </w:pPr>
            <w:r w:rsidRPr="006070EA">
              <w:rPr>
                <w:rFonts w:asciiTheme="majorHAnsi" w:hAnsiTheme="majorHAnsi" w:cstheme="majorHAnsi"/>
                <w:sz w:val="18"/>
                <w:szCs w:val="20"/>
              </w:rPr>
              <w:t>Lány</w:t>
            </w:r>
          </w:p>
        </w:tc>
      </w:tr>
      <w:tr w:rsidR="0082601C" w:rsidRPr="006070EA" w14:paraId="043C7239" w14:textId="77777777" w:rsidTr="004F6CC3">
        <w:trPr>
          <w:trHeight w:val="20"/>
          <w:jc w:val="center"/>
        </w:trPr>
        <w:tc>
          <w:tcPr>
            <w:tcW w:w="3402" w:type="dxa"/>
            <w:vMerge/>
            <w:vAlign w:val="center"/>
          </w:tcPr>
          <w:p w14:paraId="786A862C" w14:textId="77777777" w:rsidR="0082601C" w:rsidRPr="006070EA" w:rsidRDefault="0082601C" w:rsidP="009E07E1">
            <w:pPr>
              <w:rPr>
                <w:rFonts w:asciiTheme="majorHAnsi" w:hAnsiTheme="majorHAnsi" w:cstheme="majorHAnsi"/>
                <w:b/>
                <w:sz w:val="18"/>
                <w:szCs w:val="20"/>
              </w:rPr>
            </w:pPr>
          </w:p>
        </w:tc>
        <w:tc>
          <w:tcPr>
            <w:tcW w:w="3402" w:type="dxa"/>
            <w:vAlign w:val="center"/>
          </w:tcPr>
          <w:p w14:paraId="29AA4597" w14:textId="5BA8B993" w:rsidR="0082601C" w:rsidRPr="006070EA" w:rsidRDefault="0082601C" w:rsidP="0090362B">
            <w:pPr>
              <w:rPr>
                <w:rFonts w:asciiTheme="majorHAnsi" w:hAnsiTheme="majorHAnsi" w:cstheme="majorHAnsi"/>
                <w:sz w:val="18"/>
                <w:szCs w:val="20"/>
              </w:rPr>
            </w:pPr>
            <w:r w:rsidRPr="006070EA">
              <w:rPr>
                <w:rFonts w:asciiTheme="majorHAnsi" w:hAnsiTheme="majorHAnsi" w:cstheme="majorHAnsi"/>
                <w:sz w:val="18"/>
                <w:szCs w:val="20"/>
              </w:rPr>
              <w:t>Rozkoš</w:t>
            </w:r>
          </w:p>
        </w:tc>
      </w:tr>
      <w:tr w:rsidR="0082601C" w:rsidRPr="006070EA" w14:paraId="01068FD8" w14:textId="77777777" w:rsidTr="004F6CC3">
        <w:trPr>
          <w:trHeight w:val="20"/>
          <w:jc w:val="center"/>
        </w:trPr>
        <w:tc>
          <w:tcPr>
            <w:tcW w:w="3402" w:type="dxa"/>
            <w:vMerge/>
            <w:vAlign w:val="center"/>
          </w:tcPr>
          <w:p w14:paraId="35035098" w14:textId="77777777" w:rsidR="0082601C" w:rsidRPr="006070EA" w:rsidRDefault="0082601C" w:rsidP="009E07E1">
            <w:pPr>
              <w:rPr>
                <w:rFonts w:asciiTheme="majorHAnsi" w:hAnsiTheme="majorHAnsi" w:cstheme="majorHAnsi"/>
                <w:b/>
                <w:sz w:val="18"/>
                <w:szCs w:val="20"/>
              </w:rPr>
            </w:pPr>
          </w:p>
        </w:tc>
        <w:tc>
          <w:tcPr>
            <w:tcW w:w="3402" w:type="dxa"/>
            <w:vAlign w:val="center"/>
          </w:tcPr>
          <w:p w14:paraId="5B37A6CB" w14:textId="6659379A" w:rsidR="0082601C" w:rsidRPr="006070EA" w:rsidRDefault="0082601C" w:rsidP="0090362B">
            <w:pPr>
              <w:rPr>
                <w:rFonts w:asciiTheme="majorHAnsi" w:hAnsiTheme="majorHAnsi" w:cstheme="majorHAnsi"/>
                <w:sz w:val="18"/>
                <w:szCs w:val="20"/>
              </w:rPr>
            </w:pPr>
            <w:r w:rsidRPr="006070EA">
              <w:rPr>
                <w:rFonts w:asciiTheme="majorHAnsi" w:hAnsiTheme="majorHAnsi" w:cstheme="majorHAnsi"/>
                <w:sz w:val="18"/>
                <w:szCs w:val="20"/>
              </w:rPr>
              <w:t>Vápensko</w:t>
            </w:r>
          </w:p>
        </w:tc>
      </w:tr>
      <w:tr w:rsidR="0082601C" w:rsidRPr="006070EA" w14:paraId="657A8797" w14:textId="77777777" w:rsidTr="004F6CC3">
        <w:trPr>
          <w:trHeight w:val="20"/>
          <w:jc w:val="center"/>
        </w:trPr>
        <w:tc>
          <w:tcPr>
            <w:tcW w:w="3402" w:type="dxa"/>
            <w:vMerge w:val="restart"/>
            <w:vAlign w:val="center"/>
          </w:tcPr>
          <w:p w14:paraId="47FE5152" w14:textId="77777777" w:rsidR="00CE57B5" w:rsidRPr="006070EA" w:rsidRDefault="00CE57B5" w:rsidP="00CE57B5">
            <w:pPr>
              <w:rPr>
                <w:rFonts w:asciiTheme="majorHAnsi" w:hAnsiTheme="majorHAnsi" w:cstheme="majorHAnsi"/>
                <w:b/>
                <w:sz w:val="18"/>
                <w:szCs w:val="20"/>
              </w:rPr>
            </w:pPr>
            <w:r w:rsidRPr="006070EA">
              <w:rPr>
                <w:rFonts w:asciiTheme="majorHAnsi" w:hAnsiTheme="majorHAnsi" w:cstheme="majorHAnsi"/>
                <w:b/>
                <w:sz w:val="18"/>
                <w:szCs w:val="20"/>
              </w:rPr>
              <w:t>základní sídelní jednotky (kód ZSJ)</w:t>
            </w:r>
          </w:p>
        </w:tc>
        <w:tc>
          <w:tcPr>
            <w:tcW w:w="3402" w:type="dxa"/>
            <w:vAlign w:val="center"/>
          </w:tcPr>
          <w:p w14:paraId="02828D7C" w14:textId="33D116B6" w:rsidR="00CE57B5" w:rsidRPr="006070EA" w:rsidRDefault="00CE57B5" w:rsidP="00CE57B5">
            <w:pPr>
              <w:rPr>
                <w:rFonts w:asciiTheme="majorHAnsi" w:hAnsiTheme="majorHAnsi" w:cstheme="majorHAnsi"/>
                <w:sz w:val="18"/>
                <w:szCs w:val="20"/>
              </w:rPr>
            </w:pPr>
            <w:r w:rsidRPr="006070EA">
              <w:rPr>
                <w:rFonts w:asciiTheme="majorHAnsi" w:hAnsiTheme="majorHAnsi" w:cstheme="majorHAnsi"/>
                <w:sz w:val="18"/>
                <w:szCs w:val="20"/>
              </w:rPr>
              <w:t>Hronětice (048356)</w:t>
            </w:r>
          </w:p>
        </w:tc>
      </w:tr>
      <w:tr w:rsidR="00CE57B5" w:rsidRPr="006070EA" w14:paraId="78C3B01A" w14:textId="77777777" w:rsidTr="004F6CC3">
        <w:trPr>
          <w:trHeight w:val="20"/>
          <w:jc w:val="center"/>
        </w:trPr>
        <w:tc>
          <w:tcPr>
            <w:tcW w:w="3402" w:type="dxa"/>
            <w:vMerge/>
            <w:vAlign w:val="center"/>
          </w:tcPr>
          <w:p w14:paraId="0EAA1CB9" w14:textId="77777777" w:rsidR="00CE57B5" w:rsidRPr="006070EA" w:rsidRDefault="00CE57B5" w:rsidP="00CE57B5">
            <w:pPr>
              <w:rPr>
                <w:rFonts w:asciiTheme="majorHAnsi" w:hAnsiTheme="majorHAnsi" w:cstheme="majorHAnsi"/>
                <w:b/>
                <w:sz w:val="18"/>
                <w:szCs w:val="20"/>
              </w:rPr>
            </w:pPr>
          </w:p>
        </w:tc>
        <w:tc>
          <w:tcPr>
            <w:tcW w:w="3402" w:type="dxa"/>
            <w:vAlign w:val="center"/>
          </w:tcPr>
          <w:p w14:paraId="2F1CA3C6" w14:textId="77611782" w:rsidR="00CE57B5" w:rsidRPr="006070EA" w:rsidRDefault="00CE57B5" w:rsidP="00CE57B5">
            <w:pPr>
              <w:rPr>
                <w:rFonts w:asciiTheme="majorHAnsi" w:hAnsiTheme="majorHAnsi" w:cstheme="majorHAnsi"/>
                <w:sz w:val="18"/>
                <w:szCs w:val="20"/>
              </w:rPr>
            </w:pPr>
            <w:r w:rsidRPr="006070EA">
              <w:rPr>
                <w:rFonts w:asciiTheme="majorHAnsi" w:hAnsiTheme="majorHAnsi" w:cstheme="majorHAnsi"/>
                <w:sz w:val="18"/>
                <w:szCs w:val="20"/>
              </w:rPr>
              <w:t>Kostomlaty nad Labem (070629)</w:t>
            </w:r>
          </w:p>
        </w:tc>
      </w:tr>
      <w:tr w:rsidR="00CE57B5" w:rsidRPr="006070EA" w14:paraId="73E28865" w14:textId="77777777" w:rsidTr="004F6CC3">
        <w:trPr>
          <w:trHeight w:val="20"/>
          <w:jc w:val="center"/>
        </w:trPr>
        <w:tc>
          <w:tcPr>
            <w:tcW w:w="3402" w:type="dxa"/>
            <w:vMerge/>
            <w:vAlign w:val="center"/>
          </w:tcPr>
          <w:p w14:paraId="427AC10D" w14:textId="77777777" w:rsidR="00CE57B5" w:rsidRPr="006070EA" w:rsidRDefault="00CE57B5" w:rsidP="00CE57B5">
            <w:pPr>
              <w:rPr>
                <w:rFonts w:asciiTheme="majorHAnsi" w:hAnsiTheme="majorHAnsi" w:cstheme="majorHAnsi"/>
                <w:b/>
                <w:sz w:val="18"/>
                <w:szCs w:val="20"/>
              </w:rPr>
            </w:pPr>
          </w:p>
        </w:tc>
        <w:tc>
          <w:tcPr>
            <w:tcW w:w="3402" w:type="dxa"/>
            <w:vAlign w:val="center"/>
          </w:tcPr>
          <w:p w14:paraId="7A4CEB0F" w14:textId="3E6DFB6E" w:rsidR="00CE57B5" w:rsidRPr="006070EA" w:rsidRDefault="00CE57B5" w:rsidP="00CE57B5">
            <w:pPr>
              <w:rPr>
                <w:rFonts w:asciiTheme="majorHAnsi" w:hAnsiTheme="majorHAnsi" w:cstheme="majorHAnsi"/>
                <w:sz w:val="18"/>
                <w:szCs w:val="20"/>
              </w:rPr>
            </w:pPr>
            <w:r w:rsidRPr="006070EA">
              <w:rPr>
                <w:rFonts w:asciiTheme="majorHAnsi" w:hAnsiTheme="majorHAnsi" w:cstheme="majorHAnsi"/>
                <w:sz w:val="18"/>
                <w:szCs w:val="20"/>
              </w:rPr>
              <w:t>Lány (070637)</w:t>
            </w:r>
          </w:p>
        </w:tc>
      </w:tr>
      <w:tr w:rsidR="00CE57B5" w:rsidRPr="006070EA" w14:paraId="6117D956" w14:textId="77777777" w:rsidTr="004F6CC3">
        <w:trPr>
          <w:trHeight w:val="20"/>
          <w:jc w:val="center"/>
        </w:trPr>
        <w:tc>
          <w:tcPr>
            <w:tcW w:w="3402" w:type="dxa"/>
            <w:vMerge/>
            <w:vAlign w:val="center"/>
          </w:tcPr>
          <w:p w14:paraId="4638744B" w14:textId="77777777" w:rsidR="00CE57B5" w:rsidRPr="006070EA" w:rsidRDefault="00CE57B5" w:rsidP="00CE57B5">
            <w:pPr>
              <w:rPr>
                <w:rFonts w:asciiTheme="majorHAnsi" w:hAnsiTheme="majorHAnsi" w:cstheme="majorHAnsi"/>
                <w:b/>
                <w:sz w:val="18"/>
                <w:szCs w:val="20"/>
              </w:rPr>
            </w:pPr>
          </w:p>
        </w:tc>
        <w:tc>
          <w:tcPr>
            <w:tcW w:w="3402" w:type="dxa"/>
            <w:vAlign w:val="center"/>
          </w:tcPr>
          <w:p w14:paraId="7ED233BD" w14:textId="7C33F29D" w:rsidR="00CE57B5" w:rsidRPr="006070EA" w:rsidRDefault="00CE57B5" w:rsidP="00CE57B5">
            <w:pPr>
              <w:rPr>
                <w:rFonts w:asciiTheme="majorHAnsi" w:hAnsiTheme="majorHAnsi" w:cstheme="majorHAnsi"/>
                <w:sz w:val="18"/>
                <w:szCs w:val="20"/>
              </w:rPr>
            </w:pPr>
            <w:r w:rsidRPr="006070EA">
              <w:rPr>
                <w:rFonts w:asciiTheme="majorHAnsi" w:hAnsiTheme="majorHAnsi" w:cstheme="majorHAnsi"/>
                <w:sz w:val="18"/>
                <w:szCs w:val="20"/>
              </w:rPr>
              <w:t>Rozkoš (070645)</w:t>
            </w:r>
          </w:p>
        </w:tc>
      </w:tr>
      <w:tr w:rsidR="00CE57B5" w:rsidRPr="006070EA" w14:paraId="5774437D" w14:textId="77777777" w:rsidTr="004F6CC3">
        <w:trPr>
          <w:trHeight w:val="20"/>
          <w:jc w:val="center"/>
        </w:trPr>
        <w:tc>
          <w:tcPr>
            <w:tcW w:w="3402" w:type="dxa"/>
            <w:vMerge/>
            <w:vAlign w:val="center"/>
          </w:tcPr>
          <w:p w14:paraId="0C00C83A" w14:textId="77777777" w:rsidR="00CE57B5" w:rsidRPr="006070EA" w:rsidRDefault="00CE57B5" w:rsidP="00CE57B5">
            <w:pPr>
              <w:rPr>
                <w:rFonts w:asciiTheme="majorHAnsi" w:hAnsiTheme="majorHAnsi" w:cstheme="majorHAnsi"/>
                <w:b/>
                <w:sz w:val="18"/>
                <w:szCs w:val="20"/>
              </w:rPr>
            </w:pPr>
          </w:p>
        </w:tc>
        <w:tc>
          <w:tcPr>
            <w:tcW w:w="3402" w:type="dxa"/>
            <w:vAlign w:val="center"/>
          </w:tcPr>
          <w:p w14:paraId="150E0F79" w14:textId="1E4A35BB" w:rsidR="00CE57B5" w:rsidRPr="006070EA" w:rsidRDefault="00CE57B5" w:rsidP="00CE57B5">
            <w:pPr>
              <w:rPr>
                <w:rFonts w:asciiTheme="majorHAnsi" w:hAnsiTheme="majorHAnsi" w:cstheme="majorHAnsi"/>
                <w:sz w:val="18"/>
                <w:szCs w:val="20"/>
              </w:rPr>
            </w:pPr>
            <w:r w:rsidRPr="006070EA">
              <w:rPr>
                <w:rFonts w:asciiTheme="majorHAnsi" w:hAnsiTheme="majorHAnsi" w:cstheme="majorHAnsi"/>
                <w:sz w:val="18"/>
                <w:szCs w:val="20"/>
              </w:rPr>
              <w:t>Vápensko (048364)</w:t>
            </w:r>
          </w:p>
        </w:tc>
      </w:tr>
      <w:tr w:rsidR="0082601C" w:rsidRPr="006070EA" w14:paraId="1ECC4BF1" w14:textId="77777777" w:rsidTr="004F6CC3">
        <w:trPr>
          <w:trHeight w:val="20"/>
          <w:jc w:val="center"/>
        </w:trPr>
        <w:tc>
          <w:tcPr>
            <w:tcW w:w="3402" w:type="dxa"/>
            <w:vAlign w:val="center"/>
          </w:tcPr>
          <w:p w14:paraId="28B098E1" w14:textId="77777777" w:rsidR="00CE57B5" w:rsidRPr="006070EA" w:rsidRDefault="00CE57B5" w:rsidP="00CE57B5">
            <w:pPr>
              <w:rPr>
                <w:rFonts w:asciiTheme="majorHAnsi" w:hAnsiTheme="majorHAnsi" w:cstheme="majorHAnsi"/>
                <w:b/>
                <w:sz w:val="18"/>
                <w:szCs w:val="20"/>
              </w:rPr>
            </w:pPr>
            <w:r w:rsidRPr="006070EA">
              <w:rPr>
                <w:rFonts w:asciiTheme="majorHAnsi" w:hAnsiTheme="majorHAnsi" w:cstheme="majorHAnsi"/>
                <w:b/>
                <w:sz w:val="18"/>
                <w:szCs w:val="20"/>
              </w:rPr>
              <w:t>počet obyvatel</w:t>
            </w:r>
          </w:p>
        </w:tc>
        <w:tc>
          <w:tcPr>
            <w:tcW w:w="3402" w:type="dxa"/>
            <w:vAlign w:val="center"/>
          </w:tcPr>
          <w:p w14:paraId="19E5C53C" w14:textId="271A5E32" w:rsidR="00CE57B5" w:rsidRPr="006070EA" w:rsidRDefault="0082601C" w:rsidP="00CE57B5">
            <w:pPr>
              <w:rPr>
                <w:rFonts w:asciiTheme="majorHAnsi" w:hAnsiTheme="majorHAnsi" w:cstheme="majorHAnsi"/>
                <w:sz w:val="18"/>
                <w:szCs w:val="20"/>
              </w:rPr>
            </w:pPr>
            <w:r w:rsidRPr="006070EA">
              <w:rPr>
                <w:rFonts w:asciiTheme="majorHAnsi" w:hAnsiTheme="majorHAnsi" w:cstheme="majorHAnsi"/>
                <w:sz w:val="18"/>
                <w:szCs w:val="20"/>
              </w:rPr>
              <w:t xml:space="preserve">1 850 </w:t>
            </w:r>
            <w:r w:rsidR="00CE57B5" w:rsidRPr="006070EA">
              <w:rPr>
                <w:rFonts w:asciiTheme="majorHAnsi" w:hAnsiTheme="majorHAnsi" w:cstheme="majorHAnsi"/>
                <w:sz w:val="18"/>
                <w:szCs w:val="20"/>
              </w:rPr>
              <w:t>(dle ČSÚ, k 31. 12. 20</w:t>
            </w:r>
            <w:r w:rsidRPr="006070EA">
              <w:rPr>
                <w:rFonts w:asciiTheme="majorHAnsi" w:hAnsiTheme="majorHAnsi" w:cstheme="majorHAnsi"/>
                <w:sz w:val="18"/>
                <w:szCs w:val="20"/>
              </w:rPr>
              <w:t>20</w:t>
            </w:r>
            <w:r w:rsidR="00CE57B5" w:rsidRPr="006070EA">
              <w:rPr>
                <w:rFonts w:asciiTheme="majorHAnsi" w:hAnsiTheme="majorHAnsi" w:cstheme="majorHAnsi"/>
                <w:sz w:val="18"/>
                <w:szCs w:val="20"/>
              </w:rPr>
              <w:t>)</w:t>
            </w:r>
          </w:p>
        </w:tc>
      </w:tr>
      <w:tr w:rsidR="0082601C" w:rsidRPr="006070EA" w14:paraId="1517A121" w14:textId="77777777" w:rsidTr="004F6CC3">
        <w:trPr>
          <w:trHeight w:val="20"/>
          <w:jc w:val="center"/>
        </w:trPr>
        <w:tc>
          <w:tcPr>
            <w:tcW w:w="3402" w:type="dxa"/>
            <w:vAlign w:val="center"/>
          </w:tcPr>
          <w:p w14:paraId="1E8A186C" w14:textId="77777777" w:rsidR="00CE57B5" w:rsidRPr="006070EA" w:rsidRDefault="00CE57B5" w:rsidP="00CE57B5">
            <w:pPr>
              <w:rPr>
                <w:rFonts w:asciiTheme="majorHAnsi" w:hAnsiTheme="majorHAnsi" w:cstheme="majorHAnsi"/>
                <w:b/>
                <w:sz w:val="18"/>
                <w:szCs w:val="20"/>
              </w:rPr>
            </w:pPr>
            <w:r w:rsidRPr="006070EA">
              <w:rPr>
                <w:rFonts w:asciiTheme="majorHAnsi" w:hAnsiTheme="majorHAnsi" w:cstheme="majorHAnsi"/>
                <w:b/>
                <w:sz w:val="18"/>
                <w:szCs w:val="20"/>
              </w:rPr>
              <w:t>rozloha řešeného území</w:t>
            </w:r>
          </w:p>
        </w:tc>
        <w:tc>
          <w:tcPr>
            <w:tcW w:w="3402" w:type="dxa"/>
            <w:vAlign w:val="center"/>
          </w:tcPr>
          <w:p w14:paraId="32D79FBB" w14:textId="15B36C1B" w:rsidR="00CE57B5" w:rsidRPr="006070EA" w:rsidRDefault="00CE57B5" w:rsidP="00CE57B5">
            <w:pPr>
              <w:rPr>
                <w:rFonts w:asciiTheme="majorHAnsi" w:hAnsiTheme="majorHAnsi" w:cstheme="majorHAnsi"/>
                <w:sz w:val="18"/>
                <w:szCs w:val="20"/>
              </w:rPr>
            </w:pPr>
            <w:r w:rsidRPr="006070EA">
              <w:rPr>
                <w:rFonts w:asciiTheme="majorHAnsi" w:hAnsiTheme="majorHAnsi" w:cstheme="majorHAnsi"/>
                <w:sz w:val="18"/>
                <w:szCs w:val="20"/>
              </w:rPr>
              <w:t>1</w:t>
            </w:r>
            <w:r w:rsidR="0082601C" w:rsidRPr="006070EA">
              <w:rPr>
                <w:rFonts w:asciiTheme="majorHAnsi" w:hAnsiTheme="majorHAnsi" w:cstheme="majorHAnsi"/>
                <w:sz w:val="18"/>
                <w:szCs w:val="20"/>
              </w:rPr>
              <w:t xml:space="preserve"> 805</w:t>
            </w:r>
            <w:r w:rsidRPr="006070EA">
              <w:rPr>
                <w:rFonts w:asciiTheme="majorHAnsi" w:hAnsiTheme="majorHAnsi" w:cstheme="majorHAnsi"/>
                <w:sz w:val="18"/>
                <w:szCs w:val="20"/>
              </w:rPr>
              <w:t>,</w:t>
            </w:r>
            <w:r w:rsidR="0082601C" w:rsidRPr="006070EA">
              <w:rPr>
                <w:rFonts w:asciiTheme="majorHAnsi" w:hAnsiTheme="majorHAnsi" w:cstheme="majorHAnsi"/>
                <w:sz w:val="18"/>
                <w:szCs w:val="20"/>
              </w:rPr>
              <w:t>23</w:t>
            </w:r>
            <w:r w:rsidRPr="006070EA">
              <w:rPr>
                <w:rFonts w:asciiTheme="majorHAnsi" w:hAnsiTheme="majorHAnsi" w:cstheme="majorHAnsi"/>
                <w:sz w:val="18"/>
                <w:szCs w:val="20"/>
              </w:rPr>
              <w:t xml:space="preserve"> ha (dle ČSÚ, 31. 12. 20</w:t>
            </w:r>
            <w:r w:rsidR="0082601C" w:rsidRPr="006070EA">
              <w:rPr>
                <w:rFonts w:asciiTheme="majorHAnsi" w:hAnsiTheme="majorHAnsi" w:cstheme="majorHAnsi"/>
                <w:sz w:val="18"/>
                <w:szCs w:val="20"/>
              </w:rPr>
              <w:t>21</w:t>
            </w:r>
            <w:r w:rsidRPr="006070EA">
              <w:rPr>
                <w:rFonts w:asciiTheme="majorHAnsi" w:hAnsiTheme="majorHAnsi" w:cstheme="majorHAnsi"/>
                <w:sz w:val="18"/>
                <w:szCs w:val="20"/>
              </w:rPr>
              <w:t>)</w:t>
            </w:r>
          </w:p>
        </w:tc>
      </w:tr>
    </w:tbl>
    <w:p w14:paraId="2E3C6EBE" w14:textId="71B1767A" w:rsidR="0028434D" w:rsidRPr="006070EA" w:rsidRDefault="008F6DBE" w:rsidP="00982B04">
      <w:pPr>
        <w:pStyle w:val="Odstavecseseznamem"/>
        <w:numPr>
          <w:ilvl w:val="1"/>
          <w:numId w:val="2"/>
        </w:numPr>
        <w:spacing w:before="160" w:after="120" w:line="240" w:lineRule="auto"/>
        <w:ind w:left="709" w:hanging="709"/>
        <w:contextualSpacing w:val="0"/>
        <w:outlineLvl w:val="1"/>
        <w:rPr>
          <w:rFonts w:asciiTheme="majorHAnsi" w:hAnsiTheme="majorHAnsi" w:cstheme="majorHAnsi"/>
          <w:b/>
          <w:sz w:val="24"/>
          <w:szCs w:val="20"/>
        </w:rPr>
      </w:pPr>
      <w:bookmarkStart w:id="29" w:name="_Toc424119791"/>
      <w:bookmarkStart w:id="30" w:name="_Toc204678164"/>
      <w:r w:rsidRPr="006070EA">
        <w:rPr>
          <w:rFonts w:asciiTheme="majorHAnsi" w:hAnsiTheme="majorHAnsi" w:cstheme="majorHAnsi"/>
          <w:b/>
          <w:sz w:val="24"/>
          <w:szCs w:val="20"/>
        </w:rPr>
        <w:t>Postavení obce v systému osídlení</w:t>
      </w:r>
      <w:bookmarkEnd w:id="29"/>
      <w:r w:rsidR="00D20F4B" w:rsidRPr="006070EA">
        <w:rPr>
          <w:rFonts w:asciiTheme="majorHAnsi" w:hAnsiTheme="majorHAnsi" w:cstheme="majorHAnsi"/>
          <w:b/>
          <w:sz w:val="24"/>
          <w:szCs w:val="20"/>
        </w:rPr>
        <w:t xml:space="preserve"> a koordinace řešení ÚP s ÚPD sousedních obcí</w:t>
      </w:r>
      <w:bookmarkEnd w:id="30"/>
    </w:p>
    <w:p w14:paraId="5F713501" w14:textId="59855AA9" w:rsidR="0090362B" w:rsidRPr="006070EA" w:rsidRDefault="00DE1C82" w:rsidP="00CC7A44">
      <w:pPr>
        <w:spacing w:before="12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Obec </w:t>
      </w:r>
      <w:r w:rsidR="00C463E6" w:rsidRPr="006070EA">
        <w:rPr>
          <w:rFonts w:asciiTheme="majorHAnsi" w:hAnsiTheme="majorHAnsi" w:cstheme="majorHAnsi"/>
          <w:sz w:val="18"/>
          <w:szCs w:val="20"/>
        </w:rPr>
        <w:t>Kostomlaty nad Labem</w:t>
      </w:r>
      <w:r w:rsidR="00FA3562" w:rsidRPr="006070EA">
        <w:rPr>
          <w:rFonts w:asciiTheme="majorHAnsi" w:hAnsiTheme="majorHAnsi" w:cstheme="majorHAnsi"/>
          <w:sz w:val="18"/>
          <w:szCs w:val="20"/>
        </w:rPr>
        <w:t xml:space="preserve"> se n</w:t>
      </w:r>
      <w:r w:rsidR="00810C59" w:rsidRPr="006070EA">
        <w:rPr>
          <w:rFonts w:asciiTheme="majorHAnsi" w:hAnsiTheme="majorHAnsi" w:cstheme="majorHAnsi"/>
          <w:sz w:val="18"/>
          <w:szCs w:val="20"/>
        </w:rPr>
        <w:t>achází v</w:t>
      </w:r>
      <w:r w:rsidR="00C463E6" w:rsidRPr="006070EA">
        <w:rPr>
          <w:rFonts w:asciiTheme="majorHAnsi" w:hAnsiTheme="majorHAnsi" w:cstheme="majorHAnsi"/>
          <w:sz w:val="18"/>
          <w:szCs w:val="20"/>
        </w:rPr>
        <w:t>e</w:t>
      </w:r>
      <w:r w:rsidR="00D55F4A" w:rsidRPr="006070EA">
        <w:rPr>
          <w:rFonts w:asciiTheme="majorHAnsi" w:hAnsiTheme="majorHAnsi" w:cstheme="majorHAnsi"/>
          <w:sz w:val="18"/>
          <w:szCs w:val="20"/>
        </w:rPr>
        <w:t> </w:t>
      </w:r>
      <w:r w:rsidR="00C463E6" w:rsidRPr="006070EA">
        <w:rPr>
          <w:rFonts w:asciiTheme="majorHAnsi" w:hAnsiTheme="majorHAnsi" w:cstheme="majorHAnsi"/>
          <w:sz w:val="18"/>
          <w:szCs w:val="20"/>
        </w:rPr>
        <w:t xml:space="preserve">Středočeském </w:t>
      </w:r>
      <w:r w:rsidR="006802CA" w:rsidRPr="006070EA">
        <w:rPr>
          <w:rFonts w:asciiTheme="majorHAnsi" w:hAnsiTheme="majorHAnsi" w:cstheme="majorHAnsi"/>
          <w:sz w:val="18"/>
          <w:szCs w:val="20"/>
        </w:rPr>
        <w:t>kraj</w:t>
      </w:r>
      <w:r w:rsidR="00810C59" w:rsidRPr="006070EA">
        <w:rPr>
          <w:rFonts w:asciiTheme="majorHAnsi" w:hAnsiTheme="majorHAnsi" w:cstheme="majorHAnsi"/>
          <w:sz w:val="18"/>
          <w:szCs w:val="20"/>
        </w:rPr>
        <w:t xml:space="preserve">i, </w:t>
      </w:r>
      <w:r w:rsidR="00C463E6" w:rsidRPr="006070EA">
        <w:rPr>
          <w:rFonts w:asciiTheme="majorHAnsi" w:hAnsiTheme="majorHAnsi" w:cstheme="majorHAnsi"/>
          <w:sz w:val="18"/>
          <w:szCs w:val="20"/>
        </w:rPr>
        <w:t xml:space="preserve">přibližně </w:t>
      </w:r>
      <w:r w:rsidR="003E2B06" w:rsidRPr="006070EA">
        <w:rPr>
          <w:rFonts w:asciiTheme="majorHAnsi" w:hAnsiTheme="majorHAnsi" w:cstheme="majorHAnsi"/>
          <w:sz w:val="18"/>
          <w:szCs w:val="20"/>
        </w:rPr>
        <w:t>50</w:t>
      </w:r>
      <w:r w:rsidR="00D55F4A" w:rsidRPr="006070EA">
        <w:rPr>
          <w:rFonts w:asciiTheme="majorHAnsi" w:hAnsiTheme="majorHAnsi" w:cstheme="majorHAnsi"/>
          <w:sz w:val="18"/>
          <w:szCs w:val="20"/>
        </w:rPr>
        <w:t xml:space="preserve"> km východně od </w:t>
      </w:r>
      <w:r w:rsidR="00C463E6" w:rsidRPr="006070EA">
        <w:rPr>
          <w:rFonts w:asciiTheme="majorHAnsi" w:hAnsiTheme="majorHAnsi" w:cstheme="majorHAnsi"/>
          <w:sz w:val="18"/>
          <w:szCs w:val="20"/>
        </w:rPr>
        <w:t xml:space="preserve">hlavního </w:t>
      </w:r>
      <w:r w:rsidR="00810C59" w:rsidRPr="006070EA">
        <w:rPr>
          <w:rFonts w:asciiTheme="majorHAnsi" w:hAnsiTheme="majorHAnsi" w:cstheme="majorHAnsi"/>
          <w:sz w:val="18"/>
          <w:szCs w:val="20"/>
        </w:rPr>
        <w:t xml:space="preserve">města </w:t>
      </w:r>
      <w:r w:rsidR="00C463E6" w:rsidRPr="006070EA">
        <w:rPr>
          <w:rFonts w:asciiTheme="majorHAnsi" w:hAnsiTheme="majorHAnsi" w:cstheme="majorHAnsi"/>
          <w:sz w:val="18"/>
          <w:szCs w:val="20"/>
        </w:rPr>
        <w:t xml:space="preserve">Prahy </w:t>
      </w:r>
      <w:r w:rsidR="003E2B06" w:rsidRPr="006070EA">
        <w:rPr>
          <w:rFonts w:asciiTheme="majorHAnsi" w:hAnsiTheme="majorHAnsi" w:cstheme="majorHAnsi"/>
          <w:sz w:val="18"/>
          <w:szCs w:val="20"/>
        </w:rPr>
        <w:t>a</w:t>
      </w:r>
      <w:r w:rsidR="00C463E6" w:rsidRPr="006070EA">
        <w:rPr>
          <w:rFonts w:asciiTheme="majorHAnsi" w:hAnsiTheme="majorHAnsi" w:cstheme="majorHAnsi"/>
          <w:sz w:val="18"/>
          <w:szCs w:val="20"/>
        </w:rPr>
        <w:t> 6</w:t>
      </w:r>
      <w:r w:rsidR="003E2B06" w:rsidRPr="006070EA">
        <w:rPr>
          <w:rFonts w:asciiTheme="majorHAnsi" w:hAnsiTheme="majorHAnsi" w:cstheme="majorHAnsi"/>
          <w:sz w:val="18"/>
          <w:szCs w:val="20"/>
        </w:rPr>
        <w:t xml:space="preserve"> km </w:t>
      </w:r>
      <w:r w:rsidR="00C463E6" w:rsidRPr="006070EA">
        <w:rPr>
          <w:rFonts w:asciiTheme="majorHAnsi" w:hAnsiTheme="majorHAnsi" w:cstheme="majorHAnsi"/>
          <w:sz w:val="18"/>
          <w:szCs w:val="20"/>
        </w:rPr>
        <w:t xml:space="preserve">západně </w:t>
      </w:r>
      <w:r w:rsidR="003E2B06" w:rsidRPr="006070EA">
        <w:rPr>
          <w:rFonts w:asciiTheme="majorHAnsi" w:hAnsiTheme="majorHAnsi" w:cstheme="majorHAnsi"/>
          <w:sz w:val="18"/>
          <w:szCs w:val="20"/>
        </w:rPr>
        <w:t xml:space="preserve">od okresního města </w:t>
      </w:r>
      <w:r w:rsidR="00C463E6" w:rsidRPr="006070EA">
        <w:rPr>
          <w:rFonts w:asciiTheme="majorHAnsi" w:hAnsiTheme="majorHAnsi" w:cstheme="majorHAnsi"/>
          <w:sz w:val="18"/>
          <w:szCs w:val="20"/>
        </w:rPr>
        <w:t>Nymburk</w:t>
      </w:r>
      <w:r w:rsidR="006802CA" w:rsidRPr="006070EA">
        <w:rPr>
          <w:rFonts w:asciiTheme="majorHAnsi" w:hAnsiTheme="majorHAnsi" w:cstheme="majorHAnsi"/>
          <w:sz w:val="18"/>
          <w:szCs w:val="20"/>
        </w:rPr>
        <w:t xml:space="preserve">. </w:t>
      </w:r>
      <w:r w:rsidR="00840B48" w:rsidRPr="006070EA">
        <w:rPr>
          <w:rFonts w:asciiTheme="majorHAnsi" w:hAnsiTheme="majorHAnsi" w:cstheme="majorHAnsi"/>
          <w:sz w:val="18"/>
          <w:szCs w:val="20"/>
        </w:rPr>
        <w:t xml:space="preserve">Z hlediska hierarchie sídelní struktury je obec </w:t>
      </w:r>
      <w:r w:rsidR="00C463E6" w:rsidRPr="006070EA">
        <w:rPr>
          <w:rFonts w:asciiTheme="majorHAnsi" w:hAnsiTheme="majorHAnsi" w:cstheme="majorHAnsi"/>
          <w:sz w:val="18"/>
          <w:szCs w:val="20"/>
        </w:rPr>
        <w:t xml:space="preserve">soběstačným </w:t>
      </w:r>
      <w:r w:rsidR="00840B48" w:rsidRPr="006070EA">
        <w:rPr>
          <w:rFonts w:asciiTheme="majorHAnsi" w:hAnsiTheme="majorHAnsi" w:cstheme="majorHAnsi"/>
          <w:sz w:val="18"/>
          <w:szCs w:val="20"/>
        </w:rPr>
        <w:t>prvkem se základní občanskou vybaveností</w:t>
      </w:r>
      <w:r w:rsidR="00CC7A44" w:rsidRPr="006070EA">
        <w:rPr>
          <w:rFonts w:asciiTheme="majorHAnsi" w:hAnsiTheme="majorHAnsi" w:cstheme="majorHAnsi"/>
          <w:sz w:val="18"/>
          <w:szCs w:val="20"/>
        </w:rPr>
        <w:t xml:space="preserve"> (základní škola, praktický lékař, obchod, sportoviště)</w:t>
      </w:r>
      <w:r w:rsidR="00840B48" w:rsidRPr="006070EA">
        <w:rPr>
          <w:rFonts w:asciiTheme="majorHAnsi" w:hAnsiTheme="majorHAnsi" w:cstheme="majorHAnsi"/>
          <w:sz w:val="18"/>
          <w:szCs w:val="20"/>
        </w:rPr>
        <w:t xml:space="preserve">. </w:t>
      </w:r>
      <w:r w:rsidR="00C463E6" w:rsidRPr="006070EA">
        <w:rPr>
          <w:rFonts w:asciiTheme="majorHAnsi" w:hAnsiTheme="majorHAnsi" w:cstheme="majorHAnsi"/>
          <w:sz w:val="18"/>
          <w:szCs w:val="20"/>
        </w:rPr>
        <w:t>Obec náleží k obcím s nižší hustotou zalidnění a</w:t>
      </w:r>
      <w:r w:rsidR="00D32D19" w:rsidRPr="006070EA">
        <w:rPr>
          <w:rFonts w:asciiTheme="majorHAnsi" w:hAnsiTheme="majorHAnsi" w:cstheme="majorHAnsi"/>
          <w:sz w:val="18"/>
          <w:szCs w:val="20"/>
        </w:rPr>
        <w:t> </w:t>
      </w:r>
      <w:r w:rsidR="00C463E6" w:rsidRPr="006070EA">
        <w:rPr>
          <w:rFonts w:asciiTheme="majorHAnsi" w:hAnsiTheme="majorHAnsi" w:cstheme="majorHAnsi"/>
          <w:sz w:val="18"/>
          <w:szCs w:val="20"/>
        </w:rPr>
        <w:t xml:space="preserve">průměrným počtem obyvatel (v celorepublikovém srovnání). Strukturu řešeného území tvoří několik sídel se správním centrem v největším sídle Kostomlaty nad Labem. Spádovým centrem regionu je okresní město Nymburk, které je současně sídlem úřadu obce s rozšířenou působností a pověřeného obecního úřadu. Dalšími blízkými nadřazenými </w:t>
      </w:r>
      <w:r w:rsidR="00840B48" w:rsidRPr="006070EA">
        <w:rPr>
          <w:rFonts w:asciiTheme="majorHAnsi" w:hAnsiTheme="majorHAnsi" w:cstheme="majorHAnsi"/>
          <w:sz w:val="18"/>
          <w:szCs w:val="20"/>
        </w:rPr>
        <w:t>spádovým</w:t>
      </w:r>
      <w:r w:rsidR="00CC7A44" w:rsidRPr="006070EA">
        <w:rPr>
          <w:rFonts w:asciiTheme="majorHAnsi" w:hAnsiTheme="majorHAnsi" w:cstheme="majorHAnsi"/>
          <w:sz w:val="18"/>
          <w:szCs w:val="20"/>
        </w:rPr>
        <w:t xml:space="preserve">i </w:t>
      </w:r>
      <w:r w:rsidR="00840B48" w:rsidRPr="006070EA">
        <w:rPr>
          <w:rFonts w:asciiTheme="majorHAnsi" w:hAnsiTheme="majorHAnsi" w:cstheme="majorHAnsi"/>
          <w:sz w:val="18"/>
          <w:szCs w:val="20"/>
        </w:rPr>
        <w:t>centr</w:t>
      </w:r>
      <w:r w:rsidR="00CC7A44" w:rsidRPr="006070EA">
        <w:rPr>
          <w:rFonts w:asciiTheme="majorHAnsi" w:hAnsiTheme="majorHAnsi" w:cstheme="majorHAnsi"/>
          <w:sz w:val="18"/>
          <w:szCs w:val="20"/>
        </w:rPr>
        <w:t>y</w:t>
      </w:r>
      <w:r w:rsidR="00840B48" w:rsidRPr="006070EA">
        <w:rPr>
          <w:rFonts w:asciiTheme="majorHAnsi" w:hAnsiTheme="majorHAnsi" w:cstheme="majorHAnsi"/>
          <w:sz w:val="18"/>
          <w:szCs w:val="20"/>
        </w:rPr>
        <w:t xml:space="preserve"> </w:t>
      </w:r>
      <w:r w:rsidR="00810C59" w:rsidRPr="006070EA">
        <w:rPr>
          <w:rFonts w:asciiTheme="majorHAnsi" w:hAnsiTheme="majorHAnsi" w:cstheme="majorHAnsi"/>
          <w:sz w:val="18"/>
          <w:szCs w:val="20"/>
        </w:rPr>
        <w:t>j</w:t>
      </w:r>
      <w:r w:rsidR="00CC7A44" w:rsidRPr="006070EA">
        <w:rPr>
          <w:rFonts w:asciiTheme="majorHAnsi" w:hAnsiTheme="majorHAnsi" w:cstheme="majorHAnsi"/>
          <w:sz w:val="18"/>
          <w:szCs w:val="20"/>
        </w:rPr>
        <w:t xml:space="preserve">sou </w:t>
      </w:r>
      <w:r w:rsidR="00C463E6" w:rsidRPr="006070EA">
        <w:rPr>
          <w:rFonts w:asciiTheme="majorHAnsi" w:hAnsiTheme="majorHAnsi" w:cstheme="majorHAnsi"/>
          <w:sz w:val="18"/>
          <w:szCs w:val="20"/>
        </w:rPr>
        <w:lastRenderedPageBreak/>
        <w:t xml:space="preserve">Lysá nad Labem, Milovice, </w:t>
      </w:r>
      <w:r w:rsidR="00F63A78" w:rsidRPr="006070EA">
        <w:rPr>
          <w:rFonts w:asciiTheme="majorHAnsi" w:hAnsiTheme="majorHAnsi" w:cstheme="majorHAnsi"/>
          <w:sz w:val="18"/>
          <w:szCs w:val="20"/>
        </w:rPr>
        <w:t>Čelákovice a Praha</w:t>
      </w:r>
      <w:r w:rsidR="00D55F4A" w:rsidRPr="006070EA">
        <w:rPr>
          <w:rFonts w:asciiTheme="majorHAnsi" w:hAnsiTheme="majorHAnsi" w:cstheme="majorHAnsi"/>
          <w:sz w:val="18"/>
          <w:szCs w:val="20"/>
        </w:rPr>
        <w:t xml:space="preserve">. </w:t>
      </w:r>
      <w:r w:rsidR="0090362B" w:rsidRPr="006070EA">
        <w:rPr>
          <w:rFonts w:asciiTheme="majorHAnsi" w:hAnsiTheme="majorHAnsi" w:cstheme="majorHAnsi"/>
          <w:sz w:val="18"/>
          <w:szCs w:val="20"/>
        </w:rPr>
        <w:t xml:space="preserve">Rozvojový potenciál obce je dán především </w:t>
      </w:r>
      <w:r w:rsidR="00CC7A44" w:rsidRPr="006070EA">
        <w:rPr>
          <w:rFonts w:asciiTheme="majorHAnsi" w:hAnsiTheme="majorHAnsi" w:cstheme="majorHAnsi"/>
          <w:sz w:val="18"/>
          <w:szCs w:val="20"/>
        </w:rPr>
        <w:t>blízkostí</w:t>
      </w:r>
      <w:r w:rsidR="0090362B" w:rsidRPr="006070EA">
        <w:rPr>
          <w:rFonts w:asciiTheme="majorHAnsi" w:hAnsiTheme="majorHAnsi" w:cstheme="majorHAnsi"/>
          <w:sz w:val="18"/>
          <w:szCs w:val="20"/>
        </w:rPr>
        <w:t xml:space="preserve"> vyšších center osídlení s rozvinutou občanskou vybaveností a pracovními příležitostmi</w:t>
      </w:r>
      <w:r w:rsidR="00F63A78" w:rsidRPr="006070EA">
        <w:rPr>
          <w:rFonts w:asciiTheme="majorHAnsi" w:hAnsiTheme="majorHAnsi" w:cstheme="majorHAnsi"/>
          <w:sz w:val="18"/>
          <w:szCs w:val="20"/>
        </w:rPr>
        <w:t>, včetně dobré dostupnosti hlavního města</w:t>
      </w:r>
      <w:r w:rsidR="0090362B" w:rsidRPr="006070EA">
        <w:rPr>
          <w:rFonts w:asciiTheme="majorHAnsi" w:hAnsiTheme="majorHAnsi" w:cstheme="majorHAnsi"/>
          <w:sz w:val="18"/>
          <w:szCs w:val="20"/>
        </w:rPr>
        <w:t xml:space="preserve">. </w:t>
      </w:r>
    </w:p>
    <w:p w14:paraId="150B5A3B" w14:textId="7F50BF55" w:rsidR="0090362B" w:rsidRPr="006070EA" w:rsidRDefault="0090362B" w:rsidP="0090362B">
      <w:pPr>
        <w:spacing w:before="12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Obec </w:t>
      </w:r>
      <w:r w:rsidR="00911DBD" w:rsidRPr="006070EA">
        <w:rPr>
          <w:rFonts w:asciiTheme="majorHAnsi" w:hAnsiTheme="majorHAnsi" w:cstheme="majorHAnsi"/>
          <w:sz w:val="18"/>
          <w:szCs w:val="20"/>
        </w:rPr>
        <w:t>Kostomlaty nad Labem</w:t>
      </w:r>
      <w:r w:rsidRPr="006070EA">
        <w:rPr>
          <w:rFonts w:asciiTheme="majorHAnsi" w:hAnsiTheme="majorHAnsi" w:cstheme="majorHAnsi"/>
          <w:sz w:val="18"/>
          <w:szCs w:val="20"/>
        </w:rPr>
        <w:t xml:space="preserve"> sousedí s </w:t>
      </w:r>
      <w:r w:rsidR="00C217F4" w:rsidRPr="006070EA">
        <w:rPr>
          <w:rFonts w:asciiTheme="majorHAnsi" w:hAnsiTheme="majorHAnsi" w:cstheme="majorHAnsi"/>
          <w:sz w:val="18"/>
          <w:szCs w:val="20"/>
        </w:rPr>
        <w:t>osmi</w:t>
      </w:r>
      <w:r w:rsidRPr="006070EA">
        <w:rPr>
          <w:rFonts w:asciiTheme="majorHAnsi" w:hAnsiTheme="majorHAnsi" w:cstheme="majorHAnsi"/>
          <w:sz w:val="18"/>
          <w:szCs w:val="20"/>
        </w:rPr>
        <w:t xml:space="preserve"> obcemi. </w:t>
      </w:r>
      <w:r w:rsidR="005968E7" w:rsidRPr="006070EA">
        <w:rPr>
          <w:rFonts w:asciiTheme="majorHAnsi" w:hAnsiTheme="majorHAnsi" w:cstheme="majorHAnsi"/>
          <w:sz w:val="18"/>
          <w:szCs w:val="20"/>
        </w:rPr>
        <w:t>Jejich p</w:t>
      </w:r>
      <w:r w:rsidRPr="006070EA">
        <w:rPr>
          <w:rFonts w:asciiTheme="majorHAnsi" w:hAnsiTheme="majorHAnsi" w:cstheme="majorHAnsi"/>
          <w:sz w:val="18"/>
          <w:szCs w:val="20"/>
        </w:rPr>
        <w:t xml:space="preserve">řehled </w:t>
      </w:r>
      <w:r w:rsidR="005968E7" w:rsidRPr="006070EA">
        <w:rPr>
          <w:rFonts w:asciiTheme="majorHAnsi" w:hAnsiTheme="majorHAnsi" w:cstheme="majorHAnsi"/>
          <w:sz w:val="18"/>
          <w:szCs w:val="20"/>
        </w:rPr>
        <w:t xml:space="preserve">včetně uvedení </w:t>
      </w:r>
      <w:r w:rsidRPr="006070EA">
        <w:rPr>
          <w:rFonts w:asciiTheme="majorHAnsi" w:hAnsiTheme="majorHAnsi" w:cstheme="majorHAnsi"/>
          <w:sz w:val="18"/>
          <w:szCs w:val="20"/>
        </w:rPr>
        <w:t xml:space="preserve">katastrálních území, </w:t>
      </w:r>
      <w:r w:rsidR="00911DBD" w:rsidRPr="006070EA">
        <w:rPr>
          <w:rFonts w:asciiTheme="majorHAnsi" w:hAnsiTheme="majorHAnsi" w:cstheme="majorHAnsi"/>
          <w:sz w:val="18"/>
          <w:szCs w:val="20"/>
        </w:rPr>
        <w:t xml:space="preserve">poskytuje </w:t>
      </w:r>
      <w:r w:rsidRPr="006070EA">
        <w:rPr>
          <w:rFonts w:asciiTheme="majorHAnsi" w:hAnsiTheme="majorHAnsi" w:cstheme="majorHAnsi"/>
          <w:sz w:val="18"/>
          <w:szCs w:val="20"/>
        </w:rPr>
        <w:t>níže uveden</w:t>
      </w:r>
      <w:r w:rsidR="00611E5F" w:rsidRPr="006070EA">
        <w:rPr>
          <w:rFonts w:asciiTheme="majorHAnsi" w:hAnsiTheme="majorHAnsi" w:cstheme="majorHAnsi"/>
          <w:sz w:val="18"/>
          <w:szCs w:val="20"/>
        </w:rPr>
        <w:t>á tabulka</w:t>
      </w:r>
      <w:r w:rsidR="005968E7" w:rsidRPr="006070EA">
        <w:rPr>
          <w:rFonts w:asciiTheme="majorHAnsi" w:hAnsiTheme="majorHAnsi" w:cstheme="majorHAnsi"/>
          <w:sz w:val="18"/>
          <w:szCs w:val="20"/>
        </w:rPr>
        <w:t>:</w:t>
      </w:r>
    </w:p>
    <w:tbl>
      <w:tblPr>
        <w:tblW w:w="0" w:type="auto"/>
        <w:jc w:val="center"/>
        <w:tblBorders>
          <w:insideH w:val="single" w:sz="4" w:space="0" w:color="000000"/>
          <w:insideV w:val="single" w:sz="4" w:space="0" w:color="000000"/>
        </w:tblBorders>
        <w:tblLook w:val="04A0" w:firstRow="1" w:lastRow="0" w:firstColumn="1" w:lastColumn="0" w:noHBand="0" w:noVBand="1"/>
      </w:tblPr>
      <w:tblGrid>
        <w:gridCol w:w="1446"/>
        <w:gridCol w:w="3001"/>
        <w:gridCol w:w="1101"/>
      </w:tblGrid>
      <w:tr w:rsidR="005968E7" w:rsidRPr="006070EA" w14:paraId="3E9FF6D5" w14:textId="77777777" w:rsidTr="00F8065C">
        <w:trPr>
          <w:cantSplit/>
          <w:trHeight w:val="283"/>
          <w:tblHeader/>
          <w:jc w:val="center"/>
        </w:trPr>
        <w:tc>
          <w:tcPr>
            <w:tcW w:w="1446" w:type="dxa"/>
            <w:tcBorders>
              <w:top w:val="nil"/>
              <w:bottom w:val="single" w:sz="12" w:space="0" w:color="auto"/>
              <w:right w:val="single" w:sz="12" w:space="0" w:color="auto"/>
            </w:tcBorders>
            <w:vAlign w:val="center"/>
          </w:tcPr>
          <w:p w14:paraId="59A9F9C2" w14:textId="77777777" w:rsidR="005968E7" w:rsidRPr="006070EA" w:rsidRDefault="005968E7" w:rsidP="00F8065C">
            <w:pPr>
              <w:pStyle w:val="Bezmezer"/>
              <w:keepNext/>
              <w:rPr>
                <w:rFonts w:asciiTheme="majorHAnsi" w:hAnsiTheme="majorHAnsi" w:cstheme="majorHAnsi"/>
                <w:b/>
                <w:lang w:val="cs-CZ"/>
              </w:rPr>
            </w:pPr>
            <w:r w:rsidRPr="006070EA">
              <w:rPr>
                <w:rFonts w:asciiTheme="majorHAnsi" w:hAnsiTheme="majorHAnsi" w:cstheme="majorHAnsi"/>
                <w:b/>
                <w:lang w:val="cs-CZ"/>
              </w:rPr>
              <w:t>obec</w:t>
            </w:r>
          </w:p>
        </w:tc>
        <w:tc>
          <w:tcPr>
            <w:tcW w:w="3001" w:type="dxa"/>
            <w:tcBorders>
              <w:top w:val="nil"/>
              <w:bottom w:val="single" w:sz="12" w:space="0" w:color="auto"/>
              <w:right w:val="single" w:sz="12" w:space="0" w:color="auto"/>
            </w:tcBorders>
            <w:vAlign w:val="center"/>
          </w:tcPr>
          <w:p w14:paraId="68DF6270" w14:textId="77777777" w:rsidR="005968E7" w:rsidRPr="006070EA" w:rsidRDefault="005968E7" w:rsidP="00F8065C">
            <w:pPr>
              <w:pStyle w:val="Bezmezer"/>
              <w:keepNext/>
              <w:rPr>
                <w:rFonts w:asciiTheme="majorHAnsi" w:hAnsiTheme="majorHAnsi" w:cstheme="majorHAnsi"/>
                <w:b/>
                <w:lang w:val="cs-CZ"/>
              </w:rPr>
            </w:pPr>
            <w:r w:rsidRPr="006070EA">
              <w:rPr>
                <w:rFonts w:asciiTheme="majorHAnsi" w:hAnsiTheme="majorHAnsi" w:cstheme="majorHAnsi"/>
                <w:b/>
                <w:lang w:val="cs-CZ"/>
              </w:rPr>
              <w:t>k. ú.</w:t>
            </w:r>
          </w:p>
        </w:tc>
        <w:tc>
          <w:tcPr>
            <w:tcW w:w="1101" w:type="dxa"/>
            <w:tcBorders>
              <w:top w:val="nil"/>
              <w:left w:val="single" w:sz="12" w:space="0" w:color="auto"/>
              <w:bottom w:val="single" w:sz="12" w:space="0" w:color="auto"/>
              <w:right w:val="nil"/>
            </w:tcBorders>
            <w:vAlign w:val="center"/>
          </w:tcPr>
          <w:p w14:paraId="5CD05028" w14:textId="77777777" w:rsidR="005968E7" w:rsidRPr="006070EA" w:rsidRDefault="005968E7" w:rsidP="00F8065C">
            <w:pPr>
              <w:pStyle w:val="Bezmezer"/>
              <w:keepNext/>
              <w:rPr>
                <w:rFonts w:asciiTheme="majorHAnsi" w:hAnsiTheme="majorHAnsi" w:cstheme="majorHAnsi"/>
                <w:b/>
                <w:lang w:val="cs-CZ"/>
              </w:rPr>
            </w:pPr>
            <w:r w:rsidRPr="006070EA">
              <w:rPr>
                <w:rFonts w:asciiTheme="majorHAnsi" w:hAnsiTheme="majorHAnsi" w:cstheme="majorHAnsi"/>
                <w:b/>
                <w:lang w:val="cs-CZ"/>
              </w:rPr>
              <w:t>kraj</w:t>
            </w:r>
          </w:p>
        </w:tc>
      </w:tr>
      <w:tr w:rsidR="005968E7" w:rsidRPr="006070EA" w14:paraId="3A019B8C" w14:textId="77777777" w:rsidTr="00F8065C">
        <w:trPr>
          <w:trHeight w:val="283"/>
          <w:jc w:val="center"/>
        </w:trPr>
        <w:tc>
          <w:tcPr>
            <w:tcW w:w="1446" w:type="dxa"/>
            <w:tcBorders>
              <w:top w:val="single" w:sz="12" w:space="0" w:color="auto"/>
              <w:bottom w:val="single" w:sz="4" w:space="0" w:color="auto"/>
              <w:right w:val="single" w:sz="4" w:space="0" w:color="auto"/>
            </w:tcBorders>
            <w:vAlign w:val="center"/>
          </w:tcPr>
          <w:p w14:paraId="19CD1D3A" w14:textId="77777777" w:rsidR="005968E7" w:rsidRPr="006070EA" w:rsidRDefault="005968E7" w:rsidP="00F8065C">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Čilec</w:t>
            </w:r>
          </w:p>
        </w:tc>
        <w:tc>
          <w:tcPr>
            <w:tcW w:w="3001" w:type="dxa"/>
            <w:tcBorders>
              <w:top w:val="single" w:sz="12" w:space="0" w:color="auto"/>
              <w:bottom w:val="single" w:sz="4" w:space="0" w:color="auto"/>
              <w:right w:val="single" w:sz="4" w:space="0" w:color="auto"/>
            </w:tcBorders>
            <w:vAlign w:val="center"/>
          </w:tcPr>
          <w:p w14:paraId="6CE6F75C"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Čilec</w:t>
            </w:r>
          </w:p>
        </w:tc>
        <w:tc>
          <w:tcPr>
            <w:tcW w:w="1101" w:type="dxa"/>
            <w:tcBorders>
              <w:top w:val="single" w:sz="12" w:space="0" w:color="auto"/>
              <w:left w:val="single" w:sz="4" w:space="0" w:color="auto"/>
              <w:bottom w:val="single" w:sz="4" w:space="0" w:color="auto"/>
              <w:right w:val="nil"/>
            </w:tcBorders>
            <w:vAlign w:val="center"/>
          </w:tcPr>
          <w:p w14:paraId="73AC7496"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Středočeský</w:t>
            </w:r>
          </w:p>
        </w:tc>
      </w:tr>
      <w:tr w:rsidR="005968E7" w:rsidRPr="006070EA" w14:paraId="763C7517" w14:textId="77777777" w:rsidTr="00F8065C">
        <w:trPr>
          <w:trHeight w:val="283"/>
          <w:jc w:val="center"/>
        </w:trPr>
        <w:tc>
          <w:tcPr>
            <w:tcW w:w="1446" w:type="dxa"/>
            <w:tcBorders>
              <w:top w:val="single" w:sz="4" w:space="0" w:color="auto"/>
              <w:bottom w:val="single" w:sz="4" w:space="0" w:color="auto"/>
              <w:right w:val="single" w:sz="4" w:space="0" w:color="auto"/>
            </w:tcBorders>
            <w:vAlign w:val="center"/>
          </w:tcPr>
          <w:p w14:paraId="6AB929D7" w14:textId="77777777" w:rsidR="005968E7" w:rsidRPr="006070EA" w:rsidRDefault="005968E7" w:rsidP="00F8065C">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Hradištko</w:t>
            </w:r>
          </w:p>
        </w:tc>
        <w:tc>
          <w:tcPr>
            <w:tcW w:w="3001" w:type="dxa"/>
            <w:tcBorders>
              <w:top w:val="single" w:sz="4" w:space="0" w:color="auto"/>
              <w:bottom w:val="single" w:sz="4" w:space="0" w:color="auto"/>
              <w:right w:val="single" w:sz="4" w:space="0" w:color="auto"/>
            </w:tcBorders>
            <w:vAlign w:val="center"/>
          </w:tcPr>
          <w:p w14:paraId="5C871118"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Hradištko</w:t>
            </w:r>
          </w:p>
          <w:p w14:paraId="44A7A674"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Kersko</w:t>
            </w:r>
          </w:p>
        </w:tc>
        <w:tc>
          <w:tcPr>
            <w:tcW w:w="1101" w:type="dxa"/>
            <w:tcBorders>
              <w:top w:val="single" w:sz="4" w:space="0" w:color="auto"/>
              <w:left w:val="single" w:sz="4" w:space="0" w:color="auto"/>
              <w:bottom w:val="single" w:sz="4" w:space="0" w:color="auto"/>
              <w:right w:val="nil"/>
            </w:tcBorders>
            <w:vAlign w:val="center"/>
          </w:tcPr>
          <w:p w14:paraId="6EA976B8"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Středočeský</w:t>
            </w:r>
          </w:p>
        </w:tc>
      </w:tr>
      <w:tr w:rsidR="005968E7" w:rsidRPr="006070EA" w14:paraId="18289584" w14:textId="77777777" w:rsidTr="00F8065C">
        <w:trPr>
          <w:trHeight w:val="283"/>
          <w:jc w:val="center"/>
        </w:trPr>
        <w:tc>
          <w:tcPr>
            <w:tcW w:w="1446" w:type="dxa"/>
            <w:tcBorders>
              <w:top w:val="single" w:sz="4" w:space="0" w:color="auto"/>
              <w:bottom w:val="single" w:sz="4" w:space="0" w:color="auto"/>
              <w:right w:val="single" w:sz="4" w:space="0" w:color="auto"/>
            </w:tcBorders>
            <w:vAlign w:val="center"/>
          </w:tcPr>
          <w:p w14:paraId="0864E420" w14:textId="77777777" w:rsidR="005968E7" w:rsidRPr="006070EA" w:rsidRDefault="005968E7" w:rsidP="00F8065C">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Kamenné Zboží</w:t>
            </w:r>
          </w:p>
        </w:tc>
        <w:tc>
          <w:tcPr>
            <w:tcW w:w="3001" w:type="dxa"/>
            <w:tcBorders>
              <w:top w:val="single" w:sz="4" w:space="0" w:color="auto"/>
              <w:bottom w:val="single" w:sz="4" w:space="0" w:color="auto"/>
              <w:right w:val="single" w:sz="4" w:space="0" w:color="auto"/>
            </w:tcBorders>
            <w:vAlign w:val="center"/>
          </w:tcPr>
          <w:p w14:paraId="21906157"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Kamenné Zboží</w:t>
            </w:r>
          </w:p>
        </w:tc>
        <w:tc>
          <w:tcPr>
            <w:tcW w:w="1101" w:type="dxa"/>
            <w:tcBorders>
              <w:top w:val="single" w:sz="4" w:space="0" w:color="auto"/>
              <w:left w:val="single" w:sz="4" w:space="0" w:color="auto"/>
              <w:bottom w:val="single" w:sz="4" w:space="0" w:color="auto"/>
              <w:right w:val="nil"/>
            </w:tcBorders>
            <w:vAlign w:val="center"/>
          </w:tcPr>
          <w:p w14:paraId="3AF3058C"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Středočeský</w:t>
            </w:r>
          </w:p>
        </w:tc>
      </w:tr>
      <w:tr w:rsidR="005968E7" w:rsidRPr="006070EA" w14:paraId="110E5BEE" w14:textId="77777777" w:rsidTr="00F8065C">
        <w:trPr>
          <w:trHeight w:val="283"/>
          <w:jc w:val="center"/>
        </w:trPr>
        <w:tc>
          <w:tcPr>
            <w:tcW w:w="1446" w:type="dxa"/>
            <w:tcBorders>
              <w:top w:val="single" w:sz="4" w:space="0" w:color="auto"/>
              <w:bottom w:val="single" w:sz="4" w:space="0" w:color="auto"/>
              <w:right w:val="single" w:sz="4" w:space="0" w:color="auto"/>
            </w:tcBorders>
            <w:vAlign w:val="center"/>
          </w:tcPr>
          <w:p w14:paraId="67FCB1A2" w14:textId="77777777" w:rsidR="005968E7" w:rsidRPr="006070EA" w:rsidRDefault="005968E7" w:rsidP="00F8065C">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Kostomlátky</w:t>
            </w:r>
          </w:p>
        </w:tc>
        <w:tc>
          <w:tcPr>
            <w:tcW w:w="3001" w:type="dxa"/>
            <w:tcBorders>
              <w:top w:val="single" w:sz="4" w:space="0" w:color="auto"/>
              <w:bottom w:val="single" w:sz="4" w:space="0" w:color="auto"/>
              <w:right w:val="single" w:sz="4" w:space="0" w:color="auto"/>
            </w:tcBorders>
            <w:vAlign w:val="center"/>
          </w:tcPr>
          <w:p w14:paraId="64377508"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Kostomlátky</w:t>
            </w:r>
          </w:p>
          <w:p w14:paraId="3E91A44D"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Doubrava</w:t>
            </w:r>
          </w:p>
        </w:tc>
        <w:tc>
          <w:tcPr>
            <w:tcW w:w="1101" w:type="dxa"/>
            <w:tcBorders>
              <w:top w:val="single" w:sz="4" w:space="0" w:color="auto"/>
              <w:left w:val="single" w:sz="4" w:space="0" w:color="auto"/>
              <w:bottom w:val="single" w:sz="4" w:space="0" w:color="auto"/>
              <w:right w:val="nil"/>
            </w:tcBorders>
            <w:vAlign w:val="center"/>
          </w:tcPr>
          <w:p w14:paraId="7458E321"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Středočeský</w:t>
            </w:r>
          </w:p>
        </w:tc>
      </w:tr>
      <w:tr w:rsidR="005968E7" w:rsidRPr="006070EA" w14:paraId="5F073E1E" w14:textId="77777777" w:rsidTr="00F8065C">
        <w:trPr>
          <w:trHeight w:val="283"/>
          <w:jc w:val="center"/>
        </w:trPr>
        <w:tc>
          <w:tcPr>
            <w:tcW w:w="1446" w:type="dxa"/>
            <w:tcBorders>
              <w:top w:val="single" w:sz="4" w:space="0" w:color="auto"/>
              <w:bottom w:val="single" w:sz="4" w:space="0" w:color="auto"/>
              <w:right w:val="single" w:sz="4" w:space="0" w:color="auto"/>
            </w:tcBorders>
            <w:vAlign w:val="center"/>
          </w:tcPr>
          <w:p w14:paraId="6EE98583" w14:textId="77777777" w:rsidR="005968E7" w:rsidRPr="006070EA" w:rsidRDefault="005968E7" w:rsidP="00F8065C">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Milovice</w:t>
            </w:r>
          </w:p>
        </w:tc>
        <w:tc>
          <w:tcPr>
            <w:tcW w:w="3001" w:type="dxa"/>
            <w:tcBorders>
              <w:top w:val="single" w:sz="4" w:space="0" w:color="auto"/>
              <w:bottom w:val="single" w:sz="4" w:space="0" w:color="auto"/>
              <w:right w:val="single" w:sz="4" w:space="0" w:color="auto"/>
            </w:tcBorders>
            <w:vAlign w:val="center"/>
          </w:tcPr>
          <w:p w14:paraId="0FB3DA72"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Benátecká Vrutice</w:t>
            </w:r>
          </w:p>
          <w:p w14:paraId="01CFF19A"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Boží Dar</w:t>
            </w:r>
          </w:p>
          <w:p w14:paraId="21745E8A"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Milovice</w:t>
            </w:r>
          </w:p>
          <w:p w14:paraId="085B9374"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Mladá I</w:t>
            </w:r>
          </w:p>
          <w:p w14:paraId="3C347FEA"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Mladá II</w:t>
            </w:r>
          </w:p>
        </w:tc>
        <w:tc>
          <w:tcPr>
            <w:tcW w:w="1101" w:type="dxa"/>
            <w:tcBorders>
              <w:top w:val="single" w:sz="4" w:space="0" w:color="auto"/>
              <w:left w:val="single" w:sz="4" w:space="0" w:color="auto"/>
              <w:bottom w:val="single" w:sz="4" w:space="0" w:color="auto"/>
              <w:right w:val="nil"/>
            </w:tcBorders>
            <w:vAlign w:val="center"/>
          </w:tcPr>
          <w:p w14:paraId="451C0561"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Středočeský</w:t>
            </w:r>
          </w:p>
        </w:tc>
      </w:tr>
      <w:tr w:rsidR="005968E7" w:rsidRPr="006070EA" w14:paraId="7FDA9A78" w14:textId="77777777" w:rsidTr="00F8065C">
        <w:trPr>
          <w:trHeight w:val="283"/>
          <w:jc w:val="center"/>
        </w:trPr>
        <w:tc>
          <w:tcPr>
            <w:tcW w:w="1446" w:type="dxa"/>
            <w:tcBorders>
              <w:top w:val="single" w:sz="4" w:space="0" w:color="auto"/>
              <w:bottom w:val="single" w:sz="4" w:space="0" w:color="auto"/>
              <w:right w:val="single" w:sz="4" w:space="0" w:color="auto"/>
            </w:tcBorders>
            <w:vAlign w:val="center"/>
          </w:tcPr>
          <w:p w14:paraId="33E6E39C" w14:textId="77777777" w:rsidR="005968E7" w:rsidRPr="006070EA" w:rsidRDefault="005968E7" w:rsidP="00F8065C">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Ostrá</w:t>
            </w:r>
          </w:p>
        </w:tc>
        <w:tc>
          <w:tcPr>
            <w:tcW w:w="3001" w:type="dxa"/>
            <w:tcBorders>
              <w:top w:val="single" w:sz="4" w:space="0" w:color="auto"/>
              <w:bottom w:val="single" w:sz="4" w:space="0" w:color="auto"/>
              <w:right w:val="single" w:sz="4" w:space="0" w:color="auto"/>
            </w:tcBorders>
            <w:vAlign w:val="center"/>
          </w:tcPr>
          <w:p w14:paraId="3BB6A1ED"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Ostrá, Šnepov</w:t>
            </w:r>
          </w:p>
        </w:tc>
        <w:tc>
          <w:tcPr>
            <w:tcW w:w="1101" w:type="dxa"/>
            <w:tcBorders>
              <w:top w:val="single" w:sz="4" w:space="0" w:color="auto"/>
              <w:left w:val="single" w:sz="4" w:space="0" w:color="auto"/>
              <w:bottom w:val="single" w:sz="4" w:space="0" w:color="auto"/>
              <w:right w:val="nil"/>
            </w:tcBorders>
            <w:vAlign w:val="center"/>
          </w:tcPr>
          <w:p w14:paraId="686EDB29"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Středočeský</w:t>
            </w:r>
          </w:p>
        </w:tc>
      </w:tr>
      <w:tr w:rsidR="005968E7" w:rsidRPr="006070EA" w14:paraId="0D17BC4D" w14:textId="77777777" w:rsidTr="005968E7">
        <w:trPr>
          <w:trHeight w:val="283"/>
          <w:jc w:val="center"/>
        </w:trPr>
        <w:tc>
          <w:tcPr>
            <w:tcW w:w="1446" w:type="dxa"/>
            <w:tcBorders>
              <w:top w:val="single" w:sz="4" w:space="0" w:color="auto"/>
              <w:bottom w:val="single" w:sz="4" w:space="0" w:color="auto"/>
              <w:right w:val="single" w:sz="4" w:space="0" w:color="auto"/>
            </w:tcBorders>
            <w:vAlign w:val="center"/>
          </w:tcPr>
          <w:p w14:paraId="0064E0FD" w14:textId="77777777" w:rsidR="005968E7" w:rsidRPr="006070EA" w:rsidRDefault="005968E7" w:rsidP="00F8065C">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Stratov</w:t>
            </w:r>
          </w:p>
        </w:tc>
        <w:tc>
          <w:tcPr>
            <w:tcW w:w="3001" w:type="dxa"/>
            <w:tcBorders>
              <w:top w:val="single" w:sz="4" w:space="0" w:color="auto"/>
              <w:bottom w:val="single" w:sz="4" w:space="0" w:color="auto"/>
              <w:right w:val="single" w:sz="4" w:space="0" w:color="auto"/>
            </w:tcBorders>
            <w:vAlign w:val="center"/>
          </w:tcPr>
          <w:p w14:paraId="3917F2E6"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Stratov</w:t>
            </w:r>
          </w:p>
        </w:tc>
        <w:tc>
          <w:tcPr>
            <w:tcW w:w="1101" w:type="dxa"/>
            <w:tcBorders>
              <w:top w:val="single" w:sz="4" w:space="0" w:color="auto"/>
              <w:left w:val="single" w:sz="4" w:space="0" w:color="auto"/>
              <w:bottom w:val="single" w:sz="4" w:space="0" w:color="auto"/>
              <w:right w:val="nil"/>
            </w:tcBorders>
            <w:vAlign w:val="center"/>
          </w:tcPr>
          <w:p w14:paraId="66CE22BE"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Středočeský</w:t>
            </w:r>
          </w:p>
        </w:tc>
      </w:tr>
      <w:tr w:rsidR="005968E7" w:rsidRPr="006070EA" w14:paraId="6EC2A822" w14:textId="77777777" w:rsidTr="005968E7">
        <w:trPr>
          <w:trHeight w:val="283"/>
          <w:jc w:val="center"/>
        </w:trPr>
        <w:tc>
          <w:tcPr>
            <w:tcW w:w="1446" w:type="dxa"/>
            <w:tcBorders>
              <w:top w:val="single" w:sz="4" w:space="0" w:color="auto"/>
              <w:bottom w:val="nil"/>
              <w:right w:val="single" w:sz="4" w:space="0" w:color="auto"/>
            </w:tcBorders>
            <w:vAlign w:val="center"/>
          </w:tcPr>
          <w:p w14:paraId="629F9150" w14:textId="77777777" w:rsidR="005968E7" w:rsidRPr="006070EA" w:rsidRDefault="005968E7" w:rsidP="00F8065C">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Zbožíčko</w:t>
            </w:r>
          </w:p>
        </w:tc>
        <w:tc>
          <w:tcPr>
            <w:tcW w:w="3001" w:type="dxa"/>
            <w:tcBorders>
              <w:top w:val="single" w:sz="4" w:space="0" w:color="auto"/>
              <w:bottom w:val="nil"/>
              <w:right w:val="single" w:sz="4" w:space="0" w:color="auto"/>
            </w:tcBorders>
            <w:vAlign w:val="center"/>
          </w:tcPr>
          <w:p w14:paraId="1E96A4DF"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Zbožíčko</w:t>
            </w:r>
          </w:p>
        </w:tc>
        <w:tc>
          <w:tcPr>
            <w:tcW w:w="1101" w:type="dxa"/>
            <w:tcBorders>
              <w:top w:val="single" w:sz="4" w:space="0" w:color="auto"/>
              <w:left w:val="single" w:sz="4" w:space="0" w:color="auto"/>
              <w:bottom w:val="nil"/>
              <w:right w:val="nil"/>
            </w:tcBorders>
            <w:vAlign w:val="center"/>
          </w:tcPr>
          <w:p w14:paraId="143FCDB0" w14:textId="77777777" w:rsidR="005968E7" w:rsidRPr="006070EA" w:rsidRDefault="005968E7" w:rsidP="00F8065C">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Středočeský</w:t>
            </w:r>
          </w:p>
        </w:tc>
      </w:tr>
    </w:tbl>
    <w:p w14:paraId="5EA3D476" w14:textId="29B7E0EF" w:rsidR="006064E3" w:rsidRPr="006070EA" w:rsidRDefault="006064E3" w:rsidP="006064E3">
      <w:pPr>
        <w:suppressAutoHyphens/>
        <w:spacing w:before="120" w:after="120" w:line="240" w:lineRule="auto"/>
        <w:ind w:firstLine="709"/>
        <w:jc w:val="both"/>
        <w:rPr>
          <w:rFonts w:asciiTheme="majorHAnsi" w:eastAsia="Times New Roman" w:hAnsiTheme="majorHAnsi" w:cstheme="majorHAnsi"/>
          <w:bCs/>
          <w:iCs/>
          <w:sz w:val="18"/>
          <w:szCs w:val="18"/>
          <w:lang w:eastAsia="ar-SA"/>
        </w:rPr>
      </w:pPr>
      <w:r w:rsidRPr="006070EA">
        <w:rPr>
          <w:rFonts w:asciiTheme="majorHAnsi" w:eastAsia="Times New Roman" w:hAnsiTheme="majorHAnsi" w:cstheme="majorHAnsi"/>
          <w:bCs/>
          <w:iCs/>
          <w:sz w:val="18"/>
          <w:szCs w:val="18"/>
          <w:lang w:eastAsia="ar-SA"/>
        </w:rPr>
        <w:t xml:space="preserve">Územní plán </w:t>
      </w:r>
      <w:r w:rsidR="005968E7" w:rsidRPr="006070EA">
        <w:rPr>
          <w:rFonts w:asciiTheme="majorHAnsi" w:eastAsia="Times New Roman" w:hAnsiTheme="majorHAnsi" w:cstheme="majorHAnsi"/>
          <w:bCs/>
          <w:iCs/>
          <w:sz w:val="18"/>
          <w:szCs w:val="18"/>
          <w:lang w:eastAsia="ar-SA"/>
        </w:rPr>
        <w:t>Kostomlaty nad Labem</w:t>
      </w:r>
      <w:r w:rsidRPr="006070EA">
        <w:rPr>
          <w:rFonts w:asciiTheme="majorHAnsi" w:eastAsia="Times New Roman" w:hAnsiTheme="majorHAnsi" w:cstheme="majorHAnsi"/>
          <w:bCs/>
          <w:iCs/>
          <w:sz w:val="18"/>
          <w:szCs w:val="18"/>
          <w:lang w:eastAsia="ar-SA"/>
        </w:rPr>
        <w:t xml:space="preserve"> obecně respektuje platnou územně plánovací dokumentaci sousedních obcí zpracovanou v souladu se zákonem č. 183/2006 Sb. Z hlediska širších vztahů je řešena návaznost jednotlivých ploch s rozdílným způsobem využití a dalších prostorových a funkčních vazeb, zejména v oblasti dopravní a technické infrastruktury a ochrany přírody a krajiny (především ÚSES). </w:t>
      </w:r>
    </w:p>
    <w:p w14:paraId="4E1A897C" w14:textId="349C568A" w:rsidR="006064E3" w:rsidRPr="006070EA" w:rsidRDefault="006064E3" w:rsidP="006064E3">
      <w:pPr>
        <w:suppressAutoHyphens/>
        <w:spacing w:before="120" w:after="120" w:line="240" w:lineRule="auto"/>
        <w:ind w:firstLine="709"/>
        <w:jc w:val="both"/>
        <w:rPr>
          <w:rFonts w:asciiTheme="majorHAnsi" w:eastAsia="Times New Roman" w:hAnsiTheme="majorHAnsi" w:cstheme="majorHAnsi"/>
          <w:bCs/>
          <w:iCs/>
          <w:sz w:val="18"/>
          <w:szCs w:val="18"/>
          <w:lang w:eastAsia="ar-SA"/>
        </w:rPr>
      </w:pPr>
      <w:r w:rsidRPr="006070EA">
        <w:rPr>
          <w:rFonts w:asciiTheme="majorHAnsi" w:eastAsia="Times New Roman" w:hAnsiTheme="majorHAnsi" w:cstheme="majorHAnsi"/>
          <w:bCs/>
          <w:iCs/>
          <w:sz w:val="18"/>
          <w:szCs w:val="18"/>
          <w:lang w:eastAsia="ar-SA"/>
        </w:rPr>
        <w:t>Potřeb</w:t>
      </w:r>
      <w:r w:rsidR="00D20F4B" w:rsidRPr="006070EA">
        <w:rPr>
          <w:rFonts w:asciiTheme="majorHAnsi" w:eastAsia="Times New Roman" w:hAnsiTheme="majorHAnsi" w:cstheme="majorHAnsi"/>
          <w:bCs/>
          <w:iCs/>
          <w:sz w:val="18"/>
          <w:szCs w:val="18"/>
          <w:lang w:eastAsia="ar-SA"/>
        </w:rPr>
        <w:t>a</w:t>
      </w:r>
      <w:r w:rsidRPr="006070EA">
        <w:rPr>
          <w:rFonts w:asciiTheme="majorHAnsi" w:eastAsia="Times New Roman" w:hAnsiTheme="majorHAnsi" w:cstheme="majorHAnsi"/>
          <w:bCs/>
          <w:iCs/>
          <w:sz w:val="18"/>
          <w:szCs w:val="18"/>
          <w:lang w:eastAsia="ar-SA"/>
        </w:rPr>
        <w:t xml:space="preserve"> </w:t>
      </w:r>
      <w:r w:rsidRPr="006070EA">
        <w:rPr>
          <w:rFonts w:asciiTheme="majorHAnsi" w:eastAsia="Times New Roman" w:hAnsiTheme="majorHAnsi" w:cstheme="majorHAnsi"/>
          <w:b/>
          <w:iCs/>
          <w:sz w:val="18"/>
          <w:szCs w:val="18"/>
          <w:lang w:eastAsia="ar-SA"/>
        </w:rPr>
        <w:t xml:space="preserve">koordinace řešení ÚP </w:t>
      </w:r>
      <w:r w:rsidR="005968E7" w:rsidRPr="006070EA">
        <w:rPr>
          <w:rFonts w:asciiTheme="majorHAnsi" w:eastAsia="Times New Roman" w:hAnsiTheme="majorHAnsi" w:cstheme="majorHAnsi"/>
          <w:b/>
          <w:iCs/>
          <w:sz w:val="18"/>
          <w:szCs w:val="18"/>
          <w:lang w:eastAsia="ar-SA"/>
        </w:rPr>
        <w:t>Kostomlaty nad Labem</w:t>
      </w:r>
      <w:r w:rsidRPr="006070EA">
        <w:rPr>
          <w:rFonts w:asciiTheme="majorHAnsi" w:eastAsia="Times New Roman" w:hAnsiTheme="majorHAnsi" w:cstheme="majorHAnsi"/>
          <w:b/>
          <w:iCs/>
          <w:sz w:val="18"/>
          <w:szCs w:val="18"/>
          <w:lang w:eastAsia="ar-SA"/>
        </w:rPr>
        <w:t xml:space="preserve"> s platnou územně plánovací dokumentací (ÚPD) sousedních obcí</w:t>
      </w:r>
      <w:r w:rsidRPr="006070EA">
        <w:rPr>
          <w:rFonts w:asciiTheme="majorHAnsi" w:eastAsia="Times New Roman" w:hAnsiTheme="majorHAnsi" w:cstheme="majorHAnsi"/>
          <w:bCs/>
          <w:iCs/>
          <w:sz w:val="18"/>
          <w:szCs w:val="18"/>
          <w:lang w:eastAsia="ar-SA"/>
        </w:rPr>
        <w:t xml:space="preserve"> je vyjádřena v následující tabulce: </w:t>
      </w:r>
    </w:p>
    <w:tbl>
      <w:tblPr>
        <w:tblW w:w="9071" w:type="dxa"/>
        <w:jc w:val="center"/>
        <w:tblBorders>
          <w:insideH w:val="single" w:sz="4" w:space="0" w:color="auto"/>
          <w:insideV w:val="single" w:sz="4" w:space="0" w:color="auto"/>
        </w:tblBorders>
        <w:tblLayout w:type="fixed"/>
        <w:tblLook w:val="04A0" w:firstRow="1" w:lastRow="0" w:firstColumn="1" w:lastColumn="0" w:noHBand="0" w:noVBand="1"/>
      </w:tblPr>
      <w:tblGrid>
        <w:gridCol w:w="1134"/>
        <w:gridCol w:w="2721"/>
        <w:gridCol w:w="1108"/>
        <w:gridCol w:w="4108"/>
      </w:tblGrid>
      <w:tr w:rsidR="00BF5C46" w:rsidRPr="006070EA" w14:paraId="76AABB60" w14:textId="77777777" w:rsidTr="00BF5C46">
        <w:trPr>
          <w:cantSplit/>
          <w:trHeight w:val="283"/>
          <w:tblHeader/>
          <w:jc w:val="center"/>
        </w:trPr>
        <w:tc>
          <w:tcPr>
            <w:tcW w:w="1134" w:type="dxa"/>
            <w:tcBorders>
              <w:top w:val="nil"/>
              <w:bottom w:val="single" w:sz="12" w:space="0" w:color="auto"/>
              <w:right w:val="single" w:sz="12" w:space="0" w:color="auto"/>
            </w:tcBorders>
            <w:vAlign w:val="center"/>
            <w:hideMark/>
          </w:tcPr>
          <w:p w14:paraId="6B1932FC" w14:textId="77777777" w:rsidR="006064E3" w:rsidRPr="006070EA" w:rsidRDefault="006064E3" w:rsidP="006064E3">
            <w:pPr>
              <w:keepNext/>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eastAsia="Times New Roman" w:hAnsiTheme="majorHAnsi" w:cstheme="majorHAnsi"/>
                <w:b/>
                <w:iCs/>
                <w:sz w:val="18"/>
                <w:szCs w:val="18"/>
                <w:lang w:eastAsia="ar-SA"/>
              </w:rPr>
              <w:t>obec</w:t>
            </w:r>
          </w:p>
        </w:tc>
        <w:tc>
          <w:tcPr>
            <w:tcW w:w="2721" w:type="dxa"/>
            <w:tcBorders>
              <w:top w:val="nil"/>
              <w:left w:val="single" w:sz="12" w:space="0" w:color="auto"/>
              <w:bottom w:val="single" w:sz="12" w:space="0" w:color="auto"/>
              <w:right w:val="single" w:sz="12" w:space="0" w:color="auto"/>
            </w:tcBorders>
            <w:vAlign w:val="center"/>
          </w:tcPr>
          <w:p w14:paraId="40C5DEB0" w14:textId="77777777" w:rsidR="006064E3" w:rsidRPr="006070EA" w:rsidRDefault="006064E3" w:rsidP="006064E3">
            <w:pPr>
              <w:keepNext/>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eastAsia="Times New Roman" w:hAnsiTheme="majorHAnsi" w:cstheme="majorHAnsi"/>
                <w:b/>
                <w:iCs/>
                <w:sz w:val="18"/>
                <w:szCs w:val="18"/>
                <w:lang w:eastAsia="ar-SA"/>
              </w:rPr>
              <w:t>platná územně plánovací dokumentace</w:t>
            </w:r>
          </w:p>
        </w:tc>
        <w:tc>
          <w:tcPr>
            <w:tcW w:w="1108" w:type="dxa"/>
            <w:tcBorders>
              <w:top w:val="nil"/>
              <w:left w:val="single" w:sz="12" w:space="0" w:color="auto"/>
              <w:bottom w:val="single" w:sz="12" w:space="0" w:color="auto"/>
              <w:right w:val="single" w:sz="12" w:space="0" w:color="auto"/>
            </w:tcBorders>
            <w:vAlign w:val="center"/>
          </w:tcPr>
          <w:p w14:paraId="01FCEA92" w14:textId="77777777" w:rsidR="006064E3" w:rsidRPr="006070EA" w:rsidRDefault="006064E3" w:rsidP="006064E3">
            <w:pPr>
              <w:keepNext/>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eastAsia="Times New Roman" w:hAnsiTheme="majorHAnsi" w:cstheme="majorHAnsi"/>
                <w:b/>
                <w:iCs/>
                <w:sz w:val="18"/>
                <w:szCs w:val="18"/>
                <w:lang w:eastAsia="ar-SA"/>
              </w:rPr>
              <w:t>nabytí účinnosti</w:t>
            </w:r>
          </w:p>
        </w:tc>
        <w:tc>
          <w:tcPr>
            <w:tcW w:w="4108" w:type="dxa"/>
            <w:tcBorders>
              <w:top w:val="nil"/>
              <w:left w:val="single" w:sz="12" w:space="0" w:color="auto"/>
              <w:bottom w:val="single" w:sz="12" w:space="0" w:color="auto"/>
            </w:tcBorders>
            <w:vAlign w:val="center"/>
          </w:tcPr>
          <w:p w14:paraId="5EBF9457" w14:textId="77777777" w:rsidR="006064E3" w:rsidRPr="006070EA" w:rsidRDefault="006064E3" w:rsidP="006064E3">
            <w:pPr>
              <w:keepNext/>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eastAsia="Times New Roman" w:hAnsiTheme="majorHAnsi" w:cstheme="majorHAnsi"/>
                <w:b/>
                <w:iCs/>
                <w:sz w:val="18"/>
                <w:szCs w:val="18"/>
                <w:lang w:eastAsia="ar-SA"/>
              </w:rPr>
              <w:t>popis koordinace</w:t>
            </w:r>
          </w:p>
        </w:tc>
      </w:tr>
      <w:tr w:rsidR="00BF5C46" w:rsidRPr="006070EA" w14:paraId="7E3CCD24" w14:textId="77777777" w:rsidTr="00BF5C46">
        <w:trPr>
          <w:trHeight w:val="65"/>
          <w:jc w:val="center"/>
        </w:trPr>
        <w:tc>
          <w:tcPr>
            <w:tcW w:w="1134" w:type="dxa"/>
            <w:tcBorders>
              <w:top w:val="single" w:sz="12" w:space="0" w:color="auto"/>
            </w:tcBorders>
            <w:vAlign w:val="center"/>
          </w:tcPr>
          <w:p w14:paraId="0EE346B1" w14:textId="68A56CC3" w:rsidR="00BF5C46" w:rsidRPr="006070EA" w:rsidRDefault="00BF5C46" w:rsidP="00BF5C46">
            <w:pPr>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hAnsiTheme="majorHAnsi" w:cstheme="majorHAnsi"/>
                <w:b/>
                <w:sz w:val="18"/>
                <w:szCs w:val="18"/>
              </w:rPr>
              <w:t>Čilec</w:t>
            </w:r>
          </w:p>
        </w:tc>
        <w:tc>
          <w:tcPr>
            <w:tcW w:w="2721" w:type="dxa"/>
            <w:tcBorders>
              <w:top w:val="single" w:sz="12" w:space="0" w:color="auto"/>
            </w:tcBorders>
            <w:vAlign w:val="center"/>
          </w:tcPr>
          <w:p w14:paraId="401BAEAC" w14:textId="2A90606C" w:rsidR="00BF5C46" w:rsidRPr="006070EA" w:rsidRDefault="00BF5C46" w:rsidP="00BF5C46">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ÚP Čilec</w:t>
            </w:r>
          </w:p>
        </w:tc>
        <w:tc>
          <w:tcPr>
            <w:tcW w:w="1108" w:type="dxa"/>
            <w:tcBorders>
              <w:top w:val="single" w:sz="12" w:space="0" w:color="auto"/>
            </w:tcBorders>
            <w:vAlign w:val="center"/>
          </w:tcPr>
          <w:p w14:paraId="0108C312" w14:textId="49F48E8E" w:rsidR="00BF5C46" w:rsidRPr="006070EA" w:rsidRDefault="00BF5C46" w:rsidP="00BF5C46">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22. 6. 2010</w:t>
            </w:r>
          </w:p>
        </w:tc>
        <w:tc>
          <w:tcPr>
            <w:tcW w:w="4108" w:type="dxa"/>
            <w:tcBorders>
              <w:top w:val="single" w:sz="12" w:space="0" w:color="auto"/>
            </w:tcBorders>
            <w:vAlign w:val="center"/>
          </w:tcPr>
          <w:p w14:paraId="48304110" w14:textId="128C8E74" w:rsidR="00BF5C46" w:rsidRPr="006070EA" w:rsidRDefault="00BF5C46" w:rsidP="00BF5C46">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
                <w:sz w:val="18"/>
                <w:szCs w:val="18"/>
                <w:lang w:eastAsia="ar-SA"/>
              </w:rPr>
              <w:t>Bez potřeby koordinace</w:t>
            </w:r>
          </w:p>
        </w:tc>
      </w:tr>
      <w:tr w:rsidR="00830D50" w:rsidRPr="006070EA" w14:paraId="7955CED4" w14:textId="77777777" w:rsidTr="00BF5C46">
        <w:trPr>
          <w:trHeight w:val="283"/>
          <w:jc w:val="center"/>
        </w:trPr>
        <w:tc>
          <w:tcPr>
            <w:tcW w:w="1134" w:type="dxa"/>
            <w:vMerge w:val="restart"/>
            <w:vAlign w:val="center"/>
          </w:tcPr>
          <w:p w14:paraId="6DDBAB14" w14:textId="7D1C107C" w:rsidR="00830D50" w:rsidRPr="006070EA" w:rsidRDefault="00830D50" w:rsidP="005968E7">
            <w:pPr>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hAnsiTheme="majorHAnsi" w:cstheme="majorHAnsi"/>
                <w:b/>
                <w:sz w:val="18"/>
                <w:szCs w:val="18"/>
              </w:rPr>
              <w:t>Hradištko</w:t>
            </w:r>
          </w:p>
        </w:tc>
        <w:tc>
          <w:tcPr>
            <w:tcW w:w="2721" w:type="dxa"/>
            <w:vAlign w:val="center"/>
          </w:tcPr>
          <w:p w14:paraId="1F3F18ED" w14:textId="48E4C992" w:rsidR="00830D50" w:rsidRPr="006070EA" w:rsidRDefault="00830D50" w:rsidP="005968E7">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ÚPO Hradištko</w:t>
            </w:r>
          </w:p>
        </w:tc>
        <w:tc>
          <w:tcPr>
            <w:tcW w:w="1108" w:type="dxa"/>
            <w:vAlign w:val="center"/>
          </w:tcPr>
          <w:p w14:paraId="52ABFCE9" w14:textId="0C15BF35" w:rsidR="00830D50" w:rsidRPr="006070EA" w:rsidRDefault="00830D50" w:rsidP="005968E7">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w:t>
            </w:r>
          </w:p>
        </w:tc>
        <w:tc>
          <w:tcPr>
            <w:tcW w:w="4108" w:type="dxa"/>
            <w:vAlign w:val="center"/>
          </w:tcPr>
          <w:p w14:paraId="05502050" w14:textId="2D91A405" w:rsidR="00830D50" w:rsidRPr="006070EA" w:rsidRDefault="00830D50" w:rsidP="005968E7">
            <w:pPr>
              <w:suppressAutoHyphens/>
              <w:spacing w:after="0" w:line="240" w:lineRule="auto"/>
              <w:rPr>
                <w:rFonts w:asciiTheme="majorHAnsi" w:eastAsia="Times New Roman" w:hAnsiTheme="majorHAnsi" w:cstheme="majorHAnsi"/>
                <w:i/>
                <w:sz w:val="18"/>
                <w:szCs w:val="18"/>
                <w:lang w:eastAsia="ar-SA"/>
              </w:rPr>
            </w:pPr>
            <w:r w:rsidRPr="006070EA">
              <w:rPr>
                <w:rFonts w:asciiTheme="majorHAnsi" w:eastAsia="Times New Roman" w:hAnsiTheme="majorHAnsi" w:cstheme="majorHAnsi"/>
                <w:i/>
                <w:sz w:val="18"/>
                <w:szCs w:val="18"/>
                <w:lang w:eastAsia="ar-SA"/>
              </w:rPr>
              <w:t>Bez potřeby koordinace</w:t>
            </w:r>
          </w:p>
          <w:p w14:paraId="2B12550E" w14:textId="237D6C6C" w:rsidR="00830D50" w:rsidRPr="006070EA" w:rsidRDefault="00830D50" w:rsidP="005968E7">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(ÚPD sousední obce bude </w:t>
            </w:r>
            <w:r w:rsidR="00BF5C46" w:rsidRPr="006070EA">
              <w:rPr>
                <w:rFonts w:asciiTheme="majorHAnsi" w:eastAsia="Times New Roman" w:hAnsiTheme="majorHAnsi" w:cstheme="majorHAnsi"/>
                <w:iCs/>
                <w:sz w:val="18"/>
                <w:szCs w:val="18"/>
                <w:lang w:eastAsia="ar-SA"/>
              </w:rPr>
              <w:t xml:space="preserve">nezbytné </w:t>
            </w:r>
            <w:r w:rsidRPr="006070EA">
              <w:rPr>
                <w:rFonts w:asciiTheme="majorHAnsi" w:eastAsia="Times New Roman" w:hAnsiTheme="majorHAnsi" w:cstheme="majorHAnsi"/>
                <w:iCs/>
                <w:sz w:val="18"/>
                <w:szCs w:val="18"/>
                <w:lang w:eastAsia="ar-SA"/>
              </w:rPr>
              <w:t>v rámci aktualizace koordinov</w:t>
            </w:r>
            <w:r w:rsidR="00BF5C46" w:rsidRPr="006070EA">
              <w:rPr>
                <w:rFonts w:asciiTheme="majorHAnsi" w:eastAsia="Times New Roman" w:hAnsiTheme="majorHAnsi" w:cstheme="majorHAnsi"/>
                <w:iCs/>
                <w:sz w:val="18"/>
                <w:szCs w:val="18"/>
                <w:lang w:eastAsia="ar-SA"/>
              </w:rPr>
              <w:t>at</w:t>
            </w:r>
            <w:r w:rsidRPr="006070EA">
              <w:rPr>
                <w:rFonts w:asciiTheme="majorHAnsi" w:eastAsia="Times New Roman" w:hAnsiTheme="majorHAnsi" w:cstheme="majorHAnsi"/>
                <w:iCs/>
                <w:sz w:val="18"/>
                <w:szCs w:val="18"/>
                <w:lang w:eastAsia="ar-SA"/>
              </w:rPr>
              <w:t xml:space="preserve"> s ÚP Kostomlaty nad Labem)</w:t>
            </w:r>
          </w:p>
        </w:tc>
      </w:tr>
      <w:tr w:rsidR="00830D50" w:rsidRPr="006070EA" w14:paraId="1403BCDE" w14:textId="77777777" w:rsidTr="00BF5C46">
        <w:trPr>
          <w:trHeight w:val="283"/>
          <w:jc w:val="center"/>
        </w:trPr>
        <w:tc>
          <w:tcPr>
            <w:tcW w:w="1134" w:type="dxa"/>
            <w:vMerge/>
            <w:vAlign w:val="center"/>
          </w:tcPr>
          <w:p w14:paraId="66E66C70" w14:textId="77777777" w:rsidR="00830D50" w:rsidRPr="006070EA" w:rsidRDefault="00830D50" w:rsidP="005968E7">
            <w:pPr>
              <w:suppressAutoHyphens/>
              <w:spacing w:after="0" w:line="240" w:lineRule="auto"/>
              <w:rPr>
                <w:rFonts w:asciiTheme="majorHAnsi" w:hAnsiTheme="majorHAnsi" w:cstheme="majorHAnsi"/>
                <w:b/>
                <w:sz w:val="18"/>
                <w:szCs w:val="18"/>
              </w:rPr>
            </w:pPr>
          </w:p>
        </w:tc>
        <w:tc>
          <w:tcPr>
            <w:tcW w:w="2721" w:type="dxa"/>
            <w:vAlign w:val="center"/>
          </w:tcPr>
          <w:p w14:paraId="30DAE4AC" w14:textId="793C8A4E" w:rsidR="00830D50" w:rsidRPr="006070EA" w:rsidRDefault="00830D50" w:rsidP="005968E7">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Změna č. 1 ÚPO Hradištko</w:t>
            </w:r>
          </w:p>
        </w:tc>
        <w:tc>
          <w:tcPr>
            <w:tcW w:w="1108" w:type="dxa"/>
            <w:vAlign w:val="center"/>
          </w:tcPr>
          <w:p w14:paraId="5883681C" w14:textId="09552F8D" w:rsidR="00830D50" w:rsidRPr="006070EA" w:rsidRDefault="00830D50" w:rsidP="005968E7">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2. 11. 2010</w:t>
            </w:r>
          </w:p>
        </w:tc>
        <w:tc>
          <w:tcPr>
            <w:tcW w:w="4108" w:type="dxa"/>
            <w:vAlign w:val="center"/>
          </w:tcPr>
          <w:p w14:paraId="443DDAE8" w14:textId="48FD4CC4" w:rsidR="00830D50" w:rsidRPr="006070EA" w:rsidRDefault="00830D50" w:rsidP="005968E7">
            <w:pPr>
              <w:suppressAutoHyphens/>
              <w:spacing w:after="0" w:line="240" w:lineRule="auto"/>
              <w:rPr>
                <w:rFonts w:asciiTheme="majorHAnsi" w:eastAsia="Times New Roman" w:hAnsiTheme="majorHAnsi" w:cstheme="majorHAnsi"/>
                <w:i/>
                <w:sz w:val="18"/>
                <w:szCs w:val="18"/>
                <w:lang w:eastAsia="ar-SA"/>
              </w:rPr>
            </w:pPr>
            <w:r w:rsidRPr="006070EA">
              <w:rPr>
                <w:rFonts w:asciiTheme="majorHAnsi" w:eastAsia="Times New Roman" w:hAnsiTheme="majorHAnsi" w:cstheme="majorHAnsi"/>
                <w:i/>
                <w:sz w:val="18"/>
                <w:szCs w:val="18"/>
                <w:lang w:eastAsia="ar-SA"/>
              </w:rPr>
              <w:t>Bez potřeby koordinace</w:t>
            </w:r>
          </w:p>
        </w:tc>
      </w:tr>
      <w:tr w:rsidR="00830D50" w:rsidRPr="006070EA" w14:paraId="277CF581" w14:textId="77777777" w:rsidTr="00BF5C46">
        <w:trPr>
          <w:trHeight w:val="283"/>
          <w:jc w:val="center"/>
        </w:trPr>
        <w:tc>
          <w:tcPr>
            <w:tcW w:w="1134" w:type="dxa"/>
            <w:vMerge/>
            <w:vAlign w:val="center"/>
          </w:tcPr>
          <w:p w14:paraId="57233ABF" w14:textId="77777777" w:rsidR="00830D50" w:rsidRPr="006070EA" w:rsidRDefault="00830D50" w:rsidP="00830D50">
            <w:pPr>
              <w:suppressAutoHyphens/>
              <w:spacing w:after="0" w:line="240" w:lineRule="auto"/>
              <w:rPr>
                <w:rFonts w:asciiTheme="majorHAnsi" w:hAnsiTheme="majorHAnsi" w:cstheme="majorHAnsi"/>
                <w:b/>
                <w:sz w:val="18"/>
                <w:szCs w:val="18"/>
              </w:rPr>
            </w:pPr>
          </w:p>
        </w:tc>
        <w:tc>
          <w:tcPr>
            <w:tcW w:w="2721" w:type="dxa"/>
            <w:vAlign w:val="center"/>
          </w:tcPr>
          <w:p w14:paraId="7D91A393" w14:textId="577F8647"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Změna č. 2 ÚPO Hradištko</w:t>
            </w:r>
          </w:p>
        </w:tc>
        <w:tc>
          <w:tcPr>
            <w:tcW w:w="1108" w:type="dxa"/>
            <w:vAlign w:val="center"/>
          </w:tcPr>
          <w:p w14:paraId="573D37B6" w14:textId="1DFF408B"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15. 8. 2019</w:t>
            </w:r>
          </w:p>
        </w:tc>
        <w:tc>
          <w:tcPr>
            <w:tcW w:w="4108" w:type="dxa"/>
            <w:vAlign w:val="center"/>
          </w:tcPr>
          <w:p w14:paraId="628F1DF4" w14:textId="3CFEAC51" w:rsidR="00830D50" w:rsidRPr="006070EA" w:rsidRDefault="00830D50" w:rsidP="00830D50">
            <w:pPr>
              <w:suppressAutoHyphens/>
              <w:spacing w:after="0" w:line="240" w:lineRule="auto"/>
              <w:rPr>
                <w:rFonts w:asciiTheme="majorHAnsi" w:eastAsia="Times New Roman" w:hAnsiTheme="majorHAnsi" w:cstheme="majorHAnsi"/>
                <w:i/>
                <w:sz w:val="18"/>
                <w:szCs w:val="18"/>
                <w:lang w:eastAsia="ar-SA"/>
              </w:rPr>
            </w:pPr>
            <w:r w:rsidRPr="006070EA">
              <w:rPr>
                <w:rFonts w:asciiTheme="majorHAnsi" w:eastAsia="Times New Roman" w:hAnsiTheme="majorHAnsi" w:cstheme="majorHAnsi"/>
                <w:i/>
                <w:sz w:val="18"/>
                <w:szCs w:val="18"/>
                <w:lang w:eastAsia="ar-SA"/>
              </w:rPr>
              <w:t>Bez potřeby koordinace</w:t>
            </w:r>
          </w:p>
        </w:tc>
      </w:tr>
      <w:tr w:rsidR="00830D50" w:rsidRPr="006070EA" w14:paraId="6469D092" w14:textId="77777777" w:rsidTr="00BF5C46">
        <w:trPr>
          <w:trHeight w:val="283"/>
          <w:jc w:val="center"/>
        </w:trPr>
        <w:tc>
          <w:tcPr>
            <w:tcW w:w="1134" w:type="dxa"/>
            <w:vMerge/>
            <w:vAlign w:val="center"/>
          </w:tcPr>
          <w:p w14:paraId="0A3AC05A" w14:textId="77777777" w:rsidR="00830D50" w:rsidRPr="006070EA" w:rsidRDefault="00830D50" w:rsidP="00830D50">
            <w:pPr>
              <w:suppressAutoHyphens/>
              <w:spacing w:after="0" w:line="240" w:lineRule="auto"/>
              <w:rPr>
                <w:rFonts w:asciiTheme="majorHAnsi" w:hAnsiTheme="majorHAnsi" w:cstheme="majorHAnsi"/>
                <w:b/>
                <w:sz w:val="18"/>
                <w:szCs w:val="18"/>
              </w:rPr>
            </w:pPr>
          </w:p>
        </w:tc>
        <w:tc>
          <w:tcPr>
            <w:tcW w:w="2721" w:type="dxa"/>
            <w:vAlign w:val="center"/>
          </w:tcPr>
          <w:p w14:paraId="0AF2036E" w14:textId="727169B3"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Změna č. 3 ÚPO Hradištko</w:t>
            </w:r>
          </w:p>
        </w:tc>
        <w:tc>
          <w:tcPr>
            <w:tcW w:w="1108" w:type="dxa"/>
            <w:vAlign w:val="center"/>
          </w:tcPr>
          <w:p w14:paraId="017A586C" w14:textId="408D9F93"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11. 11. 2021</w:t>
            </w:r>
          </w:p>
        </w:tc>
        <w:tc>
          <w:tcPr>
            <w:tcW w:w="4108" w:type="dxa"/>
            <w:vAlign w:val="center"/>
          </w:tcPr>
          <w:p w14:paraId="4D9EE952" w14:textId="3AE93738" w:rsidR="00830D50" w:rsidRPr="006070EA" w:rsidRDefault="00830D50" w:rsidP="00830D50">
            <w:pPr>
              <w:suppressAutoHyphens/>
              <w:spacing w:after="0" w:line="240" w:lineRule="auto"/>
              <w:rPr>
                <w:rFonts w:asciiTheme="majorHAnsi" w:eastAsia="Times New Roman" w:hAnsiTheme="majorHAnsi" w:cstheme="majorHAnsi"/>
                <w:i/>
                <w:sz w:val="18"/>
                <w:szCs w:val="18"/>
                <w:lang w:eastAsia="ar-SA"/>
              </w:rPr>
            </w:pPr>
            <w:r w:rsidRPr="006070EA">
              <w:rPr>
                <w:rFonts w:asciiTheme="majorHAnsi" w:eastAsia="Times New Roman" w:hAnsiTheme="majorHAnsi" w:cstheme="majorHAnsi"/>
                <w:i/>
                <w:sz w:val="18"/>
                <w:szCs w:val="18"/>
                <w:lang w:eastAsia="ar-SA"/>
              </w:rPr>
              <w:t>Bez potřeby koordinace</w:t>
            </w:r>
          </w:p>
        </w:tc>
      </w:tr>
      <w:tr w:rsidR="00234D81" w:rsidRPr="006070EA" w14:paraId="4265837C" w14:textId="77777777" w:rsidTr="00BF5C46">
        <w:trPr>
          <w:trHeight w:val="283"/>
          <w:jc w:val="center"/>
        </w:trPr>
        <w:tc>
          <w:tcPr>
            <w:tcW w:w="1134" w:type="dxa"/>
            <w:vAlign w:val="center"/>
          </w:tcPr>
          <w:p w14:paraId="6C723178" w14:textId="30160F16" w:rsidR="00830D50" w:rsidRPr="006070EA" w:rsidRDefault="00830D50" w:rsidP="00830D50">
            <w:pPr>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eastAsia="Times New Roman" w:hAnsiTheme="majorHAnsi" w:cstheme="majorHAnsi"/>
                <w:b/>
                <w:iCs/>
                <w:sz w:val="18"/>
                <w:szCs w:val="18"/>
                <w:lang w:eastAsia="ar-SA"/>
              </w:rPr>
              <w:t>Kamenné Zboží</w:t>
            </w:r>
          </w:p>
        </w:tc>
        <w:tc>
          <w:tcPr>
            <w:tcW w:w="2721" w:type="dxa"/>
            <w:vAlign w:val="center"/>
          </w:tcPr>
          <w:p w14:paraId="73E0AC05" w14:textId="7492EB41"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ÚP </w:t>
            </w:r>
            <w:r w:rsidR="00234D81" w:rsidRPr="006070EA">
              <w:rPr>
                <w:rFonts w:asciiTheme="majorHAnsi" w:eastAsia="Times New Roman" w:hAnsiTheme="majorHAnsi" w:cstheme="majorHAnsi"/>
                <w:iCs/>
                <w:sz w:val="18"/>
                <w:szCs w:val="18"/>
                <w:lang w:eastAsia="ar-SA"/>
              </w:rPr>
              <w:t>Kamenné Zboží</w:t>
            </w:r>
          </w:p>
        </w:tc>
        <w:tc>
          <w:tcPr>
            <w:tcW w:w="1108" w:type="dxa"/>
            <w:vAlign w:val="center"/>
          </w:tcPr>
          <w:p w14:paraId="0D343D85" w14:textId="17144E11" w:rsidR="00830D50" w:rsidRPr="006070EA" w:rsidRDefault="00234D81"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13. 2. 2016</w:t>
            </w:r>
          </w:p>
        </w:tc>
        <w:tc>
          <w:tcPr>
            <w:tcW w:w="4108" w:type="dxa"/>
            <w:vAlign w:val="center"/>
          </w:tcPr>
          <w:p w14:paraId="2828DAFA" w14:textId="6C39B3A1"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ÚSES: </w:t>
            </w:r>
            <w:r w:rsidR="00234D81" w:rsidRPr="006070EA">
              <w:rPr>
                <w:rFonts w:asciiTheme="majorHAnsi" w:eastAsia="Times New Roman" w:hAnsiTheme="majorHAnsi" w:cstheme="majorHAnsi"/>
                <w:iCs/>
                <w:sz w:val="18"/>
                <w:szCs w:val="18"/>
                <w:lang w:eastAsia="ar-SA"/>
              </w:rPr>
              <w:t>LBK 3</w:t>
            </w:r>
            <w:r w:rsidRPr="006070EA">
              <w:rPr>
                <w:rFonts w:asciiTheme="majorHAnsi" w:eastAsia="Times New Roman" w:hAnsiTheme="majorHAnsi" w:cstheme="majorHAnsi"/>
                <w:iCs/>
                <w:sz w:val="18"/>
                <w:szCs w:val="18"/>
                <w:lang w:eastAsia="ar-SA"/>
              </w:rPr>
              <w:t xml:space="preserve"> (ÚP </w:t>
            </w:r>
            <w:r w:rsidR="00234D81" w:rsidRPr="006070EA">
              <w:rPr>
                <w:rFonts w:asciiTheme="majorHAnsi" w:eastAsia="Times New Roman" w:hAnsiTheme="majorHAnsi" w:cstheme="majorHAnsi"/>
                <w:iCs/>
                <w:sz w:val="18"/>
                <w:szCs w:val="18"/>
                <w:lang w:eastAsia="ar-SA"/>
              </w:rPr>
              <w:t>Kamenné Zboží</w:t>
            </w:r>
            <w:r w:rsidRPr="006070EA">
              <w:rPr>
                <w:rFonts w:asciiTheme="majorHAnsi" w:eastAsia="Times New Roman" w:hAnsiTheme="majorHAnsi" w:cstheme="majorHAnsi"/>
                <w:iCs/>
                <w:sz w:val="18"/>
                <w:szCs w:val="18"/>
                <w:lang w:eastAsia="ar-SA"/>
              </w:rPr>
              <w:t xml:space="preserve">) </w:t>
            </w:r>
            <w:r w:rsidRPr="006070EA">
              <w:rPr>
                <w:rFonts w:asciiTheme="majorHAnsi" w:eastAsia="Times New Roman" w:hAnsiTheme="majorHAnsi" w:cstheme="majorHAnsi"/>
                <w:iCs/>
                <w:sz w:val="18"/>
                <w:szCs w:val="18"/>
                <w:lang w:eastAsia="ar-SA"/>
              </w:rPr>
              <w:sym w:font="Wingdings" w:char="F0E0"/>
            </w:r>
            <w:r w:rsidRPr="006070EA">
              <w:rPr>
                <w:rFonts w:asciiTheme="majorHAnsi" w:eastAsia="Times New Roman" w:hAnsiTheme="majorHAnsi" w:cstheme="majorHAnsi"/>
                <w:iCs/>
                <w:sz w:val="18"/>
                <w:szCs w:val="18"/>
                <w:lang w:eastAsia="ar-SA"/>
              </w:rPr>
              <w:t xml:space="preserve"> </w:t>
            </w:r>
            <w:r w:rsidR="000039CA" w:rsidRPr="006070EA">
              <w:rPr>
                <w:rFonts w:asciiTheme="majorHAnsi" w:eastAsia="Times New Roman" w:hAnsiTheme="majorHAnsi" w:cstheme="majorHAnsi"/>
                <w:iCs/>
                <w:sz w:val="18"/>
                <w:szCs w:val="18"/>
                <w:lang w:eastAsia="ar-SA"/>
              </w:rPr>
              <w:t>koordinován jako L</w:t>
            </w:r>
            <w:r w:rsidR="00234D81" w:rsidRPr="006070EA">
              <w:rPr>
                <w:rFonts w:asciiTheme="majorHAnsi" w:eastAsia="Times New Roman" w:hAnsiTheme="majorHAnsi" w:cstheme="majorHAnsi"/>
                <w:iCs/>
                <w:sz w:val="18"/>
                <w:szCs w:val="18"/>
                <w:lang w:eastAsia="ar-SA"/>
              </w:rPr>
              <w:t>4</w:t>
            </w:r>
            <w:r w:rsidR="000039CA" w:rsidRPr="006070EA">
              <w:rPr>
                <w:rFonts w:asciiTheme="majorHAnsi" w:eastAsia="Times New Roman" w:hAnsiTheme="majorHAnsi" w:cstheme="majorHAnsi"/>
                <w:iCs/>
                <w:sz w:val="18"/>
                <w:szCs w:val="18"/>
                <w:lang w:eastAsia="ar-SA"/>
              </w:rPr>
              <w:t xml:space="preserve"> 4 </w:t>
            </w:r>
            <w:r w:rsidR="00234D81" w:rsidRPr="006070EA">
              <w:rPr>
                <w:rFonts w:asciiTheme="majorHAnsi" w:eastAsia="Times New Roman" w:hAnsiTheme="majorHAnsi" w:cstheme="majorHAnsi"/>
                <w:iCs/>
                <w:sz w:val="18"/>
                <w:szCs w:val="18"/>
                <w:lang w:eastAsia="ar-SA"/>
              </w:rPr>
              <w:t xml:space="preserve">Hluboký příkop </w:t>
            </w:r>
            <w:r w:rsidRPr="006070EA">
              <w:rPr>
                <w:rFonts w:asciiTheme="majorHAnsi" w:eastAsia="Times New Roman" w:hAnsiTheme="majorHAnsi" w:cstheme="majorHAnsi"/>
                <w:iCs/>
                <w:sz w:val="18"/>
                <w:szCs w:val="18"/>
                <w:lang w:eastAsia="ar-SA"/>
              </w:rPr>
              <w:t>(ÚP </w:t>
            </w:r>
            <w:r w:rsidR="000039CA" w:rsidRPr="006070EA">
              <w:rPr>
                <w:rFonts w:asciiTheme="majorHAnsi" w:eastAsia="Times New Roman" w:hAnsiTheme="majorHAnsi" w:cstheme="majorHAnsi"/>
                <w:iCs/>
                <w:sz w:val="18"/>
                <w:szCs w:val="18"/>
                <w:lang w:eastAsia="ar-SA"/>
              </w:rPr>
              <w:t>Kostomlaty nad Labem</w:t>
            </w:r>
            <w:r w:rsidRPr="006070EA">
              <w:rPr>
                <w:rFonts w:asciiTheme="majorHAnsi" w:eastAsia="Times New Roman" w:hAnsiTheme="majorHAnsi" w:cstheme="majorHAnsi"/>
                <w:iCs/>
                <w:sz w:val="18"/>
                <w:szCs w:val="18"/>
                <w:lang w:eastAsia="ar-SA"/>
              </w:rPr>
              <w:t>)</w:t>
            </w:r>
          </w:p>
        </w:tc>
      </w:tr>
      <w:tr w:rsidR="00EE6217" w:rsidRPr="006070EA" w14:paraId="358FC74E" w14:textId="77777777" w:rsidTr="00BF5C46">
        <w:trPr>
          <w:trHeight w:val="722"/>
          <w:jc w:val="center"/>
        </w:trPr>
        <w:tc>
          <w:tcPr>
            <w:tcW w:w="1134" w:type="dxa"/>
            <w:vMerge w:val="restart"/>
            <w:vAlign w:val="center"/>
          </w:tcPr>
          <w:p w14:paraId="4B71FDA5" w14:textId="6588E589" w:rsidR="00EE6217" w:rsidRPr="006070EA" w:rsidRDefault="00EE6217" w:rsidP="00830D50">
            <w:pPr>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eastAsia="Times New Roman" w:hAnsiTheme="majorHAnsi" w:cstheme="majorHAnsi"/>
                <w:b/>
                <w:iCs/>
                <w:sz w:val="18"/>
                <w:szCs w:val="18"/>
                <w:lang w:eastAsia="ar-SA"/>
              </w:rPr>
              <w:t>Kostomlátky</w:t>
            </w:r>
          </w:p>
        </w:tc>
        <w:tc>
          <w:tcPr>
            <w:tcW w:w="2721" w:type="dxa"/>
            <w:vMerge w:val="restart"/>
            <w:vAlign w:val="center"/>
          </w:tcPr>
          <w:p w14:paraId="6F1C755C" w14:textId="0613EEE1"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ÚP Kostomlátky</w:t>
            </w:r>
          </w:p>
        </w:tc>
        <w:tc>
          <w:tcPr>
            <w:tcW w:w="1108" w:type="dxa"/>
            <w:vMerge w:val="restart"/>
            <w:vAlign w:val="center"/>
          </w:tcPr>
          <w:p w14:paraId="31CF4322" w14:textId="05EE40DA"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28. 3. 2015</w:t>
            </w:r>
          </w:p>
        </w:tc>
        <w:tc>
          <w:tcPr>
            <w:tcW w:w="4108" w:type="dxa"/>
            <w:vAlign w:val="center"/>
          </w:tcPr>
          <w:p w14:paraId="774F3ACD" w14:textId="342D3727"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ÚSES: NK 10 Stříbrný roh – Polabský luh (ÚP Kostomlátky) </w:t>
            </w:r>
            <w:r w:rsidRPr="006070EA">
              <w:rPr>
                <w:rFonts w:asciiTheme="majorHAnsi" w:eastAsia="Times New Roman" w:hAnsiTheme="majorHAnsi" w:cstheme="majorHAnsi"/>
                <w:iCs/>
                <w:sz w:val="18"/>
                <w:szCs w:val="18"/>
                <w:lang w:eastAsia="ar-SA"/>
              </w:rPr>
              <w:sym w:font="Wingdings" w:char="F0E0"/>
            </w:r>
            <w:r w:rsidRPr="006070EA">
              <w:rPr>
                <w:rFonts w:asciiTheme="majorHAnsi" w:eastAsia="Times New Roman" w:hAnsiTheme="majorHAnsi" w:cstheme="majorHAnsi"/>
                <w:iCs/>
                <w:sz w:val="18"/>
                <w:szCs w:val="18"/>
                <w:lang w:eastAsia="ar-SA"/>
              </w:rPr>
              <w:t xml:space="preserve"> koordinován jako NK 10 Stříbrný roh – Polabský luh (ÚP Kostomlaty nad Labem)</w:t>
            </w:r>
          </w:p>
        </w:tc>
      </w:tr>
      <w:tr w:rsidR="00EE6217" w:rsidRPr="006070EA" w14:paraId="27558446" w14:textId="77777777" w:rsidTr="00BF5C46">
        <w:trPr>
          <w:trHeight w:val="722"/>
          <w:jc w:val="center"/>
        </w:trPr>
        <w:tc>
          <w:tcPr>
            <w:tcW w:w="1134" w:type="dxa"/>
            <w:vMerge/>
            <w:vAlign w:val="center"/>
          </w:tcPr>
          <w:p w14:paraId="29042105" w14:textId="77777777" w:rsidR="00EE6217" w:rsidRPr="006070EA" w:rsidRDefault="00EE6217" w:rsidP="00830D50">
            <w:pPr>
              <w:suppressAutoHyphens/>
              <w:spacing w:after="0" w:line="240" w:lineRule="auto"/>
              <w:rPr>
                <w:rFonts w:asciiTheme="majorHAnsi" w:eastAsia="Times New Roman" w:hAnsiTheme="majorHAnsi" w:cstheme="majorHAnsi"/>
                <w:b/>
                <w:iCs/>
                <w:sz w:val="18"/>
                <w:szCs w:val="18"/>
                <w:lang w:eastAsia="ar-SA"/>
              </w:rPr>
            </w:pPr>
          </w:p>
        </w:tc>
        <w:tc>
          <w:tcPr>
            <w:tcW w:w="2721" w:type="dxa"/>
            <w:vMerge/>
            <w:vAlign w:val="center"/>
          </w:tcPr>
          <w:p w14:paraId="1E7375EA" w14:textId="77777777"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p>
        </w:tc>
        <w:tc>
          <w:tcPr>
            <w:tcW w:w="1108" w:type="dxa"/>
            <w:vMerge/>
            <w:vAlign w:val="center"/>
          </w:tcPr>
          <w:p w14:paraId="4E7F5538" w14:textId="77777777"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p>
        </w:tc>
        <w:tc>
          <w:tcPr>
            <w:tcW w:w="4108" w:type="dxa"/>
            <w:vAlign w:val="center"/>
          </w:tcPr>
          <w:p w14:paraId="05F51C90" w14:textId="2C65A74B"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Vymezení koridoru pro Labskou vodní cestu v rámci koridoru KVL (ÚP Kostomlátky) </w:t>
            </w:r>
            <w:r w:rsidRPr="006070EA">
              <w:rPr>
                <w:rFonts w:asciiTheme="majorHAnsi" w:eastAsia="Times New Roman" w:hAnsiTheme="majorHAnsi" w:cstheme="majorHAnsi"/>
                <w:iCs/>
                <w:sz w:val="18"/>
                <w:szCs w:val="18"/>
                <w:lang w:eastAsia="ar-SA"/>
              </w:rPr>
              <w:sym w:font="Wingdings" w:char="F0E0"/>
            </w:r>
            <w:r w:rsidRPr="006070EA">
              <w:rPr>
                <w:rFonts w:asciiTheme="majorHAnsi" w:eastAsia="Times New Roman" w:hAnsiTheme="majorHAnsi" w:cstheme="majorHAnsi"/>
                <w:iCs/>
                <w:sz w:val="18"/>
                <w:szCs w:val="18"/>
                <w:lang w:eastAsia="ar-SA"/>
              </w:rPr>
              <w:t xml:space="preserve"> koordinován jako koridor dopravní infrastruktury – vodní </w:t>
            </w:r>
            <w:r w:rsidR="0097451F">
              <w:rPr>
                <w:rFonts w:asciiTheme="majorHAnsi" w:eastAsia="Times New Roman" w:hAnsiTheme="majorHAnsi" w:cstheme="majorHAnsi"/>
                <w:iCs/>
                <w:sz w:val="18"/>
                <w:szCs w:val="18"/>
                <w:lang w:eastAsia="ar-SA"/>
              </w:rPr>
              <w:t>CNZ.VD1</w:t>
            </w:r>
            <w:r w:rsidRPr="006070EA">
              <w:rPr>
                <w:rFonts w:asciiTheme="majorHAnsi" w:eastAsia="Times New Roman" w:hAnsiTheme="majorHAnsi" w:cstheme="majorHAnsi"/>
                <w:iCs/>
                <w:sz w:val="18"/>
                <w:szCs w:val="18"/>
                <w:lang w:eastAsia="ar-SA"/>
              </w:rPr>
              <w:t xml:space="preserve"> (ÚP</w:t>
            </w:r>
            <w:r w:rsidR="0097451F">
              <w:rPr>
                <w:rFonts w:asciiTheme="majorHAnsi" w:eastAsia="Times New Roman" w:hAnsiTheme="majorHAnsi" w:cstheme="majorHAnsi"/>
                <w:iCs/>
                <w:sz w:val="18"/>
                <w:szCs w:val="18"/>
                <w:lang w:eastAsia="ar-SA"/>
              </w:rPr>
              <w:t> </w:t>
            </w:r>
            <w:r w:rsidRPr="006070EA">
              <w:rPr>
                <w:rFonts w:asciiTheme="majorHAnsi" w:eastAsia="Times New Roman" w:hAnsiTheme="majorHAnsi" w:cstheme="majorHAnsi"/>
                <w:iCs/>
                <w:sz w:val="18"/>
                <w:szCs w:val="18"/>
                <w:lang w:eastAsia="ar-SA"/>
              </w:rPr>
              <w:t>Kostomlaty nad Labem)</w:t>
            </w:r>
          </w:p>
        </w:tc>
      </w:tr>
      <w:tr w:rsidR="00EE6217" w:rsidRPr="006070EA" w14:paraId="48224FE5" w14:textId="77777777" w:rsidTr="00BF5C46">
        <w:trPr>
          <w:trHeight w:val="722"/>
          <w:jc w:val="center"/>
        </w:trPr>
        <w:tc>
          <w:tcPr>
            <w:tcW w:w="1134" w:type="dxa"/>
            <w:vMerge/>
            <w:vAlign w:val="center"/>
          </w:tcPr>
          <w:p w14:paraId="50E3F558" w14:textId="77777777" w:rsidR="00EE6217" w:rsidRPr="006070EA" w:rsidRDefault="00EE6217" w:rsidP="00830D50">
            <w:pPr>
              <w:suppressAutoHyphens/>
              <w:spacing w:after="0" w:line="240" w:lineRule="auto"/>
              <w:rPr>
                <w:rFonts w:asciiTheme="majorHAnsi" w:eastAsia="Times New Roman" w:hAnsiTheme="majorHAnsi" w:cstheme="majorHAnsi"/>
                <w:b/>
                <w:iCs/>
                <w:sz w:val="18"/>
                <w:szCs w:val="18"/>
                <w:lang w:eastAsia="ar-SA"/>
              </w:rPr>
            </w:pPr>
          </w:p>
        </w:tc>
        <w:tc>
          <w:tcPr>
            <w:tcW w:w="2721" w:type="dxa"/>
            <w:vMerge/>
            <w:vAlign w:val="center"/>
          </w:tcPr>
          <w:p w14:paraId="544812F9" w14:textId="77777777"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p>
        </w:tc>
        <w:tc>
          <w:tcPr>
            <w:tcW w:w="1108" w:type="dxa"/>
            <w:vMerge/>
            <w:vAlign w:val="center"/>
          </w:tcPr>
          <w:p w14:paraId="6C0CCAC6" w14:textId="77777777"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p>
        </w:tc>
        <w:tc>
          <w:tcPr>
            <w:tcW w:w="4108" w:type="dxa"/>
            <w:vAlign w:val="center"/>
          </w:tcPr>
          <w:p w14:paraId="41CBF27C" w14:textId="0BAC8AD7" w:rsidR="00EE6217" w:rsidRPr="006070EA" w:rsidRDefault="00EE6217"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Vymezení koridoru pro revitalizační opatření v krajině KRO1 (ÚP Kostomlátky) </w:t>
            </w:r>
            <w:r w:rsidRPr="006070EA">
              <w:rPr>
                <w:rFonts w:asciiTheme="majorHAnsi" w:eastAsia="Times New Roman" w:hAnsiTheme="majorHAnsi" w:cstheme="majorHAnsi"/>
                <w:iCs/>
                <w:sz w:val="18"/>
                <w:szCs w:val="18"/>
                <w:lang w:eastAsia="ar-SA"/>
              </w:rPr>
              <w:sym w:font="Wingdings" w:char="F0E0"/>
            </w:r>
            <w:r w:rsidRPr="006070EA">
              <w:rPr>
                <w:rFonts w:asciiTheme="majorHAnsi" w:eastAsia="Times New Roman" w:hAnsiTheme="majorHAnsi" w:cstheme="majorHAnsi"/>
                <w:iCs/>
                <w:sz w:val="18"/>
                <w:szCs w:val="18"/>
                <w:lang w:eastAsia="ar-SA"/>
              </w:rPr>
              <w:t xml:space="preserve"> </w:t>
            </w:r>
            <w:r w:rsidR="00130E86" w:rsidRPr="006070EA">
              <w:rPr>
                <w:rFonts w:asciiTheme="majorHAnsi" w:eastAsia="Times New Roman" w:hAnsiTheme="majorHAnsi" w:cstheme="majorHAnsi"/>
                <w:iCs/>
                <w:sz w:val="18"/>
                <w:szCs w:val="18"/>
                <w:lang w:eastAsia="ar-SA"/>
              </w:rPr>
              <w:t>revitalizační opatření umožněna v rámci stanovených podmínek ploch s rozdílným způsobem využití, vymezených v návaznosti na koridory revitalizačních opatření v ÚP Kostomlátky</w:t>
            </w:r>
          </w:p>
        </w:tc>
      </w:tr>
      <w:tr w:rsidR="00830D50" w:rsidRPr="006070EA" w14:paraId="3E0C4DB5" w14:textId="77777777" w:rsidTr="00BF5C46">
        <w:trPr>
          <w:trHeight w:val="283"/>
          <w:jc w:val="center"/>
        </w:trPr>
        <w:tc>
          <w:tcPr>
            <w:tcW w:w="1134" w:type="dxa"/>
            <w:vMerge w:val="restart"/>
            <w:vAlign w:val="center"/>
          </w:tcPr>
          <w:p w14:paraId="51922214" w14:textId="31AEEEF2" w:rsidR="00830D50" w:rsidRPr="006070EA" w:rsidRDefault="00830D50" w:rsidP="00830D50">
            <w:pPr>
              <w:suppressAutoHyphens/>
              <w:spacing w:after="0" w:line="240" w:lineRule="auto"/>
              <w:rPr>
                <w:rFonts w:asciiTheme="majorHAnsi" w:eastAsia="Times New Roman" w:hAnsiTheme="majorHAnsi" w:cstheme="majorHAnsi"/>
                <w:b/>
                <w:iCs/>
                <w:sz w:val="18"/>
                <w:szCs w:val="18"/>
                <w:lang w:eastAsia="ar-SA"/>
              </w:rPr>
            </w:pPr>
            <w:r w:rsidRPr="006070EA">
              <w:rPr>
                <w:rFonts w:asciiTheme="majorHAnsi" w:eastAsia="Times New Roman" w:hAnsiTheme="majorHAnsi" w:cstheme="majorHAnsi"/>
                <w:b/>
                <w:iCs/>
                <w:sz w:val="18"/>
                <w:szCs w:val="18"/>
                <w:lang w:eastAsia="ar-SA"/>
              </w:rPr>
              <w:t>Milovice</w:t>
            </w:r>
          </w:p>
        </w:tc>
        <w:tc>
          <w:tcPr>
            <w:tcW w:w="2721" w:type="dxa"/>
            <w:vMerge w:val="restart"/>
            <w:vAlign w:val="center"/>
          </w:tcPr>
          <w:p w14:paraId="6E322B3C" w14:textId="0C129115"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ÚP Milovic</w:t>
            </w:r>
          </w:p>
        </w:tc>
        <w:tc>
          <w:tcPr>
            <w:tcW w:w="1108" w:type="dxa"/>
            <w:vMerge w:val="restart"/>
            <w:vAlign w:val="center"/>
          </w:tcPr>
          <w:p w14:paraId="15B19210" w14:textId="15A55145"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5. 5. 2016</w:t>
            </w:r>
          </w:p>
        </w:tc>
        <w:tc>
          <w:tcPr>
            <w:tcW w:w="4108" w:type="dxa"/>
            <w:vAlign w:val="center"/>
          </w:tcPr>
          <w:p w14:paraId="583D2DA1" w14:textId="4891C592"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ÚSES: LBK 4 (ÚP Milovic) </w:t>
            </w:r>
            <w:r w:rsidRPr="006070EA">
              <w:rPr>
                <w:rFonts w:asciiTheme="majorHAnsi" w:eastAsia="Times New Roman" w:hAnsiTheme="majorHAnsi" w:cstheme="majorHAnsi"/>
                <w:iCs/>
                <w:sz w:val="18"/>
                <w:szCs w:val="18"/>
                <w:lang w:eastAsia="ar-SA"/>
              </w:rPr>
              <w:sym w:font="Wingdings" w:char="F0E0"/>
            </w:r>
            <w:r w:rsidRPr="006070EA">
              <w:rPr>
                <w:rFonts w:asciiTheme="majorHAnsi" w:eastAsia="Times New Roman" w:hAnsiTheme="majorHAnsi" w:cstheme="majorHAnsi"/>
                <w:iCs/>
                <w:sz w:val="18"/>
                <w:szCs w:val="18"/>
                <w:lang w:eastAsia="ar-SA"/>
              </w:rPr>
              <w:t xml:space="preserve"> koordinován jako LK 3 Mlynařice (ÚP Kostomlaty nad Labem) </w:t>
            </w:r>
          </w:p>
        </w:tc>
      </w:tr>
      <w:tr w:rsidR="00830D50" w:rsidRPr="006070EA" w14:paraId="79A60391" w14:textId="77777777" w:rsidTr="00BF5C46">
        <w:trPr>
          <w:trHeight w:val="648"/>
          <w:jc w:val="center"/>
        </w:trPr>
        <w:tc>
          <w:tcPr>
            <w:tcW w:w="1134" w:type="dxa"/>
            <w:vMerge/>
            <w:vAlign w:val="center"/>
          </w:tcPr>
          <w:p w14:paraId="790DF8E2" w14:textId="77777777" w:rsidR="00830D50" w:rsidRPr="006070EA" w:rsidRDefault="00830D50" w:rsidP="00830D50">
            <w:pPr>
              <w:suppressAutoHyphens/>
              <w:spacing w:after="0" w:line="240" w:lineRule="auto"/>
              <w:rPr>
                <w:rFonts w:asciiTheme="majorHAnsi" w:hAnsiTheme="majorHAnsi" w:cstheme="majorHAnsi"/>
                <w:b/>
                <w:sz w:val="18"/>
                <w:szCs w:val="18"/>
              </w:rPr>
            </w:pPr>
          </w:p>
        </w:tc>
        <w:tc>
          <w:tcPr>
            <w:tcW w:w="2721" w:type="dxa"/>
            <w:vMerge/>
            <w:vAlign w:val="center"/>
          </w:tcPr>
          <w:p w14:paraId="2811F807" w14:textId="3F54911F"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p>
        </w:tc>
        <w:tc>
          <w:tcPr>
            <w:tcW w:w="1108" w:type="dxa"/>
            <w:vMerge/>
            <w:vAlign w:val="center"/>
          </w:tcPr>
          <w:p w14:paraId="5464FD2F" w14:textId="4CABFFEF"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p>
        </w:tc>
        <w:tc>
          <w:tcPr>
            <w:tcW w:w="4108" w:type="dxa"/>
            <w:vAlign w:val="center"/>
          </w:tcPr>
          <w:p w14:paraId="4151C958" w14:textId="08E10A81"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Vymezení účelové komunikace s rekreačním využitím v rámci plochy PV-4234 (ÚP Milovic) </w:t>
            </w:r>
            <w:r w:rsidRPr="006070EA">
              <w:rPr>
                <w:rFonts w:asciiTheme="majorHAnsi" w:eastAsia="Times New Roman" w:hAnsiTheme="majorHAnsi" w:cstheme="majorHAnsi"/>
                <w:iCs/>
                <w:sz w:val="18"/>
                <w:szCs w:val="18"/>
                <w:lang w:eastAsia="ar-SA"/>
              </w:rPr>
              <w:sym w:font="Wingdings" w:char="F0E0"/>
            </w:r>
            <w:r w:rsidRPr="006070EA">
              <w:rPr>
                <w:rFonts w:asciiTheme="majorHAnsi" w:eastAsia="Times New Roman" w:hAnsiTheme="majorHAnsi" w:cstheme="majorHAnsi"/>
                <w:iCs/>
                <w:sz w:val="18"/>
                <w:szCs w:val="18"/>
                <w:lang w:eastAsia="ar-SA"/>
              </w:rPr>
              <w:t xml:space="preserve"> koordinováno jako směr zajištění prostupnosti území veřejným prostranstvím (ÚP Kostomlaty nad Labem)</w:t>
            </w:r>
          </w:p>
        </w:tc>
      </w:tr>
      <w:tr w:rsidR="00830D50" w:rsidRPr="006070EA" w14:paraId="2A70CDB2" w14:textId="77777777" w:rsidTr="009402D8">
        <w:trPr>
          <w:trHeight w:val="381"/>
          <w:jc w:val="center"/>
        </w:trPr>
        <w:tc>
          <w:tcPr>
            <w:tcW w:w="1134" w:type="dxa"/>
            <w:vAlign w:val="center"/>
          </w:tcPr>
          <w:p w14:paraId="720AAD41" w14:textId="1F1192DB" w:rsidR="00830D50" w:rsidRPr="006070EA" w:rsidRDefault="00830D50" w:rsidP="00830D50">
            <w:pPr>
              <w:suppressAutoHyphens/>
              <w:spacing w:after="0" w:line="240" w:lineRule="auto"/>
              <w:rPr>
                <w:rFonts w:asciiTheme="majorHAnsi" w:hAnsiTheme="majorHAnsi" w:cstheme="majorHAnsi"/>
                <w:b/>
                <w:sz w:val="18"/>
                <w:szCs w:val="18"/>
              </w:rPr>
            </w:pPr>
            <w:r w:rsidRPr="006070EA">
              <w:rPr>
                <w:rFonts w:asciiTheme="majorHAnsi" w:hAnsiTheme="majorHAnsi" w:cstheme="majorHAnsi"/>
                <w:b/>
                <w:sz w:val="18"/>
                <w:szCs w:val="18"/>
              </w:rPr>
              <w:lastRenderedPageBreak/>
              <w:t>Ostrá</w:t>
            </w:r>
          </w:p>
        </w:tc>
        <w:tc>
          <w:tcPr>
            <w:tcW w:w="2721" w:type="dxa"/>
            <w:vAlign w:val="center"/>
          </w:tcPr>
          <w:p w14:paraId="1EA58463" w14:textId="39CE8EAE"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ÚP Ostrá</w:t>
            </w:r>
          </w:p>
        </w:tc>
        <w:tc>
          <w:tcPr>
            <w:tcW w:w="1108" w:type="dxa"/>
            <w:vAlign w:val="center"/>
          </w:tcPr>
          <w:p w14:paraId="4ED4817C" w14:textId="0BC9AA8E"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25. 12. 2015</w:t>
            </w:r>
          </w:p>
        </w:tc>
        <w:tc>
          <w:tcPr>
            <w:tcW w:w="4108" w:type="dxa"/>
            <w:vAlign w:val="center"/>
          </w:tcPr>
          <w:p w14:paraId="046237E1" w14:textId="77777777" w:rsidR="00830D50" w:rsidRPr="009402D8" w:rsidRDefault="00830D50" w:rsidP="00830D50">
            <w:pPr>
              <w:suppressAutoHyphens/>
              <w:spacing w:after="0" w:line="240" w:lineRule="auto"/>
              <w:rPr>
                <w:rFonts w:asciiTheme="majorHAnsi" w:eastAsia="Times New Roman" w:hAnsiTheme="majorHAnsi" w:cstheme="majorHAnsi"/>
                <w:iCs/>
                <w:sz w:val="18"/>
                <w:szCs w:val="18"/>
                <w:lang w:eastAsia="ar-SA"/>
              </w:rPr>
            </w:pPr>
            <w:r w:rsidRPr="009402D8">
              <w:rPr>
                <w:rFonts w:asciiTheme="majorHAnsi" w:eastAsia="Times New Roman" w:hAnsiTheme="majorHAnsi" w:cstheme="majorHAnsi"/>
                <w:iCs/>
                <w:sz w:val="18"/>
                <w:szCs w:val="18"/>
                <w:lang w:eastAsia="ar-SA"/>
              </w:rPr>
              <w:t xml:space="preserve">ÚSES: LBK 14 (ÚP Ostrá) </w:t>
            </w:r>
            <w:r w:rsidRPr="009402D8">
              <w:rPr>
                <w:rFonts w:asciiTheme="majorHAnsi" w:eastAsia="Times New Roman" w:hAnsiTheme="majorHAnsi" w:cstheme="majorHAnsi"/>
                <w:iCs/>
                <w:sz w:val="18"/>
                <w:szCs w:val="18"/>
                <w:lang w:eastAsia="ar-SA"/>
              </w:rPr>
              <w:sym w:font="Wingdings" w:char="F0E0"/>
            </w:r>
            <w:r w:rsidRPr="009402D8">
              <w:rPr>
                <w:rFonts w:asciiTheme="majorHAnsi" w:eastAsia="Times New Roman" w:hAnsiTheme="majorHAnsi" w:cstheme="majorHAnsi"/>
                <w:iCs/>
                <w:sz w:val="18"/>
                <w:szCs w:val="18"/>
                <w:lang w:eastAsia="ar-SA"/>
              </w:rPr>
              <w:t xml:space="preserve"> koordinován jako LK 2 Hronětický náhon (ÚP Kostomlaty nad Labem);</w:t>
            </w:r>
          </w:p>
          <w:p w14:paraId="497862BD" w14:textId="7844054C" w:rsidR="00830D50" w:rsidRPr="009402D8" w:rsidRDefault="00830D50" w:rsidP="00830D50">
            <w:pPr>
              <w:suppressAutoHyphens/>
              <w:spacing w:after="0" w:line="240" w:lineRule="auto"/>
              <w:rPr>
                <w:rFonts w:asciiTheme="majorHAnsi" w:eastAsia="Times New Roman" w:hAnsiTheme="majorHAnsi" w:cstheme="majorHAnsi"/>
                <w:iCs/>
                <w:sz w:val="18"/>
                <w:szCs w:val="18"/>
                <w:lang w:eastAsia="ar-SA"/>
              </w:rPr>
            </w:pPr>
            <w:r w:rsidRPr="009402D8">
              <w:rPr>
                <w:rFonts w:asciiTheme="majorHAnsi" w:eastAsia="Times New Roman" w:hAnsiTheme="majorHAnsi" w:cstheme="majorHAnsi"/>
                <w:iCs/>
                <w:sz w:val="18"/>
                <w:szCs w:val="18"/>
                <w:lang w:eastAsia="ar-SA"/>
              </w:rPr>
              <w:t xml:space="preserve">RBC 349 (ÚP Ostrá) </w:t>
            </w:r>
            <w:r w:rsidRPr="009402D8">
              <w:rPr>
                <w:rFonts w:asciiTheme="majorHAnsi" w:eastAsia="Times New Roman" w:hAnsiTheme="majorHAnsi" w:cstheme="majorHAnsi"/>
                <w:iCs/>
                <w:sz w:val="18"/>
                <w:szCs w:val="18"/>
                <w:lang w:eastAsia="ar-SA"/>
              </w:rPr>
              <w:sym w:font="Wingdings" w:char="F0E0"/>
            </w:r>
            <w:r w:rsidRPr="009402D8">
              <w:rPr>
                <w:rFonts w:asciiTheme="majorHAnsi" w:eastAsia="Times New Roman" w:hAnsiTheme="majorHAnsi" w:cstheme="majorHAnsi"/>
                <w:iCs/>
                <w:sz w:val="18"/>
                <w:szCs w:val="18"/>
                <w:lang w:eastAsia="ar-SA"/>
              </w:rPr>
              <w:t xml:space="preserve"> koordinováno jako RC 349 Niva Labe u </w:t>
            </w:r>
            <w:r w:rsidR="004C536A" w:rsidRPr="009402D8">
              <w:rPr>
                <w:rFonts w:asciiTheme="majorHAnsi" w:eastAsia="Times New Roman" w:hAnsiTheme="majorHAnsi" w:cstheme="majorHAnsi"/>
                <w:iCs/>
                <w:sz w:val="18"/>
                <w:szCs w:val="18"/>
                <w:lang w:eastAsia="ar-SA"/>
              </w:rPr>
              <w:t>Lysé nad Labem</w:t>
            </w:r>
            <w:r w:rsidRPr="009402D8">
              <w:rPr>
                <w:rFonts w:asciiTheme="majorHAnsi" w:eastAsia="Times New Roman" w:hAnsiTheme="majorHAnsi" w:cstheme="majorHAnsi"/>
                <w:iCs/>
                <w:sz w:val="18"/>
                <w:szCs w:val="18"/>
                <w:lang w:eastAsia="ar-SA"/>
              </w:rPr>
              <w:t xml:space="preserve"> (ÚP Kostomlaty nad Labem)</w:t>
            </w:r>
          </w:p>
        </w:tc>
      </w:tr>
      <w:tr w:rsidR="00830D50" w:rsidRPr="006070EA" w14:paraId="4FE1E20E" w14:textId="77777777" w:rsidTr="00BF5C46">
        <w:trPr>
          <w:trHeight w:val="339"/>
          <w:jc w:val="center"/>
        </w:trPr>
        <w:tc>
          <w:tcPr>
            <w:tcW w:w="1134" w:type="dxa"/>
            <w:vAlign w:val="center"/>
          </w:tcPr>
          <w:p w14:paraId="4C37420D" w14:textId="555E5759" w:rsidR="00830D50" w:rsidRPr="006070EA" w:rsidRDefault="00830D50" w:rsidP="00830D50">
            <w:pPr>
              <w:suppressAutoHyphens/>
              <w:spacing w:after="0" w:line="240" w:lineRule="auto"/>
              <w:rPr>
                <w:rFonts w:asciiTheme="majorHAnsi" w:hAnsiTheme="majorHAnsi" w:cstheme="majorHAnsi"/>
                <w:b/>
                <w:sz w:val="18"/>
                <w:szCs w:val="18"/>
              </w:rPr>
            </w:pPr>
            <w:r w:rsidRPr="006070EA">
              <w:rPr>
                <w:rFonts w:asciiTheme="majorHAnsi" w:hAnsiTheme="majorHAnsi" w:cstheme="majorHAnsi"/>
                <w:b/>
                <w:sz w:val="18"/>
                <w:szCs w:val="18"/>
              </w:rPr>
              <w:t>Stratov</w:t>
            </w:r>
          </w:p>
        </w:tc>
        <w:tc>
          <w:tcPr>
            <w:tcW w:w="2721" w:type="dxa"/>
            <w:vAlign w:val="center"/>
          </w:tcPr>
          <w:p w14:paraId="7EEDBCD1" w14:textId="68172D9D"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ÚP Stratov</w:t>
            </w:r>
          </w:p>
        </w:tc>
        <w:tc>
          <w:tcPr>
            <w:tcW w:w="1108" w:type="dxa"/>
            <w:vAlign w:val="center"/>
          </w:tcPr>
          <w:p w14:paraId="0171A4CD" w14:textId="62D52F32"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31. 8. 2017</w:t>
            </w:r>
          </w:p>
        </w:tc>
        <w:tc>
          <w:tcPr>
            <w:tcW w:w="4108" w:type="dxa"/>
            <w:vAlign w:val="center"/>
          </w:tcPr>
          <w:p w14:paraId="7FCBFE26" w14:textId="51299AEE" w:rsidR="00830D50" w:rsidRPr="006070EA" w:rsidRDefault="00830D50" w:rsidP="00830D50">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ÚSES: LK1 Na Babsku (ÚP Stratov) </w:t>
            </w:r>
            <w:r w:rsidRPr="006070EA">
              <w:rPr>
                <w:rFonts w:asciiTheme="majorHAnsi" w:eastAsia="Times New Roman" w:hAnsiTheme="majorHAnsi" w:cstheme="majorHAnsi"/>
                <w:iCs/>
                <w:sz w:val="18"/>
                <w:szCs w:val="18"/>
                <w:lang w:eastAsia="ar-SA"/>
              </w:rPr>
              <w:sym w:font="Wingdings" w:char="F0E0"/>
            </w:r>
            <w:r w:rsidRPr="006070EA">
              <w:rPr>
                <w:rFonts w:asciiTheme="majorHAnsi" w:eastAsia="Times New Roman" w:hAnsiTheme="majorHAnsi" w:cstheme="majorHAnsi"/>
                <w:iCs/>
                <w:sz w:val="18"/>
                <w:szCs w:val="18"/>
                <w:lang w:eastAsia="ar-SA"/>
              </w:rPr>
              <w:t xml:space="preserve"> koordinován jako LK 5 Ke Stratovu (ÚP Kostomlaty nad Labem);</w:t>
            </w:r>
          </w:p>
        </w:tc>
      </w:tr>
      <w:tr w:rsidR="00BF5C46" w:rsidRPr="006070EA" w14:paraId="7BCD13CD" w14:textId="77777777" w:rsidTr="00BF5C46">
        <w:trPr>
          <w:trHeight w:val="70"/>
          <w:jc w:val="center"/>
        </w:trPr>
        <w:tc>
          <w:tcPr>
            <w:tcW w:w="1134" w:type="dxa"/>
            <w:vAlign w:val="center"/>
          </w:tcPr>
          <w:p w14:paraId="32343E3E" w14:textId="72BA5C50" w:rsidR="00BF5C46" w:rsidRPr="006070EA" w:rsidRDefault="00BF5C46" w:rsidP="00BF5C46">
            <w:pPr>
              <w:suppressAutoHyphens/>
              <w:spacing w:after="0" w:line="240" w:lineRule="auto"/>
              <w:rPr>
                <w:rFonts w:asciiTheme="majorHAnsi" w:hAnsiTheme="majorHAnsi" w:cstheme="majorHAnsi"/>
                <w:b/>
                <w:sz w:val="18"/>
                <w:szCs w:val="18"/>
              </w:rPr>
            </w:pPr>
            <w:r w:rsidRPr="006070EA">
              <w:rPr>
                <w:rFonts w:asciiTheme="majorHAnsi" w:hAnsiTheme="majorHAnsi" w:cstheme="majorHAnsi"/>
                <w:b/>
                <w:sz w:val="18"/>
                <w:szCs w:val="18"/>
              </w:rPr>
              <w:t>Zbožíčko</w:t>
            </w:r>
          </w:p>
        </w:tc>
        <w:tc>
          <w:tcPr>
            <w:tcW w:w="2721" w:type="dxa"/>
            <w:vAlign w:val="center"/>
          </w:tcPr>
          <w:p w14:paraId="19449D2E" w14:textId="19A3BDFA" w:rsidR="00BF5C46" w:rsidRPr="006070EA" w:rsidRDefault="00BF5C46" w:rsidP="00BF5C46">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ÚP Zbožíčko</w:t>
            </w:r>
          </w:p>
        </w:tc>
        <w:tc>
          <w:tcPr>
            <w:tcW w:w="1108" w:type="dxa"/>
            <w:vAlign w:val="center"/>
          </w:tcPr>
          <w:p w14:paraId="784E9A37" w14:textId="718BE7B3" w:rsidR="00BF5C46" w:rsidRPr="006070EA" w:rsidRDefault="00BF5C46" w:rsidP="00BF5C46">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12. 9. 2008</w:t>
            </w:r>
          </w:p>
        </w:tc>
        <w:tc>
          <w:tcPr>
            <w:tcW w:w="4108" w:type="dxa"/>
            <w:vAlign w:val="center"/>
          </w:tcPr>
          <w:p w14:paraId="7A7F2C22" w14:textId="36DD0CCC" w:rsidR="00BF5C46" w:rsidRPr="006070EA" w:rsidRDefault="00BF5C46" w:rsidP="00BF5C46">
            <w:pPr>
              <w:suppressAutoHyphens/>
              <w:spacing w:after="0" w:line="240" w:lineRule="auto"/>
              <w:rPr>
                <w:rFonts w:asciiTheme="majorHAnsi" w:eastAsia="Times New Roman" w:hAnsiTheme="majorHAnsi" w:cstheme="majorHAnsi"/>
                <w:iCs/>
                <w:sz w:val="18"/>
                <w:szCs w:val="18"/>
                <w:lang w:eastAsia="ar-SA"/>
              </w:rPr>
            </w:pPr>
            <w:r w:rsidRPr="006070EA">
              <w:rPr>
                <w:rFonts w:asciiTheme="majorHAnsi" w:eastAsia="Times New Roman" w:hAnsiTheme="majorHAnsi" w:cstheme="majorHAnsi"/>
                <w:iCs/>
                <w:sz w:val="18"/>
                <w:szCs w:val="18"/>
                <w:lang w:eastAsia="ar-SA"/>
              </w:rPr>
              <w:t xml:space="preserve">ÚSES: bezejmenné biocentrum (ÚP Zbožíčko) </w:t>
            </w:r>
            <w:r w:rsidRPr="006070EA">
              <w:rPr>
                <w:rFonts w:asciiTheme="majorHAnsi" w:eastAsia="Times New Roman" w:hAnsiTheme="majorHAnsi" w:cstheme="majorHAnsi"/>
                <w:iCs/>
                <w:sz w:val="18"/>
                <w:szCs w:val="18"/>
                <w:lang w:eastAsia="ar-SA"/>
              </w:rPr>
              <w:sym w:font="Wingdings" w:char="F0E0"/>
            </w:r>
            <w:r w:rsidRPr="006070EA">
              <w:rPr>
                <w:rFonts w:asciiTheme="majorHAnsi" w:eastAsia="Times New Roman" w:hAnsiTheme="majorHAnsi" w:cstheme="majorHAnsi"/>
                <w:iCs/>
                <w:sz w:val="18"/>
                <w:szCs w:val="18"/>
                <w:lang w:eastAsia="ar-SA"/>
              </w:rPr>
              <w:t xml:space="preserve"> koordinováno jako LC 4 Vápensko (ÚP Kostomlaty nad Labem)</w:t>
            </w:r>
          </w:p>
        </w:tc>
      </w:tr>
    </w:tbl>
    <w:p w14:paraId="5485ADEC" w14:textId="77777777" w:rsidR="00197159" w:rsidRPr="006070EA" w:rsidRDefault="008C420C" w:rsidP="00867F29">
      <w:pPr>
        <w:pStyle w:val="Odstavecseseznamem"/>
        <w:keepNext/>
        <w:numPr>
          <w:ilvl w:val="1"/>
          <w:numId w:val="2"/>
        </w:numPr>
        <w:spacing w:before="160" w:after="120" w:line="240" w:lineRule="auto"/>
        <w:ind w:left="709" w:hanging="709"/>
        <w:contextualSpacing w:val="0"/>
        <w:outlineLvl w:val="1"/>
        <w:rPr>
          <w:rFonts w:asciiTheme="majorHAnsi" w:hAnsiTheme="majorHAnsi" w:cstheme="majorHAnsi"/>
          <w:b/>
          <w:sz w:val="24"/>
          <w:szCs w:val="20"/>
        </w:rPr>
      </w:pPr>
      <w:bookmarkStart w:id="31" w:name="_Toc424119792"/>
      <w:bookmarkStart w:id="32" w:name="_Toc204678165"/>
      <w:r w:rsidRPr="006070EA">
        <w:rPr>
          <w:rFonts w:asciiTheme="majorHAnsi" w:hAnsiTheme="majorHAnsi" w:cstheme="majorHAnsi"/>
          <w:b/>
          <w:sz w:val="24"/>
          <w:szCs w:val="20"/>
        </w:rPr>
        <w:t>Širší dopravní vztahy, širší vztahy technické infrastruktury</w:t>
      </w:r>
      <w:bookmarkEnd w:id="31"/>
      <w:bookmarkEnd w:id="32"/>
    </w:p>
    <w:p w14:paraId="276E28B4" w14:textId="77777777" w:rsidR="008C420C" w:rsidRPr="006070EA" w:rsidRDefault="008C420C" w:rsidP="00867F29">
      <w:pPr>
        <w:keepNext/>
        <w:spacing w:after="120" w:line="240" w:lineRule="auto"/>
        <w:rPr>
          <w:rFonts w:asciiTheme="majorHAnsi" w:hAnsiTheme="majorHAnsi" w:cstheme="majorHAnsi"/>
          <w:b/>
          <w:sz w:val="20"/>
          <w:szCs w:val="20"/>
        </w:rPr>
      </w:pPr>
      <w:r w:rsidRPr="006070EA">
        <w:rPr>
          <w:rFonts w:asciiTheme="majorHAnsi" w:hAnsiTheme="majorHAnsi" w:cstheme="majorHAnsi"/>
          <w:b/>
          <w:sz w:val="20"/>
          <w:szCs w:val="20"/>
        </w:rPr>
        <w:t>ŠIRŠÍ DOPRAVNÍ VZTAHY</w:t>
      </w:r>
    </w:p>
    <w:p w14:paraId="215581BA" w14:textId="6AAAAE5E" w:rsidR="00E90389" w:rsidRPr="006070EA" w:rsidRDefault="00E90389" w:rsidP="00E90389">
      <w:pPr>
        <w:suppressAutoHyphens/>
        <w:spacing w:before="120" w:after="120" w:line="240" w:lineRule="auto"/>
        <w:ind w:firstLine="709"/>
        <w:jc w:val="both"/>
        <w:rPr>
          <w:rFonts w:asciiTheme="majorHAnsi" w:eastAsia="Times New Roman" w:hAnsiTheme="majorHAnsi" w:cstheme="majorHAnsi"/>
          <w:bCs/>
          <w:iCs/>
          <w:sz w:val="18"/>
          <w:szCs w:val="18"/>
          <w:lang w:eastAsia="ar-SA"/>
        </w:rPr>
      </w:pPr>
      <w:r w:rsidRPr="006070EA">
        <w:rPr>
          <w:rFonts w:asciiTheme="majorHAnsi" w:eastAsia="Times New Roman" w:hAnsiTheme="majorHAnsi" w:cstheme="majorHAnsi"/>
          <w:bCs/>
          <w:iCs/>
          <w:sz w:val="18"/>
          <w:szCs w:val="18"/>
          <w:lang w:eastAsia="ar-SA"/>
        </w:rPr>
        <w:t xml:space="preserve">Obec Kostomlaty nad Labem leží mimo páteřní dopravní tahy. </w:t>
      </w:r>
      <w:r w:rsidR="00AB7C78" w:rsidRPr="006070EA">
        <w:rPr>
          <w:rFonts w:asciiTheme="majorHAnsi" w:eastAsia="Times New Roman" w:hAnsiTheme="majorHAnsi" w:cstheme="majorHAnsi"/>
          <w:bCs/>
          <w:iCs/>
          <w:sz w:val="18"/>
          <w:szCs w:val="18"/>
          <w:lang w:eastAsia="ar-SA"/>
        </w:rPr>
        <w:t>Nejvýznamnější komunikace</w:t>
      </w:r>
      <w:r w:rsidRPr="006070EA">
        <w:rPr>
          <w:rFonts w:asciiTheme="majorHAnsi" w:eastAsia="Times New Roman" w:hAnsiTheme="majorHAnsi" w:cstheme="majorHAnsi"/>
          <w:bCs/>
          <w:iCs/>
          <w:sz w:val="18"/>
          <w:szCs w:val="18"/>
          <w:lang w:eastAsia="ar-SA"/>
        </w:rPr>
        <w:t>, která řešeným územím prochází, je silnice II/331 zajišťující propojení obce s vyššími správními celky –</w:t>
      </w:r>
      <w:r w:rsidR="00AB7C78" w:rsidRPr="006070EA">
        <w:rPr>
          <w:rFonts w:asciiTheme="majorHAnsi" w:eastAsia="Times New Roman" w:hAnsiTheme="majorHAnsi" w:cstheme="majorHAnsi"/>
          <w:bCs/>
          <w:iCs/>
          <w:sz w:val="18"/>
          <w:szCs w:val="18"/>
          <w:lang w:eastAsia="ar-SA"/>
        </w:rPr>
        <w:t xml:space="preserve"> </w:t>
      </w:r>
      <w:r w:rsidRPr="006070EA">
        <w:rPr>
          <w:rFonts w:asciiTheme="majorHAnsi" w:eastAsia="Times New Roman" w:hAnsiTheme="majorHAnsi" w:cstheme="majorHAnsi"/>
          <w:bCs/>
          <w:iCs/>
          <w:sz w:val="18"/>
          <w:szCs w:val="18"/>
          <w:lang w:eastAsia="ar-SA"/>
        </w:rPr>
        <w:t xml:space="preserve">Lysou nad Labem a Nymburkem. Silnice II/331 je hlavní dopravní osou řešeného území a společně </w:t>
      </w:r>
      <w:r w:rsidR="00AB7C78" w:rsidRPr="006070EA">
        <w:rPr>
          <w:rFonts w:asciiTheme="majorHAnsi" w:eastAsia="Times New Roman" w:hAnsiTheme="majorHAnsi" w:cstheme="majorHAnsi"/>
          <w:bCs/>
          <w:iCs/>
          <w:sz w:val="18"/>
          <w:szCs w:val="18"/>
          <w:lang w:eastAsia="ar-SA"/>
        </w:rPr>
        <w:t xml:space="preserve">se </w:t>
      </w:r>
      <w:r w:rsidRPr="006070EA">
        <w:rPr>
          <w:rFonts w:asciiTheme="majorHAnsi" w:eastAsia="Times New Roman" w:hAnsiTheme="majorHAnsi" w:cstheme="majorHAnsi"/>
          <w:bCs/>
          <w:iCs/>
          <w:sz w:val="18"/>
          <w:szCs w:val="18"/>
          <w:lang w:eastAsia="ar-SA"/>
        </w:rPr>
        <w:t>silnice</w:t>
      </w:r>
      <w:r w:rsidR="00AB7C78" w:rsidRPr="006070EA">
        <w:rPr>
          <w:rFonts w:asciiTheme="majorHAnsi" w:eastAsia="Times New Roman" w:hAnsiTheme="majorHAnsi" w:cstheme="majorHAnsi"/>
          <w:bCs/>
          <w:iCs/>
          <w:sz w:val="18"/>
          <w:szCs w:val="18"/>
          <w:lang w:eastAsia="ar-SA"/>
        </w:rPr>
        <w:t>mi</w:t>
      </w:r>
      <w:r w:rsidRPr="006070EA">
        <w:rPr>
          <w:rFonts w:asciiTheme="majorHAnsi" w:eastAsia="Times New Roman" w:hAnsiTheme="majorHAnsi" w:cstheme="majorHAnsi"/>
          <w:bCs/>
          <w:iCs/>
          <w:sz w:val="18"/>
          <w:szCs w:val="18"/>
          <w:lang w:eastAsia="ar-SA"/>
        </w:rPr>
        <w:t xml:space="preserve"> III. třídy </w:t>
      </w:r>
      <w:r w:rsidR="00AB7C78" w:rsidRPr="006070EA">
        <w:rPr>
          <w:rFonts w:asciiTheme="majorHAnsi" w:eastAsia="Times New Roman" w:hAnsiTheme="majorHAnsi" w:cstheme="majorHAnsi"/>
          <w:bCs/>
          <w:iCs/>
          <w:sz w:val="18"/>
          <w:szCs w:val="18"/>
          <w:lang w:eastAsia="ar-SA"/>
        </w:rPr>
        <w:t xml:space="preserve">v řešeném území </w:t>
      </w:r>
      <w:r w:rsidRPr="006070EA">
        <w:rPr>
          <w:rFonts w:asciiTheme="majorHAnsi" w:eastAsia="Times New Roman" w:hAnsiTheme="majorHAnsi" w:cstheme="majorHAnsi"/>
          <w:bCs/>
          <w:iCs/>
          <w:sz w:val="18"/>
          <w:szCs w:val="18"/>
          <w:lang w:eastAsia="ar-SA"/>
        </w:rPr>
        <w:t xml:space="preserve">propojuje jednotlivé místní části. </w:t>
      </w:r>
    </w:p>
    <w:p w14:paraId="685E7FA1" w14:textId="124F7CAA" w:rsidR="00E90389" w:rsidRPr="006070EA" w:rsidRDefault="00E90389" w:rsidP="00E90389">
      <w:pPr>
        <w:suppressAutoHyphens/>
        <w:spacing w:before="120" w:after="120" w:line="240" w:lineRule="auto"/>
        <w:ind w:firstLine="709"/>
        <w:jc w:val="both"/>
        <w:rPr>
          <w:rFonts w:asciiTheme="majorHAnsi" w:eastAsia="Times New Roman" w:hAnsiTheme="majorHAnsi" w:cstheme="majorHAnsi"/>
          <w:bCs/>
          <w:iCs/>
          <w:sz w:val="18"/>
          <w:szCs w:val="18"/>
          <w:lang w:eastAsia="ar-SA"/>
        </w:rPr>
      </w:pPr>
      <w:r w:rsidRPr="006070EA">
        <w:rPr>
          <w:rFonts w:asciiTheme="majorHAnsi" w:eastAsia="Times New Roman" w:hAnsiTheme="majorHAnsi" w:cstheme="majorHAnsi"/>
          <w:bCs/>
          <w:iCs/>
          <w:sz w:val="18"/>
          <w:szCs w:val="18"/>
          <w:lang w:eastAsia="ar-SA"/>
        </w:rPr>
        <w:t xml:space="preserve">Z hlediska širších dopravních vztahů je pro obec významná silnice I/38 procházející městy Nymburk, Poděbrady, Kolín, Kutná Hora, Čáslav a dalšími významnými městy. Nejvýznamnější je však blízkost hlavních dopravních tepen </w:t>
      </w:r>
      <w:r w:rsidR="00AB7C78" w:rsidRPr="006070EA">
        <w:rPr>
          <w:rFonts w:asciiTheme="majorHAnsi" w:eastAsia="Times New Roman" w:hAnsiTheme="majorHAnsi" w:cstheme="majorHAnsi"/>
          <w:bCs/>
          <w:iCs/>
          <w:sz w:val="18"/>
          <w:szCs w:val="18"/>
          <w:lang w:eastAsia="ar-SA"/>
        </w:rPr>
        <w:t>nadregionálního významu</w:t>
      </w:r>
      <w:r w:rsidRPr="006070EA">
        <w:rPr>
          <w:rFonts w:asciiTheme="majorHAnsi" w:eastAsia="Times New Roman" w:hAnsiTheme="majorHAnsi" w:cstheme="majorHAnsi"/>
          <w:bCs/>
          <w:iCs/>
          <w:sz w:val="18"/>
          <w:szCs w:val="18"/>
          <w:lang w:eastAsia="ar-SA"/>
        </w:rPr>
        <w:t xml:space="preserve"> – dálnice D10 a D1 dostupné po silnicích nižších tříd. </w:t>
      </w:r>
    </w:p>
    <w:p w14:paraId="0C533323" w14:textId="77777777" w:rsidR="00E90389" w:rsidRPr="006070EA" w:rsidRDefault="00E90389" w:rsidP="00E90389">
      <w:pPr>
        <w:keepNext/>
        <w:suppressAutoHyphens/>
        <w:spacing w:before="120" w:after="120" w:line="240" w:lineRule="auto"/>
        <w:jc w:val="both"/>
        <w:rPr>
          <w:rFonts w:asciiTheme="majorHAnsi" w:eastAsia="Times New Roman" w:hAnsiTheme="majorHAnsi" w:cstheme="majorHAnsi"/>
          <w:i/>
          <w:color w:val="000000"/>
          <w:sz w:val="18"/>
          <w:szCs w:val="18"/>
          <w:lang w:eastAsia="ar-SA"/>
        </w:rPr>
      </w:pPr>
      <w:r w:rsidRPr="006070EA">
        <w:rPr>
          <w:rFonts w:asciiTheme="majorHAnsi" w:eastAsia="Times New Roman" w:hAnsiTheme="majorHAnsi" w:cstheme="majorHAnsi"/>
          <w:i/>
          <w:color w:val="000000"/>
          <w:sz w:val="18"/>
          <w:szCs w:val="18"/>
          <w:lang w:eastAsia="ar-SA"/>
        </w:rPr>
        <w:t>Tab.: Dojezdové vzdálenosti a doby z Kostomlat nad Labem do vyšších správních center</w:t>
      </w:r>
    </w:p>
    <w:tbl>
      <w:tblPr>
        <w:tblW w:w="9528" w:type="dxa"/>
        <w:tblBorders>
          <w:insideH w:val="single" w:sz="4" w:space="0" w:color="auto"/>
          <w:insideV w:val="single" w:sz="4" w:space="0" w:color="auto"/>
        </w:tblBorders>
        <w:tblLayout w:type="fixed"/>
        <w:tblLook w:val="04A0" w:firstRow="1" w:lastRow="0" w:firstColumn="1" w:lastColumn="0" w:noHBand="0" w:noVBand="1"/>
      </w:tblPr>
      <w:tblGrid>
        <w:gridCol w:w="1809"/>
        <w:gridCol w:w="1102"/>
        <w:gridCol w:w="1103"/>
        <w:gridCol w:w="1103"/>
        <w:gridCol w:w="1102"/>
        <w:gridCol w:w="1103"/>
        <w:gridCol w:w="1103"/>
        <w:gridCol w:w="1103"/>
      </w:tblGrid>
      <w:tr w:rsidR="00E90389" w:rsidRPr="006070EA" w14:paraId="4495D4FB" w14:textId="77777777" w:rsidTr="00AB7C78">
        <w:trPr>
          <w:cantSplit/>
          <w:trHeight w:val="454"/>
          <w:tblHeader/>
        </w:trPr>
        <w:tc>
          <w:tcPr>
            <w:tcW w:w="1809" w:type="dxa"/>
            <w:tcBorders>
              <w:top w:val="nil"/>
              <w:bottom w:val="single" w:sz="12" w:space="0" w:color="auto"/>
              <w:right w:val="single" w:sz="12" w:space="0" w:color="auto"/>
            </w:tcBorders>
            <w:vAlign w:val="center"/>
          </w:tcPr>
          <w:p w14:paraId="6EDD6B8D" w14:textId="376FFBE8" w:rsidR="00E90389" w:rsidRPr="006070EA" w:rsidRDefault="00AB7C78" w:rsidP="00AB7C78">
            <w:pPr>
              <w:keepNext/>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město</w:t>
            </w:r>
          </w:p>
        </w:tc>
        <w:tc>
          <w:tcPr>
            <w:tcW w:w="1102" w:type="dxa"/>
            <w:tcBorders>
              <w:top w:val="nil"/>
              <w:left w:val="single" w:sz="12" w:space="0" w:color="auto"/>
              <w:bottom w:val="single" w:sz="12" w:space="0" w:color="auto"/>
              <w:right w:val="single" w:sz="12" w:space="0" w:color="auto"/>
            </w:tcBorders>
            <w:vAlign w:val="center"/>
          </w:tcPr>
          <w:p w14:paraId="3F73F603" w14:textId="77777777" w:rsidR="00E90389" w:rsidRPr="006070EA" w:rsidRDefault="00E90389" w:rsidP="00AB7C78">
            <w:pPr>
              <w:keepNext/>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Nymburk</w:t>
            </w:r>
          </w:p>
        </w:tc>
        <w:tc>
          <w:tcPr>
            <w:tcW w:w="1103" w:type="dxa"/>
            <w:tcBorders>
              <w:top w:val="nil"/>
              <w:left w:val="single" w:sz="12" w:space="0" w:color="auto"/>
              <w:bottom w:val="single" w:sz="12" w:space="0" w:color="auto"/>
              <w:right w:val="single" w:sz="12" w:space="0" w:color="auto"/>
            </w:tcBorders>
            <w:vAlign w:val="center"/>
          </w:tcPr>
          <w:p w14:paraId="5EB1993F" w14:textId="77777777" w:rsidR="00E90389" w:rsidRPr="006070EA" w:rsidRDefault="00E90389" w:rsidP="00AB7C78">
            <w:pPr>
              <w:keepNext/>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Lysá nad Labem</w:t>
            </w:r>
          </w:p>
        </w:tc>
        <w:tc>
          <w:tcPr>
            <w:tcW w:w="1103" w:type="dxa"/>
            <w:tcBorders>
              <w:top w:val="nil"/>
              <w:left w:val="single" w:sz="12" w:space="0" w:color="auto"/>
              <w:bottom w:val="single" w:sz="12" w:space="0" w:color="auto"/>
              <w:right w:val="single" w:sz="12" w:space="0" w:color="auto"/>
            </w:tcBorders>
            <w:vAlign w:val="center"/>
          </w:tcPr>
          <w:p w14:paraId="5E50DCA7" w14:textId="77777777" w:rsidR="00E90389" w:rsidRPr="006070EA" w:rsidRDefault="00E90389" w:rsidP="00AB7C78">
            <w:pPr>
              <w:keepNext/>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Mladá Boleslav</w:t>
            </w:r>
          </w:p>
        </w:tc>
        <w:tc>
          <w:tcPr>
            <w:tcW w:w="1102" w:type="dxa"/>
            <w:tcBorders>
              <w:top w:val="nil"/>
              <w:left w:val="single" w:sz="12" w:space="0" w:color="auto"/>
              <w:bottom w:val="single" w:sz="12" w:space="0" w:color="auto"/>
              <w:right w:val="single" w:sz="12" w:space="0" w:color="auto"/>
            </w:tcBorders>
            <w:vAlign w:val="center"/>
          </w:tcPr>
          <w:p w14:paraId="5F2DD98B" w14:textId="77777777" w:rsidR="00E90389" w:rsidRPr="006070EA" w:rsidRDefault="00E90389" w:rsidP="00AB7C78">
            <w:pPr>
              <w:keepNext/>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Kolín</w:t>
            </w:r>
          </w:p>
        </w:tc>
        <w:tc>
          <w:tcPr>
            <w:tcW w:w="1103" w:type="dxa"/>
            <w:tcBorders>
              <w:top w:val="nil"/>
              <w:left w:val="single" w:sz="12" w:space="0" w:color="auto"/>
              <w:bottom w:val="single" w:sz="12" w:space="0" w:color="auto"/>
              <w:right w:val="single" w:sz="12" w:space="0" w:color="auto"/>
            </w:tcBorders>
            <w:vAlign w:val="center"/>
          </w:tcPr>
          <w:p w14:paraId="7CFF9264" w14:textId="77777777" w:rsidR="00E90389" w:rsidRPr="006070EA" w:rsidRDefault="00E90389" w:rsidP="00AB7C78">
            <w:pPr>
              <w:keepNext/>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Mělník</w:t>
            </w:r>
          </w:p>
        </w:tc>
        <w:tc>
          <w:tcPr>
            <w:tcW w:w="1103" w:type="dxa"/>
            <w:tcBorders>
              <w:top w:val="nil"/>
              <w:left w:val="single" w:sz="12" w:space="0" w:color="auto"/>
              <w:bottom w:val="single" w:sz="12" w:space="0" w:color="auto"/>
              <w:right w:val="single" w:sz="12" w:space="0" w:color="auto"/>
            </w:tcBorders>
            <w:vAlign w:val="center"/>
          </w:tcPr>
          <w:p w14:paraId="73A011EB" w14:textId="77777777" w:rsidR="00E90389" w:rsidRPr="006070EA" w:rsidRDefault="00E90389" w:rsidP="00AB7C78">
            <w:pPr>
              <w:keepNext/>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Brno</w:t>
            </w:r>
          </w:p>
        </w:tc>
        <w:tc>
          <w:tcPr>
            <w:tcW w:w="1103" w:type="dxa"/>
            <w:tcBorders>
              <w:top w:val="nil"/>
              <w:left w:val="single" w:sz="12" w:space="0" w:color="auto"/>
              <w:bottom w:val="single" w:sz="12" w:space="0" w:color="auto"/>
            </w:tcBorders>
            <w:vAlign w:val="center"/>
          </w:tcPr>
          <w:p w14:paraId="5EDC4D7E" w14:textId="77777777" w:rsidR="00E90389" w:rsidRPr="006070EA" w:rsidRDefault="00E90389" w:rsidP="00AB7C78">
            <w:pPr>
              <w:keepNext/>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Praha</w:t>
            </w:r>
          </w:p>
        </w:tc>
      </w:tr>
      <w:tr w:rsidR="00E90389" w:rsidRPr="006070EA" w14:paraId="457DA215" w14:textId="77777777" w:rsidTr="00AB7C78">
        <w:trPr>
          <w:trHeight w:val="283"/>
        </w:trPr>
        <w:tc>
          <w:tcPr>
            <w:tcW w:w="1809" w:type="dxa"/>
            <w:tcBorders>
              <w:top w:val="single" w:sz="12" w:space="0" w:color="auto"/>
              <w:bottom w:val="single" w:sz="12" w:space="0" w:color="auto"/>
              <w:right w:val="single" w:sz="12" w:space="0" w:color="auto"/>
            </w:tcBorders>
            <w:vAlign w:val="center"/>
          </w:tcPr>
          <w:p w14:paraId="431884D7" w14:textId="0E6E46A6" w:rsidR="00E90389" w:rsidRPr="006070EA" w:rsidRDefault="00E90389" w:rsidP="00AB7C78">
            <w:pPr>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dojezdová vzdálenost</w:t>
            </w:r>
          </w:p>
        </w:tc>
        <w:tc>
          <w:tcPr>
            <w:tcW w:w="1102" w:type="dxa"/>
            <w:tcBorders>
              <w:top w:val="single" w:sz="12" w:space="0" w:color="auto"/>
              <w:left w:val="single" w:sz="12" w:space="0" w:color="auto"/>
            </w:tcBorders>
            <w:vAlign w:val="center"/>
          </w:tcPr>
          <w:p w14:paraId="1EACF5EA"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6,3 km</w:t>
            </w:r>
          </w:p>
        </w:tc>
        <w:tc>
          <w:tcPr>
            <w:tcW w:w="1103" w:type="dxa"/>
            <w:tcBorders>
              <w:top w:val="single" w:sz="12" w:space="0" w:color="auto"/>
            </w:tcBorders>
            <w:vAlign w:val="center"/>
          </w:tcPr>
          <w:p w14:paraId="6C62C242"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11,1 km</w:t>
            </w:r>
          </w:p>
        </w:tc>
        <w:tc>
          <w:tcPr>
            <w:tcW w:w="1103" w:type="dxa"/>
            <w:tcBorders>
              <w:top w:val="single" w:sz="12" w:space="0" w:color="auto"/>
            </w:tcBorders>
            <w:vAlign w:val="center"/>
          </w:tcPr>
          <w:p w14:paraId="23C35D48"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40,4 km</w:t>
            </w:r>
          </w:p>
        </w:tc>
        <w:tc>
          <w:tcPr>
            <w:tcW w:w="1102" w:type="dxa"/>
            <w:tcBorders>
              <w:top w:val="single" w:sz="12" w:space="0" w:color="auto"/>
            </w:tcBorders>
            <w:vAlign w:val="center"/>
          </w:tcPr>
          <w:p w14:paraId="18DE5E03"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30,3 km</w:t>
            </w:r>
          </w:p>
        </w:tc>
        <w:tc>
          <w:tcPr>
            <w:tcW w:w="1103" w:type="dxa"/>
            <w:tcBorders>
              <w:top w:val="single" w:sz="12" w:space="0" w:color="auto"/>
            </w:tcBorders>
            <w:vAlign w:val="center"/>
          </w:tcPr>
          <w:p w14:paraId="25C95E2D" w14:textId="3AD0BF9D" w:rsidR="00E90389" w:rsidRPr="006070EA" w:rsidRDefault="00A04AE9" w:rsidP="00AB7C78">
            <w:pPr>
              <w:spacing w:after="0" w:line="240" w:lineRule="auto"/>
              <w:jc w:val="center"/>
              <w:rPr>
                <w:rFonts w:asciiTheme="majorHAnsi" w:eastAsia="Calibri" w:hAnsiTheme="majorHAnsi" w:cstheme="majorHAnsi"/>
                <w:color w:val="000000"/>
                <w:sz w:val="18"/>
                <w:szCs w:val="18"/>
              </w:rPr>
            </w:pPr>
            <w:r>
              <w:rPr>
                <w:rFonts w:asciiTheme="majorHAnsi" w:eastAsia="Calibri" w:hAnsiTheme="majorHAnsi" w:cstheme="majorHAnsi"/>
                <w:color w:val="000000"/>
                <w:sz w:val="18"/>
                <w:szCs w:val="18"/>
              </w:rPr>
              <w:t>5</w:t>
            </w:r>
            <w:r w:rsidR="00E90389" w:rsidRPr="006070EA">
              <w:rPr>
                <w:rFonts w:asciiTheme="majorHAnsi" w:eastAsia="Calibri" w:hAnsiTheme="majorHAnsi" w:cstheme="majorHAnsi"/>
                <w:color w:val="000000"/>
                <w:sz w:val="18"/>
                <w:szCs w:val="18"/>
              </w:rPr>
              <w:t>2 km</w:t>
            </w:r>
          </w:p>
        </w:tc>
        <w:tc>
          <w:tcPr>
            <w:tcW w:w="1103" w:type="dxa"/>
            <w:tcBorders>
              <w:top w:val="single" w:sz="12" w:space="0" w:color="auto"/>
            </w:tcBorders>
            <w:vAlign w:val="center"/>
          </w:tcPr>
          <w:p w14:paraId="392EA9F5"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192 km</w:t>
            </w:r>
          </w:p>
        </w:tc>
        <w:tc>
          <w:tcPr>
            <w:tcW w:w="1103" w:type="dxa"/>
            <w:tcBorders>
              <w:top w:val="single" w:sz="12" w:space="0" w:color="auto"/>
            </w:tcBorders>
            <w:vAlign w:val="center"/>
          </w:tcPr>
          <w:p w14:paraId="4E3AEC07"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53 km</w:t>
            </w:r>
          </w:p>
        </w:tc>
      </w:tr>
      <w:tr w:rsidR="00E90389" w:rsidRPr="006070EA" w14:paraId="0214EA00" w14:textId="77777777" w:rsidTr="00AB7C78">
        <w:trPr>
          <w:trHeight w:val="283"/>
        </w:trPr>
        <w:tc>
          <w:tcPr>
            <w:tcW w:w="1809" w:type="dxa"/>
            <w:tcBorders>
              <w:top w:val="single" w:sz="12" w:space="0" w:color="auto"/>
              <w:bottom w:val="nil"/>
              <w:right w:val="single" w:sz="12" w:space="0" w:color="auto"/>
            </w:tcBorders>
            <w:vAlign w:val="center"/>
          </w:tcPr>
          <w:p w14:paraId="7FBFDBCA" w14:textId="77777777" w:rsidR="00E90389" w:rsidRPr="006070EA" w:rsidRDefault="00E90389" w:rsidP="00AB7C78">
            <w:pPr>
              <w:spacing w:after="0" w:line="240" w:lineRule="auto"/>
              <w:jc w:val="center"/>
              <w:rPr>
                <w:rFonts w:asciiTheme="majorHAnsi" w:eastAsia="Calibri" w:hAnsiTheme="majorHAnsi" w:cstheme="majorHAnsi"/>
                <w:b/>
                <w:color w:val="000000"/>
                <w:sz w:val="18"/>
                <w:szCs w:val="18"/>
              </w:rPr>
            </w:pPr>
            <w:r w:rsidRPr="006070EA">
              <w:rPr>
                <w:rFonts w:asciiTheme="majorHAnsi" w:eastAsia="Calibri" w:hAnsiTheme="majorHAnsi" w:cstheme="majorHAnsi"/>
                <w:b/>
                <w:color w:val="000000"/>
                <w:sz w:val="18"/>
                <w:szCs w:val="18"/>
              </w:rPr>
              <w:t>dojezdová doba</w:t>
            </w:r>
          </w:p>
        </w:tc>
        <w:tc>
          <w:tcPr>
            <w:tcW w:w="1102" w:type="dxa"/>
            <w:tcBorders>
              <w:left w:val="single" w:sz="12" w:space="0" w:color="auto"/>
            </w:tcBorders>
            <w:vAlign w:val="center"/>
          </w:tcPr>
          <w:p w14:paraId="7E5FBE41"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10 min.</w:t>
            </w:r>
          </w:p>
        </w:tc>
        <w:tc>
          <w:tcPr>
            <w:tcW w:w="1103" w:type="dxa"/>
            <w:vAlign w:val="center"/>
          </w:tcPr>
          <w:p w14:paraId="3A12B6C7"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17 min.</w:t>
            </w:r>
          </w:p>
        </w:tc>
        <w:tc>
          <w:tcPr>
            <w:tcW w:w="1103" w:type="dxa"/>
            <w:vAlign w:val="center"/>
          </w:tcPr>
          <w:p w14:paraId="7AFAD12C"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43 min.</w:t>
            </w:r>
          </w:p>
        </w:tc>
        <w:tc>
          <w:tcPr>
            <w:tcW w:w="1102" w:type="dxa"/>
            <w:vAlign w:val="center"/>
          </w:tcPr>
          <w:p w14:paraId="03377FDF"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38 min.</w:t>
            </w:r>
          </w:p>
        </w:tc>
        <w:tc>
          <w:tcPr>
            <w:tcW w:w="1103" w:type="dxa"/>
            <w:vAlign w:val="center"/>
          </w:tcPr>
          <w:p w14:paraId="03313D4C"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65 min.</w:t>
            </w:r>
          </w:p>
        </w:tc>
        <w:tc>
          <w:tcPr>
            <w:tcW w:w="1103" w:type="dxa"/>
            <w:vAlign w:val="center"/>
          </w:tcPr>
          <w:p w14:paraId="13093154"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146 min.</w:t>
            </w:r>
          </w:p>
        </w:tc>
        <w:tc>
          <w:tcPr>
            <w:tcW w:w="1103" w:type="dxa"/>
            <w:vAlign w:val="center"/>
          </w:tcPr>
          <w:p w14:paraId="62B62E23" w14:textId="77777777" w:rsidR="00E90389" w:rsidRPr="006070EA" w:rsidRDefault="00E90389" w:rsidP="00AB7C78">
            <w:pPr>
              <w:spacing w:after="0" w:line="240" w:lineRule="auto"/>
              <w:jc w:val="center"/>
              <w:rPr>
                <w:rFonts w:asciiTheme="majorHAnsi" w:eastAsia="Calibri" w:hAnsiTheme="majorHAnsi" w:cstheme="majorHAnsi"/>
                <w:color w:val="000000"/>
                <w:sz w:val="18"/>
                <w:szCs w:val="18"/>
              </w:rPr>
            </w:pPr>
            <w:r w:rsidRPr="006070EA">
              <w:rPr>
                <w:rFonts w:asciiTheme="majorHAnsi" w:eastAsia="Calibri" w:hAnsiTheme="majorHAnsi" w:cstheme="majorHAnsi"/>
                <w:color w:val="000000"/>
                <w:sz w:val="18"/>
                <w:szCs w:val="18"/>
              </w:rPr>
              <w:t>48 min.</w:t>
            </w:r>
          </w:p>
        </w:tc>
      </w:tr>
    </w:tbl>
    <w:p w14:paraId="790DF6F9" w14:textId="3CC1F733" w:rsidR="00E90389" w:rsidRPr="006070EA" w:rsidRDefault="00E90389" w:rsidP="00E90389">
      <w:pPr>
        <w:keepNext/>
        <w:spacing w:before="120" w:after="60" w:line="240" w:lineRule="auto"/>
        <w:ind w:firstLine="709"/>
        <w:rPr>
          <w:rFonts w:asciiTheme="majorHAnsi" w:hAnsiTheme="majorHAnsi" w:cstheme="majorHAnsi"/>
          <w:color w:val="FF0000"/>
          <w:sz w:val="18"/>
          <w:szCs w:val="18"/>
          <w:u w:val="single"/>
        </w:rPr>
      </w:pPr>
      <w:r w:rsidRPr="006070EA">
        <w:rPr>
          <w:rFonts w:asciiTheme="majorHAnsi" w:eastAsia="Times New Roman" w:hAnsiTheme="majorHAnsi" w:cstheme="majorHAnsi"/>
          <w:color w:val="000000"/>
          <w:sz w:val="18"/>
          <w:szCs w:val="18"/>
          <w:lang w:eastAsia="cs-CZ"/>
        </w:rPr>
        <w:t xml:space="preserve">Řešeným územím prochází celostátní dráha č. 231 </w:t>
      </w:r>
      <w:r w:rsidR="00AB7C78" w:rsidRPr="006070EA">
        <w:rPr>
          <w:rFonts w:asciiTheme="majorHAnsi" w:eastAsia="Times New Roman" w:hAnsiTheme="majorHAnsi" w:cstheme="majorHAnsi"/>
          <w:color w:val="000000"/>
          <w:sz w:val="18"/>
          <w:szCs w:val="18"/>
          <w:lang w:eastAsia="cs-CZ"/>
        </w:rPr>
        <w:t>Praha – Lysá nad Labem – Kolín</w:t>
      </w:r>
      <w:r w:rsidRPr="006070EA">
        <w:rPr>
          <w:rFonts w:asciiTheme="majorHAnsi" w:eastAsia="Times New Roman" w:hAnsiTheme="majorHAnsi" w:cstheme="majorHAnsi"/>
          <w:color w:val="000000"/>
          <w:sz w:val="18"/>
          <w:szCs w:val="18"/>
          <w:lang w:eastAsia="cs-CZ"/>
        </w:rPr>
        <w:t>. V</w:t>
      </w:r>
      <w:r w:rsidR="00AB7C78" w:rsidRPr="006070EA">
        <w:rPr>
          <w:rFonts w:asciiTheme="majorHAnsi" w:eastAsia="Times New Roman" w:hAnsiTheme="majorHAnsi" w:cstheme="majorHAnsi"/>
          <w:color w:val="000000"/>
          <w:sz w:val="18"/>
          <w:szCs w:val="18"/>
          <w:lang w:eastAsia="cs-CZ"/>
        </w:rPr>
        <w:t xml:space="preserve"> Kostomlatech nad Labem je na této trati provozována </w:t>
      </w:r>
      <w:r w:rsidRPr="006070EA">
        <w:rPr>
          <w:rFonts w:asciiTheme="majorHAnsi" w:eastAsia="Times New Roman" w:hAnsiTheme="majorHAnsi" w:cstheme="majorHAnsi"/>
          <w:color w:val="000000"/>
          <w:sz w:val="18"/>
          <w:szCs w:val="18"/>
          <w:lang w:eastAsia="cs-CZ"/>
        </w:rPr>
        <w:t xml:space="preserve">jedna železniční stanice </w:t>
      </w:r>
      <w:r w:rsidRPr="006070EA">
        <w:rPr>
          <w:rFonts w:asciiTheme="majorHAnsi" w:eastAsia="Times New Roman" w:hAnsiTheme="majorHAnsi" w:cstheme="majorHAnsi"/>
          <w:i/>
          <w:iCs/>
          <w:color w:val="000000"/>
          <w:sz w:val="18"/>
          <w:szCs w:val="18"/>
          <w:lang w:eastAsia="cs-CZ"/>
        </w:rPr>
        <w:t>Kostomlaty nad Labem</w:t>
      </w:r>
      <w:r w:rsidRPr="006070EA">
        <w:rPr>
          <w:rFonts w:asciiTheme="majorHAnsi" w:eastAsia="Times New Roman" w:hAnsiTheme="majorHAnsi" w:cstheme="majorHAnsi"/>
          <w:color w:val="000000"/>
          <w:sz w:val="18"/>
          <w:szCs w:val="18"/>
          <w:lang w:eastAsia="cs-CZ"/>
        </w:rPr>
        <w:t xml:space="preserve">. Ostatní </w:t>
      </w:r>
      <w:r w:rsidR="00AB7C78" w:rsidRPr="006070EA">
        <w:rPr>
          <w:rFonts w:asciiTheme="majorHAnsi" w:eastAsia="Times New Roman" w:hAnsiTheme="majorHAnsi" w:cstheme="majorHAnsi"/>
          <w:color w:val="000000"/>
          <w:sz w:val="18"/>
          <w:szCs w:val="18"/>
          <w:lang w:eastAsia="cs-CZ"/>
        </w:rPr>
        <w:t xml:space="preserve">místní </w:t>
      </w:r>
      <w:r w:rsidRPr="006070EA">
        <w:rPr>
          <w:rFonts w:asciiTheme="majorHAnsi" w:eastAsia="Times New Roman" w:hAnsiTheme="majorHAnsi" w:cstheme="majorHAnsi"/>
          <w:color w:val="000000"/>
          <w:sz w:val="18"/>
          <w:szCs w:val="18"/>
          <w:lang w:eastAsia="cs-CZ"/>
        </w:rPr>
        <w:t xml:space="preserve">části v území nejsou železniční dopravou </w:t>
      </w:r>
      <w:r w:rsidR="00AB7C78" w:rsidRPr="006070EA">
        <w:rPr>
          <w:rFonts w:asciiTheme="majorHAnsi" w:eastAsia="Times New Roman" w:hAnsiTheme="majorHAnsi" w:cstheme="majorHAnsi"/>
          <w:color w:val="000000"/>
          <w:sz w:val="18"/>
          <w:szCs w:val="18"/>
          <w:lang w:eastAsia="cs-CZ"/>
        </w:rPr>
        <w:t>dostupné</w:t>
      </w:r>
      <w:r w:rsidRPr="006070EA">
        <w:rPr>
          <w:rFonts w:asciiTheme="majorHAnsi" w:eastAsia="Times New Roman" w:hAnsiTheme="majorHAnsi" w:cstheme="majorHAnsi"/>
          <w:color w:val="000000"/>
          <w:sz w:val="18"/>
          <w:szCs w:val="18"/>
          <w:lang w:eastAsia="cs-CZ"/>
        </w:rPr>
        <w:t>.</w:t>
      </w:r>
    </w:p>
    <w:p w14:paraId="2BF7499C" w14:textId="77777777" w:rsidR="001A03EB" w:rsidRPr="006070EA" w:rsidRDefault="001A03EB" w:rsidP="00152AB3">
      <w:pPr>
        <w:keepNext/>
        <w:spacing w:after="120" w:line="240" w:lineRule="auto"/>
        <w:rPr>
          <w:rFonts w:asciiTheme="majorHAnsi" w:hAnsiTheme="majorHAnsi" w:cstheme="majorHAnsi"/>
          <w:b/>
          <w:sz w:val="20"/>
          <w:szCs w:val="20"/>
        </w:rPr>
      </w:pPr>
      <w:r w:rsidRPr="006070EA">
        <w:rPr>
          <w:rFonts w:asciiTheme="majorHAnsi" w:hAnsiTheme="majorHAnsi" w:cstheme="majorHAnsi"/>
          <w:b/>
          <w:sz w:val="20"/>
          <w:szCs w:val="20"/>
        </w:rPr>
        <w:t>ŠIRŠÍ VZTAHY TECHNICKÉ INFRASTRUKTURY</w:t>
      </w:r>
    </w:p>
    <w:p w14:paraId="117761D0" w14:textId="77777777" w:rsidR="00E90389" w:rsidRPr="006070EA" w:rsidRDefault="00E90389" w:rsidP="00E90389">
      <w:pPr>
        <w:pStyle w:val="Anadpispodtren"/>
        <w:rPr>
          <w:rFonts w:asciiTheme="majorHAnsi" w:hAnsiTheme="majorHAnsi" w:cstheme="majorHAnsi"/>
        </w:rPr>
      </w:pPr>
      <w:r w:rsidRPr="006070EA">
        <w:rPr>
          <w:rFonts w:asciiTheme="majorHAnsi" w:hAnsiTheme="majorHAnsi" w:cstheme="majorHAnsi"/>
        </w:rPr>
        <w:t>Zásobování pitnou vodou, kanalizace</w:t>
      </w:r>
    </w:p>
    <w:p w14:paraId="2BF02BA0" w14:textId="173E0400" w:rsidR="00E90389" w:rsidRPr="006070EA" w:rsidRDefault="00E90389" w:rsidP="00E90389">
      <w:pPr>
        <w:pStyle w:val="Atext"/>
        <w:rPr>
          <w:rFonts w:asciiTheme="majorHAnsi" w:hAnsiTheme="majorHAnsi" w:cstheme="majorHAnsi"/>
        </w:rPr>
      </w:pPr>
      <w:r w:rsidRPr="006070EA">
        <w:rPr>
          <w:rFonts w:asciiTheme="majorHAnsi" w:hAnsiTheme="majorHAnsi" w:cstheme="majorHAnsi"/>
        </w:rPr>
        <w:t>Sídla v řešeném území jsou zásobována pitnou vodou převážně z</w:t>
      </w:r>
      <w:r w:rsidRPr="006070EA">
        <w:rPr>
          <w:rFonts w:asciiTheme="majorHAnsi" w:hAnsiTheme="majorHAnsi" w:cstheme="majorHAnsi"/>
          <w:shd w:val="clear" w:color="auto" w:fill="FFFFFF"/>
        </w:rPr>
        <w:t xml:space="preserve"> vodovodního </w:t>
      </w:r>
      <w:r w:rsidR="00AB7C78" w:rsidRPr="006070EA">
        <w:rPr>
          <w:rFonts w:asciiTheme="majorHAnsi" w:hAnsiTheme="majorHAnsi" w:cstheme="majorHAnsi"/>
          <w:shd w:val="clear" w:color="auto" w:fill="FFFFFF"/>
        </w:rPr>
        <w:t>systému</w:t>
      </w:r>
      <w:r w:rsidRPr="006070EA">
        <w:rPr>
          <w:rFonts w:asciiTheme="majorHAnsi" w:hAnsiTheme="majorHAnsi" w:cstheme="majorHAnsi"/>
          <w:shd w:val="clear" w:color="auto" w:fill="FFFFFF"/>
        </w:rPr>
        <w:t xml:space="preserve"> Nymburk – Doubrava – Kostomlaty. </w:t>
      </w:r>
    </w:p>
    <w:p w14:paraId="37C66268" w14:textId="77777777" w:rsidR="00E90389" w:rsidRPr="006070EA" w:rsidRDefault="00E90389" w:rsidP="00E90389">
      <w:pPr>
        <w:pStyle w:val="Anadpispodtren"/>
        <w:rPr>
          <w:rFonts w:asciiTheme="majorHAnsi" w:hAnsiTheme="majorHAnsi" w:cstheme="majorHAnsi"/>
        </w:rPr>
      </w:pPr>
      <w:r w:rsidRPr="006070EA">
        <w:rPr>
          <w:rFonts w:asciiTheme="majorHAnsi" w:hAnsiTheme="majorHAnsi" w:cstheme="majorHAnsi"/>
        </w:rPr>
        <w:t>Kanalizace a odstraňování odpadních vod</w:t>
      </w:r>
    </w:p>
    <w:p w14:paraId="50B9FBFC" w14:textId="2DBDC59A" w:rsidR="00E90389" w:rsidRPr="006070EA" w:rsidRDefault="00E90389" w:rsidP="00E90389">
      <w:pPr>
        <w:pStyle w:val="Atext"/>
        <w:rPr>
          <w:rFonts w:asciiTheme="majorHAnsi" w:hAnsiTheme="majorHAnsi" w:cstheme="majorHAnsi"/>
        </w:rPr>
      </w:pPr>
      <w:r w:rsidRPr="006070EA">
        <w:rPr>
          <w:rFonts w:asciiTheme="majorHAnsi" w:hAnsiTheme="majorHAnsi" w:cstheme="majorHAnsi"/>
        </w:rPr>
        <w:t xml:space="preserve">Kanalizační systémy nadmístního významu </w:t>
      </w:r>
      <w:r w:rsidR="00AB7C78" w:rsidRPr="006070EA">
        <w:rPr>
          <w:rFonts w:asciiTheme="majorHAnsi" w:hAnsiTheme="majorHAnsi" w:cstheme="majorHAnsi"/>
        </w:rPr>
        <w:t>nejsou</w:t>
      </w:r>
      <w:r w:rsidRPr="006070EA">
        <w:rPr>
          <w:rFonts w:asciiTheme="majorHAnsi" w:hAnsiTheme="majorHAnsi" w:cstheme="majorHAnsi"/>
        </w:rPr>
        <w:t xml:space="preserve"> v</w:t>
      </w:r>
      <w:r w:rsidR="00AB7C78" w:rsidRPr="006070EA">
        <w:rPr>
          <w:rFonts w:asciiTheme="majorHAnsi" w:hAnsiTheme="majorHAnsi" w:cstheme="majorHAnsi"/>
        </w:rPr>
        <w:t xml:space="preserve"> řešeném </w:t>
      </w:r>
      <w:r w:rsidRPr="006070EA">
        <w:rPr>
          <w:rFonts w:asciiTheme="majorHAnsi" w:hAnsiTheme="majorHAnsi" w:cstheme="majorHAnsi"/>
        </w:rPr>
        <w:t xml:space="preserve">území </w:t>
      </w:r>
      <w:r w:rsidR="00AB7C78" w:rsidRPr="006070EA">
        <w:rPr>
          <w:rFonts w:asciiTheme="majorHAnsi" w:hAnsiTheme="majorHAnsi" w:cstheme="majorHAnsi"/>
        </w:rPr>
        <w:t>provozovány</w:t>
      </w:r>
      <w:r w:rsidRPr="006070EA">
        <w:rPr>
          <w:rFonts w:asciiTheme="majorHAnsi" w:hAnsiTheme="majorHAnsi" w:cstheme="majorHAnsi"/>
        </w:rPr>
        <w:t>.</w:t>
      </w:r>
    </w:p>
    <w:p w14:paraId="0A04C1F9" w14:textId="77777777" w:rsidR="00E90389" w:rsidRPr="006070EA" w:rsidRDefault="00E90389" w:rsidP="00E90389">
      <w:pPr>
        <w:pStyle w:val="Anadpispodtren"/>
        <w:rPr>
          <w:rFonts w:asciiTheme="majorHAnsi" w:hAnsiTheme="majorHAnsi" w:cstheme="majorHAnsi"/>
        </w:rPr>
      </w:pPr>
      <w:r w:rsidRPr="006070EA">
        <w:rPr>
          <w:rFonts w:asciiTheme="majorHAnsi" w:hAnsiTheme="majorHAnsi" w:cstheme="majorHAnsi"/>
        </w:rPr>
        <w:t>Zásobování elektrickou energií</w:t>
      </w:r>
    </w:p>
    <w:p w14:paraId="7392359C" w14:textId="77777777" w:rsidR="00E90389" w:rsidRPr="006070EA" w:rsidRDefault="00E90389" w:rsidP="00E90389">
      <w:pPr>
        <w:pStyle w:val="Atext"/>
        <w:rPr>
          <w:rFonts w:asciiTheme="majorHAnsi" w:hAnsiTheme="majorHAnsi" w:cstheme="majorHAnsi"/>
          <w:lang w:eastAsia="cs-CZ"/>
        </w:rPr>
      </w:pPr>
      <w:r w:rsidRPr="006070EA">
        <w:rPr>
          <w:rFonts w:asciiTheme="majorHAnsi" w:hAnsiTheme="majorHAnsi" w:cstheme="majorHAnsi"/>
          <w:lang w:eastAsia="cs-CZ"/>
        </w:rPr>
        <w:t xml:space="preserve">Provozovatelem sítě elektrické energie v SO ORP Nymburk je ČEZ Distribuce, a.s. </w:t>
      </w:r>
    </w:p>
    <w:p w14:paraId="4B1F9ECD" w14:textId="77777777" w:rsidR="00E90389" w:rsidRPr="006070EA" w:rsidRDefault="00E90389" w:rsidP="00E90389">
      <w:pPr>
        <w:pStyle w:val="Atext"/>
        <w:rPr>
          <w:rFonts w:asciiTheme="majorHAnsi" w:hAnsiTheme="majorHAnsi" w:cstheme="majorHAnsi"/>
          <w:sz w:val="6"/>
          <w:lang w:eastAsia="cs-CZ"/>
        </w:rPr>
      </w:pPr>
      <w:r w:rsidRPr="006070EA">
        <w:rPr>
          <w:rFonts w:asciiTheme="majorHAnsi" w:hAnsiTheme="majorHAnsi" w:cstheme="majorHAnsi"/>
          <w:lang w:eastAsia="cs-CZ"/>
        </w:rPr>
        <w:t>Distribuce elektrické energie je realizována vedením vysokého napětí o napěťové hladině 22 kV. Jednotlivé větve tohoto typu vedení jsou zakončeny transformačními stanicemi.</w:t>
      </w:r>
    </w:p>
    <w:p w14:paraId="171C0580" w14:textId="77777777" w:rsidR="00E90389" w:rsidRPr="006070EA" w:rsidRDefault="00E90389" w:rsidP="00E90389">
      <w:pPr>
        <w:pStyle w:val="Anadpispodtren"/>
        <w:rPr>
          <w:rFonts w:asciiTheme="majorHAnsi" w:hAnsiTheme="majorHAnsi" w:cstheme="majorHAnsi"/>
        </w:rPr>
      </w:pPr>
      <w:r w:rsidRPr="006070EA">
        <w:rPr>
          <w:rFonts w:asciiTheme="majorHAnsi" w:hAnsiTheme="majorHAnsi" w:cstheme="majorHAnsi"/>
        </w:rPr>
        <w:t>Zásobování plynem a teplem</w:t>
      </w:r>
    </w:p>
    <w:p w14:paraId="290BCFFA" w14:textId="77C42B62" w:rsidR="00E90389" w:rsidRPr="006070EA" w:rsidRDefault="00E90389" w:rsidP="00E90389">
      <w:pPr>
        <w:pStyle w:val="Anadpispodtren"/>
        <w:rPr>
          <w:rFonts w:asciiTheme="majorHAnsi" w:hAnsiTheme="majorHAnsi" w:cstheme="majorHAnsi"/>
          <w:bCs/>
          <w:iCs/>
          <w:u w:val="none"/>
          <w:lang w:eastAsia="cs-CZ"/>
        </w:rPr>
      </w:pPr>
      <w:r w:rsidRPr="006070EA">
        <w:rPr>
          <w:rFonts w:asciiTheme="majorHAnsi" w:hAnsiTheme="majorHAnsi" w:cstheme="majorHAnsi"/>
          <w:bCs/>
          <w:iCs/>
          <w:u w:val="none"/>
          <w:lang w:eastAsia="cs-CZ"/>
        </w:rPr>
        <w:tab/>
        <w:t>Územím OPR Nymburk prochází 3 trasy vysokotlakého plynovodu. Distribuce plynu v</w:t>
      </w:r>
      <w:r w:rsidR="00C51B11" w:rsidRPr="006070EA">
        <w:rPr>
          <w:rFonts w:asciiTheme="majorHAnsi" w:hAnsiTheme="majorHAnsi" w:cstheme="majorHAnsi"/>
          <w:bCs/>
          <w:iCs/>
          <w:u w:val="none"/>
          <w:lang w:eastAsia="cs-CZ"/>
        </w:rPr>
        <w:t> jednotlivých sídlech</w:t>
      </w:r>
      <w:r w:rsidRPr="006070EA">
        <w:rPr>
          <w:rFonts w:asciiTheme="majorHAnsi" w:hAnsiTheme="majorHAnsi" w:cstheme="majorHAnsi"/>
          <w:bCs/>
          <w:iCs/>
          <w:u w:val="none"/>
          <w:lang w:eastAsia="cs-CZ"/>
        </w:rPr>
        <w:t xml:space="preserve"> je realizována středotlakými plynovody. </w:t>
      </w:r>
    </w:p>
    <w:p w14:paraId="45366071" w14:textId="77777777" w:rsidR="00E90389" w:rsidRPr="006070EA" w:rsidRDefault="00E90389" w:rsidP="00E90389">
      <w:pPr>
        <w:pStyle w:val="Anadpispodtren"/>
        <w:rPr>
          <w:rFonts w:asciiTheme="majorHAnsi" w:hAnsiTheme="majorHAnsi" w:cstheme="majorHAnsi"/>
        </w:rPr>
      </w:pPr>
      <w:r w:rsidRPr="006070EA">
        <w:rPr>
          <w:rFonts w:asciiTheme="majorHAnsi" w:hAnsiTheme="majorHAnsi" w:cstheme="majorHAnsi"/>
        </w:rPr>
        <w:t>Telekomunikace, radiokomunikace</w:t>
      </w:r>
    </w:p>
    <w:p w14:paraId="521EB8D9" w14:textId="11660E8A" w:rsidR="00E90389" w:rsidRPr="006070EA" w:rsidRDefault="00E90389" w:rsidP="00E90389">
      <w:pPr>
        <w:pStyle w:val="Atext"/>
        <w:rPr>
          <w:rFonts w:asciiTheme="majorHAnsi" w:hAnsiTheme="majorHAnsi" w:cstheme="majorHAnsi"/>
        </w:rPr>
      </w:pPr>
      <w:r w:rsidRPr="006070EA">
        <w:rPr>
          <w:rFonts w:asciiTheme="majorHAnsi" w:hAnsiTheme="majorHAnsi" w:cstheme="majorHAnsi"/>
        </w:rPr>
        <w:t>Územím procházejí trasy radioreléových spojů</w:t>
      </w:r>
      <w:r w:rsidR="00C51B11" w:rsidRPr="006070EA">
        <w:rPr>
          <w:rFonts w:asciiTheme="majorHAnsi" w:hAnsiTheme="majorHAnsi" w:cstheme="majorHAnsi"/>
        </w:rPr>
        <w:t xml:space="preserve"> a</w:t>
      </w:r>
      <w:r w:rsidRPr="006070EA">
        <w:rPr>
          <w:rFonts w:asciiTheme="majorHAnsi" w:hAnsiTheme="majorHAnsi" w:cstheme="majorHAnsi"/>
        </w:rPr>
        <w:t xml:space="preserve"> veřejn</w:t>
      </w:r>
      <w:r w:rsidR="00C51B11" w:rsidRPr="006070EA">
        <w:rPr>
          <w:rFonts w:asciiTheme="majorHAnsi" w:hAnsiTheme="majorHAnsi" w:cstheme="majorHAnsi"/>
        </w:rPr>
        <w:t>á</w:t>
      </w:r>
      <w:r w:rsidRPr="006070EA">
        <w:rPr>
          <w:rFonts w:asciiTheme="majorHAnsi" w:hAnsiTheme="majorHAnsi" w:cstheme="majorHAnsi"/>
        </w:rPr>
        <w:t xml:space="preserve"> komunikační sí</w:t>
      </w:r>
      <w:r w:rsidR="00C51B11" w:rsidRPr="006070EA">
        <w:rPr>
          <w:rFonts w:asciiTheme="majorHAnsi" w:hAnsiTheme="majorHAnsi" w:cstheme="majorHAnsi"/>
        </w:rPr>
        <w:t>ť</w:t>
      </w:r>
      <w:r w:rsidRPr="006070EA">
        <w:rPr>
          <w:rFonts w:asciiTheme="majorHAnsi" w:hAnsiTheme="majorHAnsi" w:cstheme="majorHAnsi"/>
        </w:rPr>
        <w:t xml:space="preserve">. </w:t>
      </w:r>
    </w:p>
    <w:p w14:paraId="7FA648F3" w14:textId="77777777" w:rsidR="00E90389" w:rsidRPr="006070EA" w:rsidRDefault="00E90389" w:rsidP="00E90389">
      <w:pPr>
        <w:pStyle w:val="Anadpispodtren"/>
        <w:rPr>
          <w:rFonts w:asciiTheme="majorHAnsi" w:hAnsiTheme="majorHAnsi" w:cstheme="majorHAnsi"/>
        </w:rPr>
      </w:pPr>
      <w:r w:rsidRPr="006070EA">
        <w:rPr>
          <w:rFonts w:asciiTheme="majorHAnsi" w:hAnsiTheme="majorHAnsi" w:cstheme="majorHAnsi"/>
        </w:rPr>
        <w:t>Nakládání s odpady</w:t>
      </w:r>
    </w:p>
    <w:p w14:paraId="2949969A" w14:textId="77777777" w:rsidR="00E90389" w:rsidRPr="006070EA" w:rsidRDefault="00E90389" w:rsidP="00E90389">
      <w:pPr>
        <w:pStyle w:val="Atext"/>
        <w:rPr>
          <w:rFonts w:asciiTheme="majorHAnsi" w:hAnsiTheme="majorHAnsi" w:cstheme="majorHAnsi"/>
        </w:rPr>
      </w:pPr>
      <w:r w:rsidRPr="006070EA">
        <w:rPr>
          <w:rFonts w:asciiTheme="majorHAnsi" w:hAnsiTheme="majorHAnsi" w:cstheme="majorHAnsi"/>
        </w:rPr>
        <w:t xml:space="preserve">V řešeném území se nenacházejí plochy či objekty nadmístního významu určené pro nakládání s odpady. </w:t>
      </w:r>
    </w:p>
    <w:p w14:paraId="2190F530" w14:textId="77777777" w:rsidR="00B75DC8" w:rsidRPr="006070EA" w:rsidRDefault="00B75DC8" w:rsidP="00982B04">
      <w:pPr>
        <w:pStyle w:val="Odstavecseseznamem"/>
        <w:numPr>
          <w:ilvl w:val="1"/>
          <w:numId w:val="2"/>
        </w:numPr>
        <w:spacing w:before="160" w:after="120" w:line="240" w:lineRule="auto"/>
        <w:ind w:left="709" w:hanging="709"/>
        <w:contextualSpacing w:val="0"/>
        <w:outlineLvl w:val="1"/>
        <w:rPr>
          <w:rFonts w:asciiTheme="majorHAnsi" w:hAnsiTheme="majorHAnsi" w:cstheme="majorHAnsi"/>
          <w:b/>
          <w:sz w:val="24"/>
          <w:szCs w:val="20"/>
        </w:rPr>
      </w:pPr>
      <w:bookmarkStart w:id="33" w:name="_Toc424119793"/>
      <w:bookmarkStart w:id="34" w:name="_Toc204678166"/>
      <w:r w:rsidRPr="006070EA">
        <w:rPr>
          <w:rFonts w:asciiTheme="majorHAnsi" w:hAnsiTheme="majorHAnsi" w:cstheme="majorHAnsi"/>
          <w:b/>
          <w:sz w:val="24"/>
          <w:szCs w:val="20"/>
        </w:rPr>
        <w:t>Širší vztahy ÚSES a další přírodní systémy</w:t>
      </w:r>
      <w:bookmarkEnd w:id="33"/>
      <w:bookmarkEnd w:id="34"/>
    </w:p>
    <w:p w14:paraId="66EA77F8" w14:textId="77777777" w:rsidR="00E90389" w:rsidRPr="006070EA" w:rsidRDefault="00E90389" w:rsidP="00C51B11">
      <w:pPr>
        <w:spacing w:before="12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Správní území obce Kostomlaty nad Labem je dotčeno následujícími přírodními prvky nadmístního významu, které přesahují hranice řešeného území:</w:t>
      </w:r>
    </w:p>
    <w:p w14:paraId="4C0946E0" w14:textId="13489163" w:rsidR="00E90389" w:rsidRPr="009402D8" w:rsidRDefault="00E90389" w:rsidP="00E90389">
      <w:pPr>
        <w:spacing w:after="60" w:line="240" w:lineRule="auto"/>
        <w:ind w:firstLine="709"/>
        <w:jc w:val="both"/>
        <w:rPr>
          <w:rFonts w:asciiTheme="majorHAnsi" w:hAnsiTheme="majorHAnsi" w:cstheme="majorHAnsi"/>
          <w:sz w:val="18"/>
          <w:szCs w:val="20"/>
        </w:rPr>
      </w:pPr>
      <w:r w:rsidRPr="009402D8">
        <w:rPr>
          <w:rFonts w:asciiTheme="majorHAnsi" w:hAnsiTheme="majorHAnsi" w:cstheme="majorHAnsi"/>
          <w:sz w:val="18"/>
          <w:szCs w:val="20"/>
        </w:rPr>
        <w:lastRenderedPageBreak/>
        <w:t>-</w:t>
      </w:r>
      <w:r w:rsidRPr="009402D8">
        <w:rPr>
          <w:rFonts w:asciiTheme="majorHAnsi" w:hAnsiTheme="majorHAnsi" w:cstheme="majorHAnsi"/>
          <w:sz w:val="18"/>
          <w:szCs w:val="20"/>
        </w:rPr>
        <w:tab/>
        <w:t>přírodní rezervace 1171 Mydlovarský Luh</w:t>
      </w:r>
    </w:p>
    <w:p w14:paraId="1AF0DACA" w14:textId="77777777" w:rsidR="00E90389" w:rsidRPr="009402D8" w:rsidRDefault="00E90389" w:rsidP="00E90389">
      <w:pPr>
        <w:spacing w:after="60" w:line="240" w:lineRule="auto"/>
        <w:ind w:firstLine="709"/>
        <w:jc w:val="both"/>
        <w:rPr>
          <w:rFonts w:asciiTheme="majorHAnsi" w:hAnsiTheme="majorHAnsi" w:cstheme="majorHAnsi"/>
          <w:sz w:val="18"/>
          <w:szCs w:val="20"/>
        </w:rPr>
      </w:pPr>
      <w:r w:rsidRPr="009402D8">
        <w:rPr>
          <w:rFonts w:asciiTheme="majorHAnsi" w:hAnsiTheme="majorHAnsi" w:cstheme="majorHAnsi"/>
          <w:sz w:val="18"/>
          <w:szCs w:val="20"/>
        </w:rPr>
        <w:t>-</w:t>
      </w:r>
      <w:r w:rsidRPr="009402D8">
        <w:rPr>
          <w:rFonts w:asciiTheme="majorHAnsi" w:hAnsiTheme="majorHAnsi" w:cstheme="majorHAnsi"/>
          <w:sz w:val="18"/>
          <w:szCs w:val="20"/>
        </w:rPr>
        <w:tab/>
        <w:t>nadregionální biokoridor NK 10 Stříbrný roh – Polabský luh</w:t>
      </w:r>
    </w:p>
    <w:p w14:paraId="250641F0" w14:textId="2A54F81E" w:rsidR="00E90389" w:rsidRPr="009402D8" w:rsidRDefault="00E90389" w:rsidP="00E90389">
      <w:pPr>
        <w:spacing w:after="60" w:line="240" w:lineRule="auto"/>
        <w:ind w:firstLine="709"/>
        <w:jc w:val="both"/>
        <w:rPr>
          <w:rFonts w:asciiTheme="majorHAnsi" w:hAnsiTheme="majorHAnsi" w:cstheme="majorHAnsi"/>
          <w:sz w:val="18"/>
          <w:szCs w:val="20"/>
        </w:rPr>
      </w:pPr>
      <w:r w:rsidRPr="009402D8">
        <w:rPr>
          <w:rFonts w:asciiTheme="majorHAnsi" w:hAnsiTheme="majorHAnsi" w:cstheme="majorHAnsi"/>
          <w:sz w:val="18"/>
          <w:szCs w:val="20"/>
        </w:rPr>
        <w:t>-</w:t>
      </w:r>
      <w:r w:rsidRPr="009402D8">
        <w:rPr>
          <w:rFonts w:asciiTheme="majorHAnsi" w:hAnsiTheme="majorHAnsi" w:cstheme="majorHAnsi"/>
          <w:sz w:val="18"/>
          <w:szCs w:val="20"/>
        </w:rPr>
        <w:tab/>
        <w:t xml:space="preserve">regionální biocentrum RC 349 Niva Labe u </w:t>
      </w:r>
      <w:r w:rsidR="004C536A" w:rsidRPr="009402D8">
        <w:rPr>
          <w:rFonts w:asciiTheme="majorHAnsi" w:hAnsiTheme="majorHAnsi" w:cstheme="majorHAnsi"/>
          <w:sz w:val="18"/>
          <w:szCs w:val="20"/>
        </w:rPr>
        <w:t>Lysé nad Labem</w:t>
      </w:r>
    </w:p>
    <w:p w14:paraId="38A1CDD4" w14:textId="77777777" w:rsidR="00E90389" w:rsidRPr="009402D8" w:rsidRDefault="00E90389" w:rsidP="00C51B11">
      <w:pPr>
        <w:spacing w:before="120" w:after="120" w:line="240" w:lineRule="auto"/>
        <w:ind w:firstLine="709"/>
        <w:jc w:val="both"/>
        <w:rPr>
          <w:rFonts w:asciiTheme="majorHAnsi" w:hAnsiTheme="majorHAnsi" w:cstheme="majorHAnsi"/>
          <w:sz w:val="18"/>
          <w:szCs w:val="20"/>
        </w:rPr>
      </w:pPr>
      <w:r w:rsidRPr="009402D8">
        <w:rPr>
          <w:rFonts w:asciiTheme="majorHAnsi" w:hAnsiTheme="majorHAnsi" w:cstheme="majorHAnsi"/>
          <w:sz w:val="18"/>
          <w:szCs w:val="20"/>
        </w:rPr>
        <w:t>V širších územních souvislostech je významným přírodním a kompozičním prvkem území řeka Labe, jeden z nejvýznamnějších vodních toků na území ČR.</w:t>
      </w:r>
    </w:p>
    <w:p w14:paraId="2E71890B" w14:textId="5042634B" w:rsidR="00D9787E" w:rsidRPr="009402D8" w:rsidRDefault="009D25BC" w:rsidP="009D25BC">
      <w:pPr>
        <w:pStyle w:val="Atext"/>
        <w:rPr>
          <w:rFonts w:asciiTheme="majorHAnsi" w:hAnsiTheme="majorHAnsi" w:cstheme="majorHAnsi"/>
        </w:rPr>
      </w:pPr>
      <w:r w:rsidRPr="009402D8">
        <w:rPr>
          <w:rFonts w:asciiTheme="majorHAnsi" w:hAnsiTheme="majorHAnsi" w:cstheme="majorHAnsi"/>
        </w:rPr>
        <w:t>Vazby přírodních prvků nadmístního významu přesahující hranice řešeného území (</w:t>
      </w:r>
      <w:r w:rsidR="00496AB7" w:rsidRPr="009402D8">
        <w:rPr>
          <w:rFonts w:asciiTheme="majorHAnsi" w:hAnsiTheme="majorHAnsi" w:cstheme="majorHAnsi"/>
        </w:rPr>
        <w:t xml:space="preserve">zejména </w:t>
      </w:r>
      <w:r w:rsidRPr="009402D8">
        <w:rPr>
          <w:rFonts w:asciiTheme="majorHAnsi" w:hAnsiTheme="majorHAnsi" w:cstheme="majorHAnsi"/>
        </w:rPr>
        <w:t>vymezení prvků územního systému ekologické stability) jsou územním plánem koordinovány s platnou (vydanou dle zákona č. 183/2006 Sb.) územně plánovací dokumentací sousedních obcí</w:t>
      </w:r>
      <w:r w:rsidR="00C51B11" w:rsidRPr="009402D8">
        <w:rPr>
          <w:rFonts w:asciiTheme="majorHAnsi" w:hAnsiTheme="majorHAnsi" w:cstheme="majorHAnsi"/>
        </w:rPr>
        <w:t xml:space="preserve"> (podrobněji viz kapitola 2.2</w:t>
      </w:r>
      <w:r w:rsidR="00D9787E" w:rsidRPr="009402D8">
        <w:rPr>
          <w:rFonts w:asciiTheme="majorHAnsi" w:hAnsiTheme="majorHAnsi" w:cstheme="majorHAnsi"/>
        </w:rPr>
        <w:t xml:space="preserve">. </w:t>
      </w:r>
    </w:p>
    <w:p w14:paraId="408AB7EC" w14:textId="77777777" w:rsidR="00F41B08" w:rsidRPr="009402D8" w:rsidRDefault="00FC425E" w:rsidP="0068493C">
      <w:pPr>
        <w:pStyle w:val="Odstavecseseznamem"/>
        <w:keepNext/>
        <w:keepLines/>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35" w:name="_Toc204678167"/>
      <w:r w:rsidRPr="009402D8">
        <w:rPr>
          <w:rFonts w:asciiTheme="majorHAnsi" w:hAnsiTheme="majorHAnsi" w:cstheme="majorHAnsi"/>
          <w:b/>
          <w:sz w:val="24"/>
          <w:szCs w:val="28"/>
        </w:rPr>
        <w:t xml:space="preserve">VYHODNOCENÍ </w:t>
      </w:r>
      <w:r w:rsidR="00370603" w:rsidRPr="009402D8">
        <w:rPr>
          <w:rFonts w:asciiTheme="majorHAnsi" w:hAnsiTheme="majorHAnsi" w:cstheme="majorHAnsi"/>
          <w:b/>
          <w:sz w:val="24"/>
          <w:szCs w:val="28"/>
        </w:rPr>
        <w:t>SOULAD</w:t>
      </w:r>
      <w:r w:rsidRPr="009402D8">
        <w:rPr>
          <w:rFonts w:asciiTheme="majorHAnsi" w:hAnsiTheme="majorHAnsi" w:cstheme="majorHAnsi"/>
          <w:b/>
          <w:sz w:val="24"/>
          <w:szCs w:val="28"/>
        </w:rPr>
        <w:t>U</w:t>
      </w:r>
      <w:r w:rsidR="00370603" w:rsidRPr="009402D8">
        <w:rPr>
          <w:rFonts w:asciiTheme="majorHAnsi" w:hAnsiTheme="majorHAnsi" w:cstheme="majorHAnsi"/>
          <w:b/>
          <w:sz w:val="24"/>
          <w:szCs w:val="28"/>
        </w:rPr>
        <w:t xml:space="preserve"> ÚZEMNÍHO PLÁNU S POLITIKOU ÚZEMNÍHO ROZVOJE A</w:t>
      </w:r>
      <w:r w:rsidRPr="009402D8">
        <w:rPr>
          <w:rFonts w:asciiTheme="majorHAnsi" w:hAnsiTheme="majorHAnsi" w:cstheme="majorHAnsi"/>
          <w:b/>
          <w:sz w:val="24"/>
          <w:szCs w:val="28"/>
        </w:rPr>
        <w:t> </w:t>
      </w:r>
      <w:r w:rsidR="00370603" w:rsidRPr="009402D8">
        <w:rPr>
          <w:rFonts w:asciiTheme="majorHAnsi" w:hAnsiTheme="majorHAnsi" w:cstheme="majorHAnsi"/>
          <w:b/>
          <w:sz w:val="24"/>
          <w:szCs w:val="28"/>
        </w:rPr>
        <w:t>ÚZEMNĚ PLÁNOVACÍ DOKUMENTACÍ VYDANOU KRAJEM</w:t>
      </w:r>
      <w:bookmarkEnd w:id="35"/>
    </w:p>
    <w:p w14:paraId="24BEB4D3" w14:textId="77777777" w:rsidR="00370603" w:rsidRPr="009402D8" w:rsidRDefault="003B72F5" w:rsidP="0068493C">
      <w:pPr>
        <w:keepNext/>
        <w:keepLines/>
        <w:spacing w:after="120" w:line="240" w:lineRule="auto"/>
        <w:ind w:left="709"/>
        <w:rPr>
          <w:rFonts w:asciiTheme="majorHAnsi" w:hAnsiTheme="majorHAnsi" w:cstheme="majorHAnsi"/>
          <w:i/>
          <w:sz w:val="18"/>
          <w:szCs w:val="20"/>
        </w:rPr>
      </w:pPr>
      <w:r w:rsidRPr="009402D8">
        <w:rPr>
          <w:rFonts w:asciiTheme="majorHAnsi" w:hAnsiTheme="majorHAnsi" w:cstheme="majorHAnsi"/>
          <w:i/>
          <w:sz w:val="18"/>
          <w:szCs w:val="20"/>
        </w:rPr>
        <w:t>Zákon č. 183/2006 Sb., o územním plánování a stavebním řádu (stavební zákon), ve znění pozdějších předpisů (dále jen „Zákon č. 183/2006 Sb.“), § 53, odst. 4 a)</w:t>
      </w:r>
    </w:p>
    <w:p w14:paraId="432BBF32" w14:textId="77777777" w:rsidR="003B72F5" w:rsidRPr="009402D8" w:rsidRDefault="003B72F5" w:rsidP="0068493C">
      <w:pPr>
        <w:keepNext/>
        <w:keepLines/>
        <w:spacing w:after="120" w:line="240" w:lineRule="auto"/>
        <w:ind w:firstLine="709"/>
        <w:rPr>
          <w:rFonts w:asciiTheme="majorHAnsi" w:hAnsiTheme="majorHAnsi" w:cstheme="majorHAnsi"/>
          <w:b/>
          <w:i/>
          <w:sz w:val="18"/>
          <w:szCs w:val="20"/>
        </w:rPr>
      </w:pPr>
      <w:r w:rsidRPr="009402D8">
        <w:rPr>
          <w:rFonts w:asciiTheme="majorHAnsi" w:hAnsiTheme="majorHAnsi" w:cstheme="majorHAnsi"/>
          <w:b/>
          <w:i/>
          <w:sz w:val="18"/>
          <w:szCs w:val="20"/>
        </w:rPr>
        <w:t>Zpracovává projektant.</w:t>
      </w:r>
    </w:p>
    <w:p w14:paraId="580452C6" w14:textId="77777777" w:rsidR="00257A6D" w:rsidRPr="009402D8" w:rsidRDefault="00257A6D" w:rsidP="00257A6D">
      <w:pPr>
        <w:pStyle w:val="Odstavecseseznamem"/>
        <w:keepNext/>
        <w:numPr>
          <w:ilvl w:val="1"/>
          <w:numId w:val="20"/>
        </w:numPr>
        <w:spacing w:before="160" w:after="120" w:line="240" w:lineRule="auto"/>
        <w:ind w:left="709" w:hanging="709"/>
        <w:contextualSpacing w:val="0"/>
        <w:outlineLvl w:val="1"/>
        <w:rPr>
          <w:rFonts w:asciiTheme="majorHAnsi" w:hAnsiTheme="majorHAnsi" w:cstheme="majorHAnsi"/>
          <w:b/>
          <w:sz w:val="24"/>
          <w:szCs w:val="20"/>
        </w:rPr>
      </w:pPr>
      <w:bookmarkStart w:id="36" w:name="_Toc415755940"/>
      <w:bookmarkStart w:id="37" w:name="_Toc415756306"/>
      <w:bookmarkStart w:id="38" w:name="_Toc415756665"/>
      <w:bookmarkStart w:id="39" w:name="_Toc415756915"/>
      <w:bookmarkStart w:id="40" w:name="_Toc415757165"/>
      <w:bookmarkStart w:id="41" w:name="_Toc415757414"/>
      <w:bookmarkStart w:id="42" w:name="_Toc415757572"/>
      <w:bookmarkStart w:id="43" w:name="_Toc424050098"/>
      <w:bookmarkStart w:id="44" w:name="_Toc424050272"/>
      <w:bookmarkStart w:id="45" w:name="_Toc424050430"/>
      <w:bookmarkStart w:id="46" w:name="_Toc424112292"/>
      <w:bookmarkStart w:id="47" w:name="_Toc424119316"/>
      <w:bookmarkStart w:id="48" w:name="_Toc424119796"/>
      <w:bookmarkStart w:id="49" w:name="_Toc424120052"/>
      <w:bookmarkStart w:id="50" w:name="_Toc424120478"/>
      <w:bookmarkStart w:id="51" w:name="_Toc424126184"/>
      <w:bookmarkStart w:id="52" w:name="_Toc424138765"/>
      <w:bookmarkStart w:id="53" w:name="_Toc445291880"/>
      <w:bookmarkStart w:id="54" w:name="_Toc445910393"/>
      <w:bookmarkStart w:id="55" w:name="_Toc448831872"/>
      <w:bookmarkStart w:id="56" w:name="_Toc448832062"/>
      <w:bookmarkStart w:id="57" w:name="_Toc450037722"/>
      <w:bookmarkStart w:id="58" w:name="_Toc450223016"/>
      <w:bookmarkStart w:id="59" w:name="_Toc472325667"/>
      <w:bookmarkStart w:id="60" w:name="_Toc485214877"/>
      <w:bookmarkStart w:id="61" w:name="_Toc485378031"/>
      <w:bookmarkStart w:id="62" w:name="_Toc485378154"/>
      <w:bookmarkStart w:id="63" w:name="_Toc204678168"/>
      <w:bookmarkStart w:id="64" w:name="_Toc424119797"/>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r w:rsidRPr="009402D8">
        <w:rPr>
          <w:rFonts w:asciiTheme="majorHAnsi" w:hAnsiTheme="majorHAnsi" w:cstheme="majorHAnsi"/>
          <w:b/>
          <w:sz w:val="24"/>
          <w:szCs w:val="20"/>
        </w:rPr>
        <w:t>Vyhodnocení souladu územního plánu s Politikou územního rozvoje</w:t>
      </w:r>
      <w:bookmarkEnd w:id="63"/>
    </w:p>
    <w:p w14:paraId="48265807" w14:textId="2760E043" w:rsidR="0068493C" w:rsidRPr="006070EA" w:rsidRDefault="0068493C" w:rsidP="0068493C">
      <w:pPr>
        <w:keepNext/>
        <w:keepLines/>
        <w:spacing w:before="120" w:after="60" w:line="240" w:lineRule="auto"/>
        <w:ind w:firstLine="709"/>
        <w:jc w:val="both"/>
        <w:rPr>
          <w:rFonts w:asciiTheme="majorHAnsi" w:hAnsiTheme="majorHAnsi" w:cstheme="majorHAnsi"/>
          <w:sz w:val="18"/>
          <w:szCs w:val="18"/>
        </w:rPr>
      </w:pPr>
      <w:r w:rsidRPr="009402D8">
        <w:rPr>
          <w:rFonts w:asciiTheme="majorHAnsi" w:hAnsiTheme="majorHAnsi" w:cstheme="majorHAnsi"/>
          <w:sz w:val="18"/>
          <w:szCs w:val="18"/>
        </w:rPr>
        <w:t xml:space="preserve">Územní plán Kostomlaty nad Labem </w:t>
      </w:r>
      <w:r w:rsidR="008F08A8" w:rsidRPr="009402D8">
        <w:rPr>
          <w:rFonts w:asciiTheme="majorHAnsi" w:hAnsiTheme="majorHAnsi" w:cstheme="majorHAnsi"/>
          <w:sz w:val="18"/>
          <w:szCs w:val="18"/>
        </w:rPr>
        <w:t>je zpracován v souladu s Politikou územního rozvoje České republiky, ve znění Aktualizací č. 1, 2, 3, 4, 5, 6</w:t>
      </w:r>
      <w:r w:rsidR="00F46326">
        <w:rPr>
          <w:rFonts w:asciiTheme="majorHAnsi" w:hAnsiTheme="majorHAnsi" w:cstheme="majorHAnsi"/>
          <w:sz w:val="18"/>
          <w:szCs w:val="18"/>
        </w:rPr>
        <w:t>,</w:t>
      </w:r>
      <w:r w:rsidR="008F08A8" w:rsidRPr="009402D8">
        <w:rPr>
          <w:rFonts w:asciiTheme="majorHAnsi" w:hAnsiTheme="majorHAnsi" w:cstheme="majorHAnsi"/>
          <w:sz w:val="18"/>
          <w:szCs w:val="18"/>
        </w:rPr>
        <w:t xml:space="preserve"> 7</w:t>
      </w:r>
      <w:r w:rsidR="00F46326">
        <w:rPr>
          <w:rFonts w:asciiTheme="majorHAnsi" w:hAnsiTheme="majorHAnsi" w:cstheme="majorHAnsi"/>
          <w:sz w:val="18"/>
          <w:szCs w:val="18"/>
        </w:rPr>
        <w:t xml:space="preserve"> a Změny č. 9</w:t>
      </w:r>
      <w:r w:rsidR="008F08A8" w:rsidRPr="009402D8">
        <w:rPr>
          <w:rFonts w:asciiTheme="majorHAnsi" w:hAnsiTheme="majorHAnsi" w:cstheme="majorHAnsi"/>
          <w:sz w:val="18"/>
          <w:szCs w:val="18"/>
        </w:rPr>
        <w:t xml:space="preserve"> (dále také jen „PÚR ČR“). Vyhodnocení souladu je provedeno ve vztahu k jednotlivým požadavkům</w:t>
      </w:r>
      <w:r w:rsidRPr="009402D8">
        <w:rPr>
          <w:rFonts w:asciiTheme="majorHAnsi" w:hAnsiTheme="majorHAnsi" w:cstheme="majorHAnsi"/>
          <w:sz w:val="18"/>
          <w:szCs w:val="18"/>
        </w:rPr>
        <w:t>.</w:t>
      </w:r>
      <w:r w:rsidRPr="006070EA">
        <w:rPr>
          <w:rFonts w:asciiTheme="majorHAnsi" w:hAnsiTheme="majorHAnsi" w:cstheme="majorHAnsi"/>
          <w:sz w:val="18"/>
          <w:szCs w:val="18"/>
        </w:rPr>
        <w:t xml:space="preserve"> </w:t>
      </w:r>
    </w:p>
    <w:p w14:paraId="020BE115" w14:textId="2D7F36B4" w:rsidR="0068493C" w:rsidRPr="006070EA" w:rsidRDefault="0068493C" w:rsidP="0068493C">
      <w:pPr>
        <w:spacing w:before="120"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Z PÚR ČR vyplývají pro řešené území konkrétní záměry a nároky. Obec neleží v rozvojové oblasti ani v rozvojové ose republikového významu, její území je dotčeno </w:t>
      </w:r>
      <w:r w:rsidRPr="006070EA">
        <w:rPr>
          <w:rFonts w:asciiTheme="majorHAnsi" w:hAnsiTheme="majorHAnsi" w:cstheme="majorHAnsi"/>
          <w:b/>
          <w:bCs/>
          <w:sz w:val="18"/>
          <w:szCs w:val="18"/>
        </w:rPr>
        <w:t>koridorem vodní dopravy VD1</w:t>
      </w:r>
      <w:r w:rsidRPr="006070EA">
        <w:rPr>
          <w:rFonts w:asciiTheme="majorHAnsi" w:hAnsiTheme="majorHAnsi" w:cstheme="majorHAnsi"/>
          <w:sz w:val="18"/>
          <w:szCs w:val="18"/>
        </w:rPr>
        <w:t xml:space="preserve"> – zabezpečení splavnosti Labe v úseku Pardubice – hranice ČR/Německo </w:t>
      </w:r>
      <w:r w:rsidR="00404149" w:rsidRPr="006070EA">
        <w:rPr>
          <w:rFonts w:asciiTheme="majorHAnsi" w:hAnsiTheme="majorHAnsi" w:cstheme="majorHAnsi"/>
          <w:sz w:val="18"/>
          <w:szCs w:val="18"/>
        </w:rPr>
        <w:t>–</w:t>
      </w:r>
      <w:r w:rsidRPr="006070EA">
        <w:rPr>
          <w:rFonts w:asciiTheme="majorHAnsi" w:hAnsiTheme="majorHAnsi" w:cstheme="majorHAnsi"/>
          <w:sz w:val="18"/>
          <w:szCs w:val="18"/>
        </w:rPr>
        <w:t xml:space="preserve"> Dresden, vymezenými v PÚR ČR. Obec leží ve </w:t>
      </w:r>
      <w:r w:rsidRPr="006070EA">
        <w:rPr>
          <w:rFonts w:asciiTheme="majorHAnsi" w:hAnsiTheme="majorHAnsi" w:cstheme="majorHAnsi"/>
          <w:b/>
          <w:bCs/>
          <w:sz w:val="18"/>
          <w:szCs w:val="18"/>
        </w:rPr>
        <w:t>Specifické oblasti, ve které se projevuje aktuální problém ohrožení území suchem (SOB9)</w:t>
      </w:r>
      <w:r w:rsidRPr="006070EA">
        <w:rPr>
          <w:rFonts w:asciiTheme="majorHAnsi" w:hAnsiTheme="majorHAnsi" w:cstheme="majorHAnsi"/>
          <w:sz w:val="18"/>
          <w:szCs w:val="18"/>
        </w:rPr>
        <w:t>.</w:t>
      </w:r>
    </w:p>
    <w:p w14:paraId="1CC6A29F" w14:textId="243D2BDB" w:rsidR="0068493C" w:rsidRPr="006070EA" w:rsidRDefault="0068493C" w:rsidP="0068493C">
      <w:pPr>
        <w:spacing w:before="120"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Územní plán Kostomlaty nad Labem respektuje obecné zásady PÚR ČR (kapitola 2), vytváří podmínky pro naplnění jejích cílů a je v souladu s republikovými prioritami územního plánování pro zajištění udržitelného rozvoje území. Pro správní území obce Kostomlaty nad Labem vyplývá v souladu se Zadáním ÚP nutnost zohlednění zejména následujících bodů </w:t>
      </w:r>
      <w:r w:rsidRPr="006070EA">
        <w:rPr>
          <w:rFonts w:asciiTheme="majorHAnsi" w:hAnsiTheme="majorHAnsi" w:cstheme="majorHAnsi"/>
          <w:b/>
          <w:sz w:val="18"/>
          <w:szCs w:val="18"/>
        </w:rPr>
        <w:t>republikových priorit</w:t>
      </w:r>
      <w:r w:rsidRPr="006070EA">
        <w:rPr>
          <w:rFonts w:asciiTheme="majorHAnsi" w:hAnsiTheme="majorHAnsi" w:cstheme="majorHAnsi"/>
          <w:sz w:val="18"/>
          <w:szCs w:val="18"/>
        </w:rPr>
        <w:t>:</w:t>
      </w:r>
    </w:p>
    <w:p w14:paraId="0B5965E4" w14:textId="77777777" w:rsidR="0068493C" w:rsidRPr="006070EA" w:rsidRDefault="0068493C" w:rsidP="0068493C">
      <w:pPr>
        <w:spacing w:before="120" w:after="60" w:line="240" w:lineRule="auto"/>
        <w:ind w:firstLine="703"/>
        <w:jc w:val="both"/>
        <w:rPr>
          <w:rFonts w:asciiTheme="majorHAnsi" w:hAnsiTheme="majorHAnsi" w:cstheme="majorHAnsi"/>
          <w:sz w:val="18"/>
          <w:szCs w:val="18"/>
        </w:rPr>
      </w:pPr>
      <w:r w:rsidRPr="006070EA">
        <w:rPr>
          <w:rFonts w:asciiTheme="majorHAnsi" w:hAnsiTheme="majorHAnsi" w:cstheme="majorHAnsi"/>
          <w:sz w:val="18"/>
          <w:szCs w:val="18"/>
        </w:rPr>
        <w:t>(citace z PÚR ČR je uvedena kurzívou a redukována pouze na relevantní požadavky pro řešené území dle Zadání ÚP Kostomlaty nad Labem)</w:t>
      </w:r>
    </w:p>
    <w:p w14:paraId="7FA681D0" w14:textId="77777777" w:rsidR="0068493C" w:rsidRPr="006070EA" w:rsidRDefault="0068493C" w:rsidP="0068493C">
      <w:pPr>
        <w:spacing w:after="60" w:line="240" w:lineRule="auto"/>
        <w:ind w:left="703" w:hanging="703"/>
        <w:jc w:val="both"/>
        <w:rPr>
          <w:rFonts w:asciiTheme="majorHAnsi" w:hAnsiTheme="majorHAnsi" w:cstheme="majorHAnsi"/>
          <w:i/>
          <w:sz w:val="18"/>
          <w:szCs w:val="18"/>
        </w:rPr>
      </w:pPr>
      <w:r w:rsidRPr="006070EA">
        <w:rPr>
          <w:rFonts w:asciiTheme="majorHAnsi" w:hAnsiTheme="majorHAnsi" w:cstheme="majorHAnsi"/>
          <w:sz w:val="18"/>
          <w:szCs w:val="18"/>
        </w:rPr>
        <w:t xml:space="preserve">(14) </w:t>
      </w:r>
      <w:r w:rsidRPr="006070EA">
        <w:rPr>
          <w:rFonts w:asciiTheme="majorHAnsi" w:hAnsiTheme="majorHAnsi" w:cstheme="majorHAnsi"/>
          <w:sz w:val="18"/>
          <w:szCs w:val="18"/>
        </w:rPr>
        <w:tab/>
      </w:r>
      <w:r w:rsidRPr="006070EA">
        <w:rPr>
          <w:rFonts w:asciiTheme="majorHAnsi" w:hAnsiTheme="majorHAnsi" w:cstheme="majorHAnsi"/>
          <w:i/>
          <w:sz w:val="18"/>
          <w:szCs w:val="18"/>
        </w:rPr>
        <w:t>Ve veřejném zájmu chránit a 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 Jejich ochrana by měla být provázána s potřebami ekonomického a sociálního rozvoje v souladu s principy udržitelného rozvoje. V některých případech je nutná cílená ochrana míst zvláštního zájmu, v jiných případech je třeba chránit, respektive obnovit celé krajinné celky. Krajina je živým v čase proměnným celkem, který vyžaduje tvůrčí, avšak citlivý přístup k vyváženému všestrannému rozvoji tak, aby byly zachovány její stěžejní kulturní, přírodní a užitné hodnoty.</w:t>
      </w:r>
    </w:p>
    <w:p w14:paraId="31CF0C4A" w14:textId="720C318C" w:rsidR="0068493C" w:rsidRPr="006070EA" w:rsidRDefault="0068493C" w:rsidP="0068493C">
      <w:pPr>
        <w:pStyle w:val="Mra2-reakceern"/>
        <w:keepLines/>
        <w:rPr>
          <w:rFonts w:asciiTheme="majorHAnsi" w:hAnsiTheme="majorHAnsi" w:cstheme="majorHAnsi"/>
          <w:color w:val="auto"/>
        </w:rPr>
      </w:pPr>
      <w:r w:rsidRPr="006070EA">
        <w:rPr>
          <w:rFonts w:asciiTheme="majorHAnsi" w:hAnsiTheme="majorHAnsi" w:cstheme="majorHAnsi"/>
          <w:color w:val="auto"/>
        </w:rPr>
        <w:t>ÚP Kostomlaty nad Labem vytváří podmínky pro ochranu a rozvoj hodnot území. Návrh urbanistické koncepce vychází ze stabilizované historicky vytvořené struktury obce. Stávající struktura osídlení je respektována a dále rozvíjena. Zastavitelné plochy jsou vymezovány v přímé vazbě na zastavěné území, provozované a plánované systémy technické a dopravní infrastruktury a s ohledem na specifický krajinný ráz. Podmínky využívání jednotlivých ploch s rozdílným způsobem využití respektují estetickou hodnotu území spočívající v harmonickém uspořádání přírodních a civilizačních prvků. V souladu s principy udržitelného rozvoje jsou vymezeny funkce umožňující vyvážený rozvoj sociálních a ekonomických potřeb a současně ochranu hodnot území.</w:t>
      </w:r>
    </w:p>
    <w:p w14:paraId="6F1732F2" w14:textId="77777777" w:rsidR="0068493C" w:rsidRPr="006070EA" w:rsidRDefault="0068493C" w:rsidP="0068493C">
      <w:pPr>
        <w:pStyle w:val="Atextkurzva"/>
        <w:ind w:left="709" w:hanging="709"/>
        <w:rPr>
          <w:rFonts w:asciiTheme="majorHAnsi" w:eastAsia="Calibri" w:hAnsiTheme="majorHAnsi" w:cstheme="majorHAnsi"/>
          <w:lang w:eastAsia="en-US"/>
        </w:rPr>
      </w:pPr>
      <w:r w:rsidRPr="006070EA">
        <w:rPr>
          <w:rFonts w:asciiTheme="majorHAnsi" w:eastAsiaTheme="minorHAnsi" w:hAnsiTheme="majorHAnsi" w:cstheme="majorHAnsi"/>
          <w:i w:val="0"/>
          <w:iCs/>
          <w:szCs w:val="18"/>
          <w:lang w:eastAsia="en-US"/>
        </w:rPr>
        <w:t>(15)</w:t>
      </w:r>
      <w:r w:rsidRPr="006070EA">
        <w:rPr>
          <w:rFonts w:asciiTheme="majorHAnsi" w:eastAsiaTheme="minorHAnsi" w:hAnsiTheme="majorHAnsi" w:cstheme="majorHAnsi"/>
          <w:szCs w:val="18"/>
          <w:lang w:eastAsia="en-US"/>
        </w:rPr>
        <w:tab/>
        <w:t>Předcházet při změnách nebo vytváření urbánního prostředí prostorově sociální segregaci s negativními vlivy na sociální soudržnost obyvatel.</w:t>
      </w:r>
      <w:r w:rsidRPr="006070EA">
        <w:rPr>
          <w:rFonts w:asciiTheme="majorHAnsi" w:eastAsia="Calibri" w:hAnsiTheme="majorHAnsi" w:cstheme="majorHAnsi"/>
          <w:lang w:eastAsia="en-US"/>
        </w:rPr>
        <w:tab/>
      </w:r>
    </w:p>
    <w:p w14:paraId="680A535D" w14:textId="77777777" w:rsidR="0068493C" w:rsidRPr="006070EA" w:rsidRDefault="0068493C" w:rsidP="0068493C">
      <w:pPr>
        <w:pStyle w:val="Mra2-reakceern"/>
        <w:keepLines/>
        <w:rPr>
          <w:rFonts w:asciiTheme="majorHAnsi" w:hAnsiTheme="majorHAnsi" w:cstheme="majorHAnsi"/>
          <w:color w:val="auto"/>
        </w:rPr>
      </w:pPr>
      <w:r w:rsidRPr="006070EA">
        <w:rPr>
          <w:rFonts w:asciiTheme="majorHAnsi" w:hAnsiTheme="majorHAnsi" w:cstheme="majorHAnsi"/>
          <w:color w:val="auto"/>
        </w:rPr>
        <w:t>Rozvojové plochy jsou lokalizovány v návaznosti na stávající zástavbu. Systém místních komunikací propojuje rozvojové plochy se stávající zástavbou a plochami veřejných prostranství. Územní plán dále vytváří podmínky pro rozvoj občanské vybavenosti, kterou je možné realizovat i v rámci ploch bydlení (BI, BH) či smíšených obytných (SV, SM), čímž rovněž přispívá ke snížení míry sociální segregace.</w:t>
      </w:r>
    </w:p>
    <w:p w14:paraId="6F2D14E3" w14:textId="77777777" w:rsidR="0068493C" w:rsidRPr="006070EA" w:rsidRDefault="0068493C" w:rsidP="0068493C">
      <w:pPr>
        <w:pStyle w:val="Mra2-reakceern"/>
        <w:keepLines/>
        <w:ind w:firstLine="709"/>
        <w:rPr>
          <w:rFonts w:asciiTheme="majorHAnsi" w:hAnsiTheme="majorHAnsi" w:cstheme="majorHAnsi"/>
        </w:rPr>
      </w:pPr>
      <w:r w:rsidRPr="006070EA">
        <w:rPr>
          <w:rFonts w:asciiTheme="majorHAnsi" w:hAnsiTheme="majorHAnsi" w:cstheme="majorHAnsi"/>
          <w:color w:val="auto"/>
        </w:rPr>
        <w:t>V řešení ÚP je dominantním koncepčním principem zachování a dotváření kompaktnosti sídel. Ve volné krajině naopak nejsou vymezovány žádné samostatné obytné komplexy nebo soubory, které zpravidla utvářejí tzv. „gated communities,“ tedy nepřístupné obytné celky sociálně a prostorově izolované od ostatní zástavby a obyvatel obce. Rozvoj izolovaných sídelních enkláv je v rámci obecné urbanistické koncepce vyloučen.</w:t>
      </w:r>
    </w:p>
    <w:p w14:paraId="2F873D34" w14:textId="77777777" w:rsidR="0068493C" w:rsidRPr="006070EA" w:rsidRDefault="0068493C" w:rsidP="0068493C">
      <w:pPr>
        <w:pStyle w:val="Atextkurzva"/>
        <w:ind w:left="709" w:hanging="709"/>
        <w:rPr>
          <w:rFonts w:asciiTheme="majorHAnsi" w:eastAsia="Calibri" w:hAnsiTheme="majorHAnsi" w:cstheme="majorHAnsi"/>
          <w:lang w:eastAsia="en-US"/>
        </w:rPr>
      </w:pPr>
      <w:r w:rsidRPr="006070EA">
        <w:rPr>
          <w:rFonts w:asciiTheme="majorHAnsi" w:eastAsia="Calibri" w:hAnsiTheme="majorHAnsi" w:cstheme="majorHAnsi"/>
          <w:i w:val="0"/>
          <w:iCs/>
          <w:lang w:eastAsia="en-US"/>
        </w:rPr>
        <w:lastRenderedPageBreak/>
        <w:t>(16)</w:t>
      </w:r>
      <w:r w:rsidRPr="006070EA">
        <w:rPr>
          <w:rFonts w:asciiTheme="majorHAnsi" w:eastAsia="Calibri" w:hAnsiTheme="majorHAnsi" w:cstheme="majorHAnsi"/>
          <w:lang w:eastAsia="en-US"/>
        </w:rPr>
        <w:t xml:space="preserve"> </w:t>
      </w:r>
      <w:r w:rsidRPr="006070EA">
        <w:rPr>
          <w:rFonts w:asciiTheme="majorHAnsi" w:eastAsia="Calibri" w:hAnsiTheme="majorHAnsi" w:cstheme="majorHAnsi"/>
          <w:lang w:eastAsia="en-US"/>
        </w:rPr>
        <w:tab/>
      </w:r>
      <w:r w:rsidRPr="006070EA">
        <w:rPr>
          <w:rFonts w:asciiTheme="majorHAnsi" w:eastAsiaTheme="minorHAnsi" w:hAnsiTheme="majorHAnsi" w:cstheme="majorHAnsi"/>
          <w:szCs w:val="18"/>
          <w:lang w:eastAsia="en-US"/>
        </w:rPr>
        <w:t>Při stanovování způsobu využití území v územně plánovací dokumentaci upřednostnit komplexní řešení před uplatňováním jednostranných hledisek a požadavků, které ve svých důsledcích zhoršují stav i hodnoty území. Vhodná řešení územního rozvoje je zapotřebí hledat ve spolupráci s obyvateli území i s jeho uživateli a v souladu s určením a charakterem oblastí, os, ploch a koridorů vymezených v PÚR ČR.</w:t>
      </w:r>
    </w:p>
    <w:p w14:paraId="7243CDBA" w14:textId="49EF0B33" w:rsidR="0068493C" w:rsidRPr="006070EA" w:rsidRDefault="0068493C" w:rsidP="0068493C">
      <w:pPr>
        <w:pStyle w:val="Mra2-reakceern"/>
        <w:keepLines/>
        <w:rPr>
          <w:rFonts w:asciiTheme="majorHAnsi" w:hAnsiTheme="majorHAnsi" w:cstheme="majorHAnsi"/>
          <w:color w:val="auto"/>
        </w:rPr>
      </w:pPr>
      <w:r w:rsidRPr="006070EA">
        <w:rPr>
          <w:rFonts w:asciiTheme="majorHAnsi" w:hAnsiTheme="majorHAnsi" w:cstheme="majorHAnsi"/>
          <w:color w:val="auto"/>
        </w:rPr>
        <w:t>Územní plán vychází ze stávajícího optimálního rozložení všech funkčních složek v území. Primární funkci v</w:t>
      </w:r>
      <w:r w:rsidR="00404149" w:rsidRPr="006070EA">
        <w:rPr>
          <w:rFonts w:asciiTheme="majorHAnsi" w:hAnsiTheme="majorHAnsi" w:cstheme="majorHAnsi"/>
          <w:color w:val="auto"/>
        </w:rPr>
        <w:t> </w:t>
      </w:r>
      <w:r w:rsidRPr="006070EA">
        <w:rPr>
          <w:rFonts w:asciiTheme="majorHAnsi" w:hAnsiTheme="majorHAnsi" w:cstheme="majorHAnsi"/>
          <w:color w:val="auto"/>
        </w:rPr>
        <w:t xml:space="preserve">urbanizovaném území představují plochy smíšené obytné a plochy bydlení. Tyto plochy umožňují integraci bydlení, rekreace, občanského vybavení případně nerušící výroby. Vymezením stabilizovaných ploch občanského vybavení jsou vytvořeny podmínky pro jejich ochranu ve struktuře sídla a případný kvalitativní rozvoj. </w:t>
      </w:r>
    </w:p>
    <w:p w14:paraId="2E38509B" w14:textId="77777777" w:rsidR="0068493C" w:rsidRPr="006070EA" w:rsidRDefault="0068493C" w:rsidP="0068493C">
      <w:pPr>
        <w:pStyle w:val="Mra2-reakceern"/>
        <w:keepLines/>
        <w:ind w:firstLine="709"/>
        <w:rPr>
          <w:rFonts w:asciiTheme="majorHAnsi" w:hAnsiTheme="majorHAnsi" w:cstheme="majorHAnsi"/>
          <w:color w:val="auto"/>
        </w:rPr>
      </w:pPr>
      <w:r w:rsidRPr="006070EA">
        <w:rPr>
          <w:rFonts w:asciiTheme="majorHAnsi" w:hAnsiTheme="majorHAnsi" w:cstheme="majorHAnsi"/>
          <w:color w:val="auto"/>
        </w:rPr>
        <w:t xml:space="preserve">Jedním ze základních principů tvorby územního plánu je komunikace nejen s městem a dotčenými orgány, ale také s širší veřejností. V rámci přípravy zadání ÚP byly shromážděny jednotlivé podněty a požadavky vlastníků pozemků a městské samosprávy na změny v území, které byly v rámci zpracování návrhu ÚP vyhodnoceny a případně zapracovány. Při stanovování způsobu využití území byla upřednostněna komplexní řešení před parciálními zájmy – v tomto smyslu byly do koncepce řešení nového ÚP převzaty pouze koncepční a odůvodněné principy řešení stávající ÚPD. </w:t>
      </w:r>
    </w:p>
    <w:p w14:paraId="417923D9" w14:textId="1849EEF3" w:rsidR="0068493C" w:rsidRPr="006070EA" w:rsidRDefault="0068493C" w:rsidP="0068493C">
      <w:pPr>
        <w:pStyle w:val="Mra2-reakceern"/>
        <w:keepLines/>
        <w:ind w:firstLine="709"/>
        <w:rPr>
          <w:rFonts w:asciiTheme="majorHAnsi" w:hAnsiTheme="majorHAnsi" w:cstheme="majorHAnsi"/>
          <w:color w:val="auto"/>
        </w:rPr>
      </w:pPr>
      <w:r w:rsidRPr="006070EA">
        <w:rPr>
          <w:rFonts w:asciiTheme="majorHAnsi" w:hAnsiTheme="majorHAnsi" w:cstheme="majorHAnsi"/>
          <w:color w:val="auto"/>
        </w:rPr>
        <w:t>S ohledem na ochranu hodnot území, současný stav a podmínky v území, jeho rozvojové předpoklady, význam a pozici města v sídelní struktuře, limity využití území a nadřazenou územně plánovací dokumentaci byl stanoven optimální způsob využití území a rozsah zastavitelných ploch. Základní body koncepce byly formulovány ve spolupráci s představiteli samosprávy města.</w:t>
      </w:r>
    </w:p>
    <w:p w14:paraId="5F6117FE" w14:textId="016FA980" w:rsidR="0068493C" w:rsidRPr="006070EA" w:rsidRDefault="0068493C" w:rsidP="0068493C">
      <w:pPr>
        <w:pStyle w:val="Mra2-reakceern"/>
        <w:keepLines/>
        <w:ind w:firstLine="709"/>
        <w:rPr>
          <w:rFonts w:asciiTheme="majorHAnsi" w:hAnsiTheme="majorHAnsi" w:cstheme="majorHAnsi"/>
        </w:rPr>
      </w:pPr>
      <w:r w:rsidRPr="006070EA">
        <w:rPr>
          <w:rFonts w:asciiTheme="majorHAnsi" w:hAnsiTheme="majorHAnsi" w:cstheme="majorHAnsi"/>
          <w:color w:val="auto"/>
        </w:rPr>
        <w:t>V rámci koncepce ochrany a rozvoje hodnot jsou respektovány hodnoty vymezené v podkladech pro rozbor udržitelného rozvoje (v rámci ÚAP SO ORP Nymburk) a další hodnoty území identifikované na základě interních průzkumů a rozborů zpracovatele se zohledněním zvyšování kvality života obyvatel a hospodářského rozvoje území.</w:t>
      </w:r>
    </w:p>
    <w:p w14:paraId="2AE25526" w14:textId="77777777" w:rsidR="0068493C" w:rsidRPr="006070EA" w:rsidRDefault="0068493C" w:rsidP="0068493C">
      <w:pPr>
        <w:spacing w:before="120" w:after="60" w:line="240" w:lineRule="auto"/>
        <w:ind w:left="703" w:hanging="703"/>
        <w:jc w:val="both"/>
        <w:rPr>
          <w:rFonts w:asciiTheme="majorHAnsi" w:hAnsiTheme="majorHAnsi" w:cstheme="majorHAnsi"/>
          <w:i/>
          <w:sz w:val="18"/>
          <w:szCs w:val="18"/>
        </w:rPr>
      </w:pPr>
      <w:r w:rsidRPr="006070EA">
        <w:rPr>
          <w:rFonts w:asciiTheme="majorHAnsi" w:hAnsiTheme="majorHAnsi" w:cstheme="majorHAnsi"/>
          <w:iCs/>
          <w:sz w:val="18"/>
          <w:szCs w:val="18"/>
        </w:rPr>
        <w:t>(18)</w:t>
      </w:r>
      <w:r w:rsidRPr="006070EA">
        <w:rPr>
          <w:rFonts w:asciiTheme="majorHAnsi" w:hAnsiTheme="majorHAnsi" w:cstheme="majorHAnsi"/>
          <w:i/>
          <w:sz w:val="18"/>
          <w:szCs w:val="18"/>
        </w:rPr>
        <w:tab/>
      </w:r>
      <w:r w:rsidRPr="006070EA">
        <w:rPr>
          <w:rFonts w:asciiTheme="majorHAnsi" w:hAnsiTheme="majorHAnsi" w:cstheme="majorHAnsi"/>
          <w:i/>
          <w:sz w:val="18"/>
          <w:szCs w:val="18"/>
        </w:rPr>
        <w:tab/>
        <w:t>Podporovat vyvážený a polycentrický rozvoj sídelní struktury. Vytvářet územní předpoklady pro posílení vazeb mezi městskými a venkovskými oblastmi s ohledem na jejich rozdílnost z hlediska přírodního, krajinného, urbanistického i hospodářského prostředí.</w:t>
      </w:r>
    </w:p>
    <w:p w14:paraId="47E95F88" w14:textId="39FB0637" w:rsidR="0068493C" w:rsidRPr="006070EA" w:rsidRDefault="0068493C" w:rsidP="0068493C">
      <w:pPr>
        <w:pStyle w:val="Mra2-reakceern"/>
        <w:keepLines/>
        <w:ind w:firstLine="709"/>
        <w:rPr>
          <w:rFonts w:asciiTheme="majorHAnsi" w:hAnsiTheme="majorHAnsi" w:cstheme="majorHAnsi"/>
          <w:color w:val="auto"/>
        </w:rPr>
      </w:pPr>
      <w:r w:rsidRPr="006070EA">
        <w:rPr>
          <w:rFonts w:asciiTheme="majorHAnsi" w:hAnsiTheme="majorHAnsi" w:cstheme="majorHAnsi"/>
          <w:color w:val="auto"/>
        </w:rPr>
        <w:t>Obec Kostomlaty nad Labem je lokálním spádovým centrem, se silnými vazbami na vyšší centra osídlení (Nymburk, Lysá nad Labem, Praha). Územním plánem je zachována pozice v sídelní struktuře, v rámci možností jsou posilovány vazby na vyšší správní centra a zároveň rozvoj vybavenosti v obci. ÚP v rámci zastavitelných ploch vytváří podmínky zejména pro rozvoj a zkvalitnění bydlení, vybavenosti a krajinného zázemí sídel. Obsahově se snaží o</w:t>
      </w:r>
      <w:r w:rsidR="00404149" w:rsidRPr="006070EA">
        <w:rPr>
          <w:rFonts w:asciiTheme="majorHAnsi" w:hAnsiTheme="majorHAnsi" w:cstheme="majorHAnsi"/>
          <w:color w:val="auto"/>
        </w:rPr>
        <w:t> </w:t>
      </w:r>
      <w:r w:rsidRPr="006070EA">
        <w:rPr>
          <w:rFonts w:asciiTheme="majorHAnsi" w:hAnsiTheme="majorHAnsi" w:cstheme="majorHAnsi"/>
          <w:color w:val="auto"/>
        </w:rPr>
        <w:t xml:space="preserve">funkční i prostorovou koncentraci a posiluje tak pozici obce v rámci sídelní struktury. </w:t>
      </w:r>
    </w:p>
    <w:p w14:paraId="5F02BE3E" w14:textId="77777777" w:rsidR="0068493C" w:rsidRPr="006070EA" w:rsidRDefault="0068493C" w:rsidP="0068493C">
      <w:pPr>
        <w:pStyle w:val="Mra2-reakceern"/>
        <w:keepLines/>
        <w:ind w:firstLine="709"/>
        <w:rPr>
          <w:rFonts w:asciiTheme="majorHAnsi" w:hAnsiTheme="majorHAnsi" w:cstheme="majorHAnsi"/>
        </w:rPr>
      </w:pPr>
      <w:r w:rsidRPr="006070EA">
        <w:rPr>
          <w:rFonts w:asciiTheme="majorHAnsi" w:hAnsiTheme="majorHAnsi" w:cstheme="majorHAnsi"/>
          <w:color w:val="auto"/>
        </w:rPr>
        <w:t xml:space="preserve">Zastavitelné plochy byly navrženy a vymezeny v rozsahu umožňujícím udržitelný rozvoj území s ohledem na přírodní, civilizační a kulturní hodnoty území. Vymezením zastavěného území a zastavitelných ploch přispívá územní plán k rozvoji polycentrické sídelní struktury v dotčené části regionu. </w:t>
      </w:r>
    </w:p>
    <w:p w14:paraId="07494890" w14:textId="77777777" w:rsidR="0068493C" w:rsidRPr="006070EA" w:rsidRDefault="0068493C" w:rsidP="0068493C">
      <w:pPr>
        <w:spacing w:before="120" w:after="60" w:line="240" w:lineRule="auto"/>
        <w:ind w:left="703" w:hanging="703"/>
        <w:jc w:val="both"/>
        <w:rPr>
          <w:rFonts w:asciiTheme="majorHAnsi" w:hAnsiTheme="majorHAnsi" w:cstheme="majorHAnsi"/>
          <w:i/>
          <w:sz w:val="18"/>
          <w:szCs w:val="18"/>
        </w:rPr>
      </w:pPr>
      <w:r w:rsidRPr="006070EA">
        <w:rPr>
          <w:rFonts w:asciiTheme="majorHAnsi" w:hAnsiTheme="majorHAnsi" w:cstheme="majorHAnsi"/>
          <w:iCs/>
          <w:sz w:val="18"/>
          <w:szCs w:val="18"/>
        </w:rPr>
        <w:t>(19)</w:t>
      </w:r>
      <w:r w:rsidRPr="006070EA">
        <w:rPr>
          <w:rFonts w:asciiTheme="majorHAnsi" w:hAnsiTheme="majorHAnsi" w:cstheme="majorHAnsi"/>
          <w:i/>
          <w:sz w:val="18"/>
          <w:szCs w:val="18"/>
        </w:rPr>
        <w:tab/>
        <w:t>Vytvářet předpoklady pro rozvoj, využití potenciálu a polyfunkční využívání opuštěných areálů a ploch (tzv. brownfields průmyslového, zemědělského, vojenského a jiného původu, vč. území bývalých vojenských újezdů). Hospodárně využívat zastavěné území (podpora přestaveb revitalizací a sanací území) a zajistit ochranu nezastavěného území (zejména zemědělské a lesní půdy) a zachování veřejné zeleně, včetně minimalizace její fragmentace. Cílem je účelné využívání a uspořádání území úsporné v nárocích na veřejné rozpočty na dopravu a energie, které koordinací veřejných a soukromých zájmů na rozvoji území omezuje negativní důsledky suburbanizace pro udržitelný rozvoj území.</w:t>
      </w:r>
    </w:p>
    <w:p w14:paraId="21716F57" w14:textId="77777777"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Vymezením rozvojových ploch v rámci zastavěného území a stanovením podmínek využití ve stabilizovaných plochách v zastavěném území jsou vytvořeny podmínky pro intenzifikaci zastavěného území a jeho hospodárné využití. Územním plánem jsou stabilizovány plochy zemědělské výroby a rozvíjeny plochy lehké výroby v návaznosti na stávající zástavbu. Brownfieldy nejsou v území identifikovány, zastavěné území je účelně využíváno.</w:t>
      </w:r>
    </w:p>
    <w:p w14:paraId="17C92AD5" w14:textId="77777777"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Zastavitelné plochy jsou vymezeny výhradně v přímé vazbě na zastavěné území s cílem minimalizovat nároky na veřejné rozpočty a chránit nezastavěné území, především nejkvalitnější zemědělskou a lesní půdu. Jejich umístění vychází zejména ze struktury stávající zástavby, přírodních, geomorfologických a dalších podmínek v území a koncepce stanovené stávající ÚPD obce. </w:t>
      </w:r>
    </w:p>
    <w:p w14:paraId="1B7CF922" w14:textId="4274B84A"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Stávající veřejná zeleň je územním plánem chráněna a stabilizována jejich zařazením mezi plochy s rozdílným způsobem využití </w:t>
      </w:r>
      <w:r w:rsidRPr="006070EA">
        <w:rPr>
          <w:rFonts w:asciiTheme="majorHAnsi" w:hAnsiTheme="majorHAnsi" w:cstheme="majorHAnsi"/>
          <w:i/>
          <w:color w:val="auto"/>
        </w:rPr>
        <w:t>zeleň</w:t>
      </w:r>
      <w:r w:rsidRPr="006070EA">
        <w:rPr>
          <w:rFonts w:asciiTheme="majorHAnsi" w:hAnsiTheme="majorHAnsi" w:cstheme="majorHAnsi"/>
          <w:color w:val="auto"/>
        </w:rPr>
        <w:t xml:space="preserve"> </w:t>
      </w:r>
      <w:r w:rsidR="00D32D19" w:rsidRPr="006070EA">
        <w:rPr>
          <w:rFonts w:asciiTheme="majorHAnsi" w:hAnsiTheme="majorHAnsi" w:cstheme="majorHAnsi"/>
          <w:color w:val="auto"/>
        </w:rPr>
        <w:t xml:space="preserve">– </w:t>
      </w:r>
      <w:r w:rsidR="00D32D19" w:rsidRPr="006070EA">
        <w:rPr>
          <w:rFonts w:asciiTheme="majorHAnsi" w:hAnsiTheme="majorHAnsi" w:cstheme="majorHAnsi"/>
          <w:i/>
          <w:iCs w:val="0"/>
          <w:color w:val="auto"/>
        </w:rPr>
        <w:t>parky a parkově upravené plochy</w:t>
      </w:r>
      <w:r w:rsidR="00D32D19" w:rsidRPr="006070EA">
        <w:rPr>
          <w:rFonts w:asciiTheme="majorHAnsi" w:hAnsiTheme="majorHAnsi" w:cstheme="majorHAnsi"/>
          <w:color w:val="auto"/>
        </w:rPr>
        <w:t xml:space="preserve"> </w:t>
      </w:r>
      <w:r w:rsidRPr="006070EA">
        <w:rPr>
          <w:rFonts w:asciiTheme="majorHAnsi" w:hAnsiTheme="majorHAnsi" w:cstheme="majorHAnsi"/>
          <w:color w:val="auto"/>
        </w:rPr>
        <w:t>(Z</w:t>
      </w:r>
      <w:r w:rsidR="00D32D19" w:rsidRPr="006070EA">
        <w:rPr>
          <w:rFonts w:asciiTheme="majorHAnsi" w:hAnsiTheme="majorHAnsi" w:cstheme="majorHAnsi"/>
          <w:color w:val="auto"/>
        </w:rPr>
        <w:t>P</w:t>
      </w:r>
      <w:r w:rsidRPr="006070EA">
        <w:rPr>
          <w:rFonts w:asciiTheme="majorHAnsi" w:hAnsiTheme="majorHAnsi" w:cstheme="majorHAnsi"/>
          <w:color w:val="auto"/>
        </w:rPr>
        <w:t xml:space="preserve">), příp. </w:t>
      </w:r>
      <w:r w:rsidRPr="006070EA">
        <w:rPr>
          <w:rFonts w:asciiTheme="majorHAnsi" w:hAnsiTheme="majorHAnsi" w:cstheme="majorHAnsi"/>
          <w:i/>
          <w:color w:val="auto"/>
        </w:rPr>
        <w:t>veřejná prostranství</w:t>
      </w:r>
      <w:r w:rsidRPr="006070EA">
        <w:rPr>
          <w:rFonts w:asciiTheme="majorHAnsi" w:hAnsiTheme="majorHAnsi" w:cstheme="majorHAnsi"/>
          <w:color w:val="auto"/>
        </w:rPr>
        <w:t xml:space="preserve"> </w:t>
      </w:r>
      <w:r w:rsidR="00D32D19" w:rsidRPr="006070EA">
        <w:rPr>
          <w:rFonts w:asciiTheme="majorHAnsi" w:hAnsiTheme="majorHAnsi" w:cstheme="majorHAnsi"/>
          <w:i/>
          <w:iCs w:val="0"/>
          <w:color w:val="auto"/>
        </w:rPr>
        <w:t>všeobecná</w:t>
      </w:r>
      <w:r w:rsidR="00D32D19" w:rsidRPr="006070EA">
        <w:rPr>
          <w:rFonts w:asciiTheme="majorHAnsi" w:hAnsiTheme="majorHAnsi" w:cstheme="majorHAnsi"/>
          <w:color w:val="auto"/>
        </w:rPr>
        <w:t xml:space="preserve"> </w:t>
      </w:r>
      <w:r w:rsidRPr="006070EA">
        <w:rPr>
          <w:rFonts w:asciiTheme="majorHAnsi" w:hAnsiTheme="majorHAnsi" w:cstheme="majorHAnsi"/>
          <w:color w:val="auto"/>
        </w:rPr>
        <w:t>(P</w:t>
      </w:r>
      <w:r w:rsidR="00D32D19" w:rsidRPr="006070EA">
        <w:rPr>
          <w:rFonts w:asciiTheme="majorHAnsi" w:hAnsiTheme="majorHAnsi" w:cstheme="majorHAnsi"/>
          <w:color w:val="auto"/>
        </w:rPr>
        <w:t>U</w:t>
      </w:r>
      <w:r w:rsidRPr="006070EA">
        <w:rPr>
          <w:rFonts w:asciiTheme="majorHAnsi" w:hAnsiTheme="majorHAnsi" w:cstheme="majorHAnsi"/>
          <w:color w:val="auto"/>
        </w:rPr>
        <w:t xml:space="preserve">) nebo </w:t>
      </w:r>
      <w:r w:rsidRPr="006070EA">
        <w:rPr>
          <w:rFonts w:asciiTheme="majorHAnsi" w:hAnsiTheme="majorHAnsi" w:cstheme="majorHAnsi"/>
          <w:i/>
          <w:color w:val="auto"/>
        </w:rPr>
        <w:t>zeleň</w:t>
      </w:r>
      <w:r w:rsidRPr="006070EA">
        <w:rPr>
          <w:rFonts w:asciiTheme="majorHAnsi" w:hAnsiTheme="majorHAnsi" w:cstheme="majorHAnsi"/>
          <w:color w:val="auto"/>
        </w:rPr>
        <w:t xml:space="preserve"> </w:t>
      </w:r>
      <w:r w:rsidR="00D32D19" w:rsidRPr="006070EA">
        <w:rPr>
          <w:rFonts w:asciiTheme="majorHAnsi" w:hAnsiTheme="majorHAnsi" w:cstheme="majorHAnsi"/>
          <w:i/>
          <w:iCs w:val="0"/>
          <w:color w:val="auto"/>
        </w:rPr>
        <w:t>krajinná</w:t>
      </w:r>
      <w:r w:rsidRPr="006070EA">
        <w:rPr>
          <w:rFonts w:asciiTheme="majorHAnsi" w:hAnsiTheme="majorHAnsi" w:cstheme="majorHAnsi"/>
          <w:color w:val="auto"/>
        </w:rPr>
        <w:t xml:space="preserve"> (Z</w:t>
      </w:r>
      <w:r w:rsidR="00D32D19" w:rsidRPr="006070EA">
        <w:rPr>
          <w:rFonts w:asciiTheme="majorHAnsi" w:hAnsiTheme="majorHAnsi" w:cstheme="majorHAnsi"/>
          <w:color w:val="auto"/>
        </w:rPr>
        <w:t>K</w:t>
      </w:r>
      <w:r w:rsidRPr="006070EA">
        <w:rPr>
          <w:rFonts w:asciiTheme="majorHAnsi" w:hAnsiTheme="majorHAnsi" w:cstheme="majorHAnsi"/>
          <w:color w:val="auto"/>
        </w:rPr>
        <w:t xml:space="preserve">), veřejná zeleň může být i součástí dalších ploch s rozdílným způsobem využití (SV, SM, BI, BH). Územní plán klade důraz na provázanost systému veřejně přístupné zeleně a minimalizuje její fragmentaci. </w:t>
      </w:r>
    </w:p>
    <w:p w14:paraId="246E5955" w14:textId="67CDCF10" w:rsidR="0068493C" w:rsidRPr="006070EA" w:rsidRDefault="0068493C" w:rsidP="0068493C">
      <w:pPr>
        <w:keepNext/>
        <w:keepLines/>
        <w:spacing w:before="120" w:after="60" w:line="240" w:lineRule="auto"/>
        <w:ind w:left="703" w:hanging="703"/>
        <w:jc w:val="both"/>
        <w:rPr>
          <w:rFonts w:asciiTheme="majorHAnsi" w:hAnsiTheme="majorHAnsi" w:cstheme="majorHAnsi"/>
          <w:i/>
          <w:iCs/>
          <w:sz w:val="18"/>
          <w:szCs w:val="18"/>
        </w:rPr>
      </w:pPr>
      <w:r w:rsidRPr="006070EA">
        <w:rPr>
          <w:rFonts w:asciiTheme="majorHAnsi" w:hAnsiTheme="majorHAnsi" w:cstheme="majorHAnsi"/>
          <w:sz w:val="18"/>
          <w:szCs w:val="18"/>
        </w:rPr>
        <w:lastRenderedPageBreak/>
        <w:t>(20)</w:t>
      </w:r>
      <w:r w:rsidRPr="006070EA">
        <w:rPr>
          <w:rFonts w:asciiTheme="majorHAnsi" w:hAnsiTheme="majorHAnsi" w:cstheme="majorHAnsi"/>
          <w:sz w:val="18"/>
          <w:szCs w:val="18"/>
        </w:rPr>
        <w:tab/>
      </w:r>
      <w:r w:rsidRPr="006070EA">
        <w:rPr>
          <w:rFonts w:asciiTheme="majorHAnsi" w:hAnsiTheme="majorHAnsi" w:cstheme="majorHAnsi"/>
          <w:i/>
          <w:iCs/>
          <w:sz w:val="18"/>
          <w:szCs w:val="18"/>
        </w:rPr>
        <w:t>Rozvojové záměry, které mohou významně ovlivnit charakter krajiny, umísťovat do co nejméně konfliktních lokalit a</w:t>
      </w:r>
      <w:r w:rsidR="00404149" w:rsidRPr="006070EA">
        <w:rPr>
          <w:rFonts w:asciiTheme="majorHAnsi" w:hAnsiTheme="majorHAnsi" w:cstheme="majorHAnsi"/>
          <w:i/>
          <w:iCs/>
          <w:sz w:val="18"/>
          <w:szCs w:val="18"/>
        </w:rPr>
        <w:t> </w:t>
      </w:r>
      <w:r w:rsidRPr="006070EA">
        <w:rPr>
          <w:rFonts w:asciiTheme="majorHAnsi" w:hAnsiTheme="majorHAnsi" w:cstheme="majorHAnsi"/>
          <w:i/>
          <w:iCs/>
          <w:sz w:val="18"/>
          <w:szCs w:val="18"/>
        </w:rPr>
        <w:t>následně podporovat potřebná kompenzační opatření. S ohledem na to při územně plánovací činnosti respektovat veřejné zájmy např. ochrany biologické rozmanitosti a kvality životního prostředí, zejména formou důsledné ochrany zvláště chráněných území, lokalit soustavy Natura 2000, mokřadů, ochranných pásem vodních zdrojů, chráněné oblasti přirozené akumulace vod a nerostného bohatství, ochrany zemědělského a lesního půdního fondu. Vytvářet územní podmínky pro implementaci a respektování územních systémů ekologické stability a zvyšování a udržování ekologické stability a k zajištění ekologických funkcí i v ostatní volné krajině a pro ochranu krajinných prvků přírodního charakteru v zastavěných územích, zvyšování a udržování rozmanitosti venkovské krajiny. V rámci územně plánovací činnosti vytvářet podmínky pro ochranu krajinného rázu s ohledem na cílové kvality krajiny a vytvářet podmínky pro využití přírodních zdrojů.</w:t>
      </w:r>
    </w:p>
    <w:p w14:paraId="3865CC66" w14:textId="77777777"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respektuje a dále rozvíjí konsolidovanou strukturu sídla. Územní aktivity jsou soustředěny výhradně v rámci urbanizovaných ploch a v návaznosti na ně. Cílem je stabilizace pozice obce ve struktuře osídlení a upevnění primární socioekonomické svébytnosti. V rámci koncepce uspořádání krajiny jsou v nezastavěném území vymezeny především stabilizované plochy vodní, přírodní, zemědělské a smíšené nezastavěného území. Stabilizován je systém hodnotných přírodních prvků zajišťujících ekologickou stabilitu území, zejména vymezením ÚSES. </w:t>
      </w:r>
    </w:p>
    <w:p w14:paraId="345F3993" w14:textId="7E80A888"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ab/>
        <w:t xml:space="preserve">Územní plán respektuje přírodní hodnoty a limity a svou koncepcí je nenarušuje. Rozvojové záměry nejsou lokalizovány v konfliktu se zvláště chráněnými územími. Podmínky pro ochranu krajinného rázu s ohledem na cílové charakteristiky a typy krajiny jsou územním plánem vytvořeny především stanoveným využitím jednotlivých ploch s rozdílným způsobem využití včetně jejich podmínek prostorového uspořádání. Územním plánem jsou vymezovány plochy změn v krajině a </w:t>
      </w:r>
      <w:r w:rsidR="00130E86" w:rsidRPr="006070EA">
        <w:rPr>
          <w:rFonts w:asciiTheme="majorHAnsi" w:hAnsiTheme="majorHAnsi" w:cstheme="majorHAnsi"/>
          <w:color w:val="auto"/>
        </w:rPr>
        <w:t xml:space="preserve">v rámci stanovených podmínek vybraných ploch s rozdílným způsobem využití jsou umožněna </w:t>
      </w:r>
      <w:r w:rsidRPr="006070EA">
        <w:rPr>
          <w:rFonts w:asciiTheme="majorHAnsi" w:hAnsiTheme="majorHAnsi" w:cstheme="majorHAnsi"/>
          <w:color w:val="auto"/>
        </w:rPr>
        <w:t>revitalizační opatření podporující funkce ÚSES a posilujících ekologickou stabilitu a rozmanitost intenzivně využívané zemědělské krajiny.</w:t>
      </w:r>
    </w:p>
    <w:p w14:paraId="4430920C" w14:textId="77777777" w:rsidR="0068493C" w:rsidRPr="006070EA" w:rsidRDefault="0068493C" w:rsidP="0068493C">
      <w:pPr>
        <w:pStyle w:val="Atextkurzva"/>
        <w:ind w:left="709" w:hanging="709"/>
        <w:rPr>
          <w:rFonts w:asciiTheme="majorHAnsi" w:eastAsia="Calibri" w:hAnsiTheme="majorHAnsi" w:cstheme="majorHAnsi"/>
          <w:lang w:eastAsia="en-US"/>
        </w:rPr>
      </w:pPr>
      <w:r w:rsidRPr="006070EA">
        <w:rPr>
          <w:rFonts w:asciiTheme="majorHAnsi" w:eastAsiaTheme="minorHAnsi" w:hAnsiTheme="majorHAnsi" w:cstheme="majorHAnsi"/>
          <w:i w:val="0"/>
          <w:szCs w:val="18"/>
          <w:lang w:eastAsia="en-US"/>
        </w:rPr>
        <w:t>(21)</w:t>
      </w:r>
      <w:r w:rsidRPr="006070EA">
        <w:rPr>
          <w:rFonts w:asciiTheme="majorHAnsi" w:eastAsia="Calibri" w:hAnsiTheme="majorHAnsi" w:cstheme="majorHAnsi"/>
          <w:lang w:eastAsia="en-US"/>
        </w:rPr>
        <w:t xml:space="preserve"> </w:t>
      </w:r>
      <w:r w:rsidRPr="006070EA">
        <w:rPr>
          <w:rFonts w:asciiTheme="majorHAnsi" w:eastAsiaTheme="minorHAnsi" w:hAnsiTheme="majorHAnsi" w:cstheme="majorHAnsi"/>
          <w:iCs/>
          <w:szCs w:val="18"/>
          <w:lang w:eastAsia="en-US"/>
        </w:rPr>
        <w:tab/>
        <w:t>Vymezit a chránit ve spolupráci s dotčenými obcemi před zastavěním pozemky nezbytné pro vytvoření souvislých ploch veřejně přístupné zeleně v rozvojových oblastech a v rozvojových osách a ve specifických oblastech, na jejichž území je krajina negativně poznamenána lidskou činností, s využitím její přirozené obnovy; cílem je zachování souvislých ploch nezastavěného území v bezprostředním okolí velkých měst, způsobilých pro nenáročné formy krátkodobé rekreace a dále pro vznik a rozvoj lesních porostů a zachování prostupnosti krajiny.</w:t>
      </w:r>
    </w:p>
    <w:p w14:paraId="165FA171" w14:textId="6802F0FF" w:rsidR="0068493C" w:rsidRPr="006070EA" w:rsidRDefault="0068493C" w:rsidP="0068493C">
      <w:pPr>
        <w:pStyle w:val="Mra2-reakceern"/>
        <w:rPr>
          <w:rFonts w:asciiTheme="majorHAnsi" w:hAnsiTheme="majorHAnsi" w:cstheme="majorHAnsi"/>
        </w:rPr>
      </w:pPr>
      <w:r w:rsidRPr="006070EA">
        <w:rPr>
          <w:rFonts w:asciiTheme="majorHAnsi" w:hAnsiTheme="majorHAnsi" w:cstheme="majorHAnsi"/>
          <w:color w:val="auto"/>
        </w:rPr>
        <w:t>V rámci řešení ÚP Kostomlaty nad Labem je kladen důraz na ochranu volné krajiny a její dostupnost ze sídel, a to zejména vymezením uceleného a vzájemně propojeného systému veřejných prostranství a veřejně přístupné zeleně. Územní plán chrání před zastavěním pozemky bezprostředně obepínající jednotlivá sídla a nepřipouští jejich srůstání, čímž vytváří podmínky pro zachování souvislých pásů nezastavěného území oddělující jednotlivá sídla. Současně je řešením územního plánu respektováno sídelní uspořádání území a dostupnost rekreačního zázemí ve volné krajině. Konkrétním řešením územního plánu, naplňujícím prioritu (21), je například vytvoření přechodového pásu nepobytové rekreace v nezastavěném území (</w:t>
      </w:r>
      <w:proofErr w:type="gramStart"/>
      <w:r w:rsidR="00D32D19" w:rsidRPr="006070EA">
        <w:rPr>
          <w:rFonts w:asciiTheme="majorHAnsi" w:hAnsiTheme="majorHAnsi" w:cstheme="majorHAnsi"/>
          <w:color w:val="auto"/>
        </w:rPr>
        <w:t>MU.r</w:t>
      </w:r>
      <w:proofErr w:type="gramEnd"/>
      <w:r w:rsidRPr="006070EA">
        <w:rPr>
          <w:rFonts w:asciiTheme="majorHAnsi" w:hAnsiTheme="majorHAnsi" w:cstheme="majorHAnsi"/>
          <w:color w:val="auto"/>
        </w:rPr>
        <w:t>) na jihovýchodním okraji zástavby města mezi rezidenční zástavbou a intenzivně zemědělsky využívanou krajinou.</w:t>
      </w:r>
    </w:p>
    <w:p w14:paraId="6DC11FAD" w14:textId="77777777" w:rsidR="0068493C" w:rsidRPr="006070EA" w:rsidRDefault="0068493C" w:rsidP="0068493C">
      <w:pPr>
        <w:pStyle w:val="Norml"/>
        <w:keepNext/>
        <w:keepLines/>
        <w:ind w:left="703" w:hanging="703"/>
        <w:rPr>
          <w:rFonts w:asciiTheme="majorHAnsi" w:hAnsiTheme="majorHAnsi" w:cstheme="majorHAnsi"/>
          <w:szCs w:val="18"/>
        </w:rPr>
      </w:pPr>
      <w:r w:rsidRPr="006070EA">
        <w:rPr>
          <w:rFonts w:asciiTheme="majorHAnsi" w:hAnsiTheme="majorHAnsi" w:cstheme="majorHAnsi"/>
          <w:iCs/>
          <w:szCs w:val="18"/>
        </w:rPr>
        <w:t>(22)</w:t>
      </w:r>
      <w:r w:rsidRPr="006070EA">
        <w:rPr>
          <w:rFonts w:asciiTheme="majorHAnsi" w:hAnsiTheme="majorHAnsi" w:cstheme="majorHAnsi"/>
          <w:i/>
          <w:szCs w:val="18"/>
        </w:rPr>
        <w:tab/>
        <w:t>Vytvářet podmínky pro rozvoj a využití předpokladů území pro různé formy udržitelného cestovního ruchu (např. cykloturistika, agroturistika, poznávací turistika), při zachování a rozvoji hodnot území. Podporovat propojení míst turistickými cestami, které umožňují celoroční využití pro různé formy turistiky (např. pěší, cyklo, lyžařská, hipo).</w:t>
      </w:r>
    </w:p>
    <w:p w14:paraId="24E90F75" w14:textId="77777777"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 xml:space="preserve">V rámci opatření zaměřených na podporu cestovního ruchu jsou vymezovány zastavitelné plochy pro funkce umožňující rozvoj činností podporujících cestovní ruch (občanské vybavení, služby, technická a dopravní infrastruktura apod.). </w:t>
      </w:r>
    </w:p>
    <w:p w14:paraId="1C02CCA7" w14:textId="6FB30A09"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Územní plán dále vytváří podmínky pro vedení pěších turistických a cyklistických tras navazujících na systémy stávajících cyklotras a turistických cest v sousedních obcích a regionech v souladu s podmínkami využití prakticky ve všech plochách s rozdílným způsobem využití. Konkrétním řešením, podporujícím rozvoj turistické infrastruktury, je vymezení koridoru nemotorové dopravy </w:t>
      </w:r>
      <w:r w:rsidR="00D32D19" w:rsidRPr="006070EA">
        <w:rPr>
          <w:rFonts w:asciiTheme="majorHAnsi" w:hAnsiTheme="majorHAnsi" w:cstheme="majorHAnsi"/>
          <w:color w:val="auto"/>
        </w:rPr>
        <w:t>CNU.</w:t>
      </w:r>
      <w:r w:rsidRPr="006070EA">
        <w:rPr>
          <w:rFonts w:asciiTheme="majorHAnsi" w:hAnsiTheme="majorHAnsi" w:cstheme="majorHAnsi"/>
          <w:color w:val="auto"/>
        </w:rPr>
        <w:t xml:space="preserve">KDN1 – lávka přes Labe a související návrh propojení cyklodopravy na obou březích směrem na Hradištko. </w:t>
      </w:r>
    </w:p>
    <w:p w14:paraId="3271F1A5" w14:textId="77777777"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Turistika a cestovní ruch jsou podpořeny vymezením ploch veřejných prostranství, které zajišťují ochranu stávajících turistických a cyklistických tras. </w:t>
      </w:r>
    </w:p>
    <w:p w14:paraId="58500BA6" w14:textId="4D17F334" w:rsidR="0068493C" w:rsidRPr="006070EA" w:rsidRDefault="0068493C" w:rsidP="008F08A8">
      <w:pPr>
        <w:pStyle w:val="Norml"/>
        <w:keepLines/>
        <w:ind w:left="703" w:hanging="703"/>
        <w:rPr>
          <w:rFonts w:asciiTheme="majorHAnsi" w:hAnsiTheme="majorHAnsi" w:cstheme="majorHAnsi"/>
          <w:i/>
          <w:szCs w:val="18"/>
        </w:rPr>
      </w:pPr>
      <w:r w:rsidRPr="006070EA">
        <w:rPr>
          <w:rFonts w:asciiTheme="majorHAnsi" w:hAnsiTheme="majorHAnsi" w:cstheme="majorHAnsi"/>
          <w:iCs/>
          <w:szCs w:val="18"/>
        </w:rPr>
        <w:t>(23)</w:t>
      </w:r>
      <w:r w:rsidRPr="006070EA">
        <w:rPr>
          <w:rFonts w:asciiTheme="majorHAnsi" w:hAnsiTheme="majorHAnsi" w:cstheme="majorHAnsi"/>
          <w:b/>
          <w:i/>
          <w:szCs w:val="18"/>
        </w:rPr>
        <w:tab/>
      </w:r>
      <w:r w:rsidRPr="006070EA">
        <w:rPr>
          <w:rFonts w:asciiTheme="majorHAnsi" w:hAnsiTheme="majorHAnsi" w:cstheme="majorHAnsi"/>
          <w:b/>
          <w:i/>
          <w:szCs w:val="18"/>
        </w:rPr>
        <w:tab/>
      </w:r>
      <w:r w:rsidRPr="006070EA">
        <w:rPr>
          <w:rFonts w:asciiTheme="majorHAnsi" w:hAnsiTheme="majorHAnsi" w:cstheme="majorHAnsi"/>
          <w:i/>
          <w:szCs w:val="18"/>
        </w:rPr>
        <w:t>Podle místních podmínek vytvářet předpoklady pro lepší dostupnost území a zkvalitnění dopravní a technické infrastruktury s ohledem na prostupnost krajiny. Při umisťování dopravní a technické infrastruktury zachovat prostupnost krajiny a minimalizovat rozsah fragmentace krajiny; je-li to z těchto hledisek účelné, umisťovat tato zařízení souběžně. U stávající i budované sítě dálnic, kapacitních komunikací a silnic I. třídy zohledňovat i potřebu a</w:t>
      </w:r>
      <w:r w:rsidR="00404149" w:rsidRPr="006070EA">
        <w:rPr>
          <w:rFonts w:asciiTheme="majorHAnsi" w:hAnsiTheme="majorHAnsi" w:cstheme="majorHAnsi"/>
          <w:i/>
          <w:szCs w:val="18"/>
        </w:rPr>
        <w:t> </w:t>
      </w:r>
      <w:r w:rsidRPr="006070EA">
        <w:rPr>
          <w:rFonts w:asciiTheme="majorHAnsi" w:hAnsiTheme="majorHAnsi" w:cstheme="majorHAnsi"/>
          <w:i/>
          <w:szCs w:val="18"/>
        </w:rPr>
        <w:t>možnosti umístění odpočívek, které jsou jejich nedílnou součástí.</w:t>
      </w:r>
    </w:p>
    <w:p w14:paraId="11DBCECD" w14:textId="061E0C22" w:rsidR="0068493C" w:rsidRPr="006070EA" w:rsidRDefault="0068493C" w:rsidP="008F08A8">
      <w:pPr>
        <w:pStyle w:val="Norml"/>
        <w:keepLines/>
        <w:ind w:left="703" w:hanging="703"/>
        <w:rPr>
          <w:rFonts w:asciiTheme="majorHAnsi" w:hAnsiTheme="majorHAnsi" w:cstheme="majorHAnsi"/>
          <w:i/>
          <w:szCs w:val="18"/>
        </w:rPr>
      </w:pPr>
      <w:r w:rsidRPr="006070EA">
        <w:rPr>
          <w:rFonts w:asciiTheme="majorHAnsi" w:hAnsiTheme="majorHAnsi" w:cstheme="majorHAnsi"/>
          <w:i/>
          <w:szCs w:val="18"/>
        </w:rPr>
        <w:tab/>
        <w:t>Zmírňovat vystavení městských oblastí nepříznivým účinkům tranzitní železniční a silniční dopravy, mimo jiné i</w:t>
      </w:r>
      <w:r w:rsidR="00404149" w:rsidRPr="006070EA">
        <w:rPr>
          <w:rFonts w:asciiTheme="majorHAnsi" w:hAnsiTheme="majorHAnsi" w:cstheme="majorHAnsi"/>
          <w:i/>
          <w:szCs w:val="18"/>
        </w:rPr>
        <w:t> </w:t>
      </w:r>
      <w:r w:rsidRPr="006070EA">
        <w:rPr>
          <w:rFonts w:asciiTheme="majorHAnsi" w:hAnsiTheme="majorHAnsi" w:cstheme="majorHAnsi"/>
          <w:i/>
          <w:szCs w:val="18"/>
        </w:rPr>
        <w:t xml:space="preserve">prostřednictvím obchvatů městských oblastí, nebo zajistit ochranu jinými vhodnými opatřeními v území. Zároveň však vymezovat plochy pro novou obytnou zástavbu tak, aby byl zachován dostatečný odstup od vymezených koridorů pro nové úseky dálnic, silnic I. třídy a železnic, a tímto způsobem důsledně předcházet zneprůchodnění území pro dopravní stavby i možnému nežádoucímu působení negativních účinků provozu dopravy na veřejné zdraví obyvatel (bez nutnosti budování nákladných technických opatření na eliminaci těchto účinků). </w:t>
      </w:r>
    </w:p>
    <w:p w14:paraId="38994CBD" w14:textId="273DB7F9" w:rsidR="0068493C" w:rsidRPr="006070EA" w:rsidRDefault="0068493C" w:rsidP="0068493C">
      <w:pPr>
        <w:pStyle w:val="Norml"/>
        <w:keepNext/>
        <w:keepLines/>
        <w:ind w:left="703" w:hanging="703"/>
        <w:rPr>
          <w:rFonts w:asciiTheme="majorHAnsi" w:hAnsiTheme="majorHAnsi" w:cstheme="majorHAnsi"/>
          <w:i/>
          <w:szCs w:val="18"/>
        </w:rPr>
      </w:pPr>
      <w:r w:rsidRPr="006070EA">
        <w:rPr>
          <w:rFonts w:asciiTheme="majorHAnsi" w:hAnsiTheme="majorHAnsi" w:cstheme="majorHAnsi"/>
          <w:iCs/>
          <w:szCs w:val="18"/>
        </w:rPr>
        <w:lastRenderedPageBreak/>
        <w:t>(24)</w:t>
      </w:r>
      <w:r w:rsidRPr="006070EA">
        <w:rPr>
          <w:rFonts w:asciiTheme="majorHAnsi" w:hAnsiTheme="majorHAnsi" w:cstheme="majorHAnsi"/>
          <w:i/>
          <w:szCs w:val="18"/>
        </w:rPr>
        <w:tab/>
        <w:t>Vytvářet podmínky pro zlepšování dostupnosti území rozšiřováním a zkvalitňováním dopravní infrastruktury s ohledem na potřeby veřejné dopravy a požadavky ochrany veřejného zdraví a v souladu s principy udržitelné mobility osob a</w:t>
      </w:r>
      <w:r w:rsidR="008F08A8">
        <w:rPr>
          <w:rFonts w:asciiTheme="majorHAnsi" w:hAnsiTheme="majorHAnsi" w:cstheme="majorHAnsi"/>
          <w:i/>
          <w:szCs w:val="18"/>
        </w:rPr>
        <w:t> </w:t>
      </w:r>
      <w:r w:rsidRPr="006070EA">
        <w:rPr>
          <w:rFonts w:asciiTheme="majorHAnsi" w:hAnsiTheme="majorHAnsi" w:cstheme="majorHAnsi"/>
          <w:i/>
          <w:szCs w:val="18"/>
        </w:rPr>
        <w:t>zboží, zejména uvnitř rozvojových oblastí a rozvojových os. Možnosti nové výstavby je třeba dostatečnou veřejnou infrastrukturou přímo podmínit. Vytvářet podmínky pro zvyšování bezpečnosti a plynulosti dopravy, ochrany a</w:t>
      </w:r>
      <w:r w:rsidR="008F08A8">
        <w:rPr>
          <w:rFonts w:asciiTheme="majorHAnsi" w:hAnsiTheme="majorHAnsi" w:cstheme="majorHAnsi"/>
          <w:i/>
          <w:szCs w:val="18"/>
        </w:rPr>
        <w:t> </w:t>
      </w:r>
      <w:r w:rsidRPr="006070EA">
        <w:rPr>
          <w:rFonts w:asciiTheme="majorHAnsi" w:hAnsiTheme="majorHAnsi" w:cstheme="majorHAnsi"/>
          <w:i/>
          <w:szCs w:val="18"/>
        </w:rPr>
        <w:t>bezpečnosti obyvatelstva a zlepšování jeho ochrany před hlukem a emisemi, s ohledem na to vytvářet v území podmínky pro environmentálně šetrné formy dopravy (např. železniční, cyklistickou).</w:t>
      </w:r>
    </w:p>
    <w:p w14:paraId="6C21C653" w14:textId="666CEC74"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vytváří předpoklady pro dostupnost území a zkvalitnění dopravní infrastruktury zejména stabilizací stávajícího dopravního systému a podporou jeho rozvoje. </w:t>
      </w:r>
    </w:p>
    <w:p w14:paraId="66C24BEC" w14:textId="6957B914" w:rsidR="0068493C" w:rsidRPr="006070EA" w:rsidRDefault="0068493C" w:rsidP="0068493C">
      <w:pPr>
        <w:pStyle w:val="Mra2-reakceern"/>
        <w:ind w:firstLine="709"/>
        <w:rPr>
          <w:rFonts w:asciiTheme="majorHAnsi" w:hAnsiTheme="majorHAnsi" w:cstheme="majorHAnsi"/>
        </w:rPr>
      </w:pPr>
      <w:r w:rsidRPr="006070EA">
        <w:rPr>
          <w:rFonts w:asciiTheme="majorHAnsi" w:hAnsiTheme="majorHAnsi" w:cstheme="majorHAnsi"/>
          <w:color w:val="auto"/>
        </w:rPr>
        <w:t>Územní plán svým řešením vytváří podmínky pro lepší dostupnost v širším území za současné snahy o</w:t>
      </w:r>
      <w:r w:rsidR="00D32D19" w:rsidRPr="006070EA">
        <w:rPr>
          <w:rFonts w:asciiTheme="majorHAnsi" w:hAnsiTheme="majorHAnsi" w:cstheme="majorHAnsi"/>
          <w:color w:val="auto"/>
        </w:rPr>
        <w:t> </w:t>
      </w:r>
      <w:r w:rsidRPr="006070EA">
        <w:rPr>
          <w:rFonts w:asciiTheme="majorHAnsi" w:hAnsiTheme="majorHAnsi" w:cstheme="majorHAnsi"/>
          <w:color w:val="auto"/>
        </w:rPr>
        <w:t xml:space="preserve">eliminaci negativních dopadů fragmentace krajiny. Prostupnost krajiny a minimalizace rozsahu její fragmentace je zajištěna vymezením zastavitelných ploch v přímé vazbě na stávající zástavbu a dotvářením kompaktního tvaru sídel. </w:t>
      </w:r>
    </w:p>
    <w:p w14:paraId="46E77A9F" w14:textId="526AE8BF" w:rsidR="0068493C" w:rsidRPr="006070EA" w:rsidRDefault="0068493C" w:rsidP="00257A6D">
      <w:pPr>
        <w:pStyle w:val="Atextkurzva"/>
        <w:keepLines/>
        <w:ind w:left="709" w:hanging="709"/>
        <w:rPr>
          <w:rFonts w:asciiTheme="majorHAnsi" w:hAnsiTheme="majorHAnsi" w:cstheme="majorHAnsi"/>
          <w:bCs/>
          <w:szCs w:val="18"/>
          <w:lang w:eastAsia="cs-CZ"/>
        </w:rPr>
      </w:pPr>
      <w:r w:rsidRPr="006070EA">
        <w:rPr>
          <w:rFonts w:asciiTheme="majorHAnsi" w:hAnsiTheme="majorHAnsi" w:cstheme="majorHAnsi"/>
          <w:i w:val="0"/>
          <w:iCs/>
          <w:szCs w:val="18"/>
        </w:rPr>
        <w:t>(25)</w:t>
      </w:r>
      <w:r w:rsidRPr="006070EA">
        <w:rPr>
          <w:rFonts w:asciiTheme="majorHAnsi" w:hAnsiTheme="majorHAnsi" w:cstheme="majorHAnsi"/>
          <w:szCs w:val="18"/>
        </w:rPr>
        <w:tab/>
      </w:r>
      <w:r w:rsidRPr="006070EA">
        <w:rPr>
          <w:rFonts w:asciiTheme="majorHAnsi" w:hAnsiTheme="majorHAnsi" w:cstheme="majorHAnsi"/>
          <w:bCs/>
          <w:szCs w:val="18"/>
          <w:lang w:eastAsia="cs-CZ"/>
        </w:rPr>
        <w:t>Vytvářet podmínky pro preventivní ochranu území a obyvatelstva před potenciálními riziky a přírodními katastrofami v území (záplavy, sesuvy půdy, eroze, sucho atd.) s cílem jim předcházet a minimalizovat jejich negativní dopady. Zejména zajistit územní ochranu ploch potřebných pro umísťování staveb a opatření na ochranu před povodněmi a</w:t>
      </w:r>
      <w:r w:rsidR="00D32D19" w:rsidRPr="006070EA">
        <w:rPr>
          <w:rFonts w:asciiTheme="majorHAnsi" w:hAnsiTheme="majorHAnsi" w:cstheme="majorHAnsi"/>
          <w:bCs/>
          <w:szCs w:val="18"/>
          <w:lang w:eastAsia="cs-CZ"/>
        </w:rPr>
        <w:t> </w:t>
      </w:r>
      <w:r w:rsidRPr="006070EA">
        <w:rPr>
          <w:rFonts w:asciiTheme="majorHAnsi" w:hAnsiTheme="majorHAnsi" w:cstheme="majorHAnsi"/>
          <w:bCs/>
          <w:szCs w:val="18"/>
          <w:lang w:eastAsia="cs-CZ"/>
        </w:rPr>
        <w:t>pro vymezení území určených k řízeným rozlivům povodní. Vytvářet podmínky pro zvýšení přirozené retence srážkových vod v území a využívání přírodě blízkých opatření pro zadržování a akumulaci povrchové vody tam, kde je to možné s</w:t>
      </w:r>
      <w:r w:rsidR="00D32D19" w:rsidRPr="006070EA">
        <w:rPr>
          <w:rFonts w:asciiTheme="majorHAnsi" w:hAnsiTheme="majorHAnsi" w:cstheme="majorHAnsi"/>
          <w:bCs/>
          <w:szCs w:val="18"/>
          <w:lang w:eastAsia="cs-CZ"/>
        </w:rPr>
        <w:t> </w:t>
      </w:r>
      <w:r w:rsidRPr="006070EA">
        <w:rPr>
          <w:rFonts w:asciiTheme="majorHAnsi" w:hAnsiTheme="majorHAnsi" w:cstheme="majorHAnsi"/>
          <w:bCs/>
          <w:szCs w:val="18"/>
          <w:lang w:eastAsia="cs-CZ"/>
        </w:rPr>
        <w:t>ohledem na strukturu osídlení a kulturní krajinu, jako jedno z adaptačních opatření v případě dopadů změny klimatu.</w:t>
      </w:r>
    </w:p>
    <w:p w14:paraId="3957F017" w14:textId="77777777" w:rsidR="0068493C" w:rsidRPr="006070EA" w:rsidRDefault="0068493C" w:rsidP="0068493C">
      <w:pPr>
        <w:pStyle w:val="Atextkurzva"/>
        <w:ind w:left="709" w:hanging="709"/>
        <w:rPr>
          <w:rFonts w:asciiTheme="majorHAnsi" w:hAnsiTheme="majorHAnsi" w:cstheme="majorHAnsi"/>
          <w:bCs/>
          <w:szCs w:val="18"/>
          <w:lang w:eastAsia="cs-CZ"/>
        </w:rPr>
      </w:pPr>
      <w:r w:rsidRPr="006070EA">
        <w:rPr>
          <w:rFonts w:asciiTheme="majorHAnsi" w:hAnsiTheme="majorHAnsi" w:cstheme="majorHAnsi"/>
          <w:bCs/>
          <w:szCs w:val="18"/>
          <w:lang w:eastAsia="cs-CZ"/>
        </w:rPr>
        <w:tab/>
        <w:t>V území vytvářet podmínky pro zadržování, vsakování i využívání srážkových vod jako zdroje vody a s cílem zmírňování účinků povodní a sucha.</w:t>
      </w:r>
    </w:p>
    <w:p w14:paraId="7DA28362" w14:textId="77777777" w:rsidR="0068493C" w:rsidRPr="006070EA" w:rsidRDefault="0068493C" w:rsidP="0068493C">
      <w:pPr>
        <w:pStyle w:val="Atextkurzva"/>
        <w:ind w:left="709" w:hanging="709"/>
        <w:rPr>
          <w:rFonts w:asciiTheme="majorHAnsi" w:hAnsiTheme="majorHAnsi" w:cstheme="majorHAnsi"/>
          <w:bCs/>
          <w:szCs w:val="18"/>
          <w:lang w:eastAsia="cs-CZ"/>
        </w:rPr>
      </w:pPr>
      <w:r w:rsidRPr="006070EA">
        <w:rPr>
          <w:rFonts w:asciiTheme="majorHAnsi" w:hAnsiTheme="majorHAnsi" w:cstheme="majorHAnsi"/>
          <w:bCs/>
          <w:szCs w:val="18"/>
          <w:lang w:eastAsia="cs-CZ"/>
        </w:rPr>
        <w:tab/>
        <w:t>Při vymezování zastavitelných ploch zohlednit hospodaření se srážkovými vodami.</w:t>
      </w:r>
    </w:p>
    <w:p w14:paraId="5E974F6B" w14:textId="5B044EDF"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Opatření na ochranu před povodněmi a ochranná protierozní opatření směřující k celkovému zvyšování ekologické stability krajiny je možno realizovat v rámci většiny ploch s rozdílným způsobem využití ve volné krajině, zejména v</w:t>
      </w:r>
      <w:r w:rsidR="00D32D19" w:rsidRPr="006070EA">
        <w:rPr>
          <w:rFonts w:asciiTheme="majorHAnsi" w:hAnsiTheme="majorHAnsi" w:cstheme="majorHAnsi"/>
          <w:color w:val="auto"/>
        </w:rPr>
        <w:t> </w:t>
      </w:r>
      <w:r w:rsidRPr="006070EA">
        <w:rPr>
          <w:rFonts w:asciiTheme="majorHAnsi" w:hAnsiTheme="majorHAnsi" w:cstheme="majorHAnsi"/>
          <w:color w:val="auto"/>
        </w:rPr>
        <w:t>plochách smíšených nezastavěného území; protipovodňová opatření jsou podpořena také v rámci ploch vodních a vodohospodářských, zemědělských a lesních. Celkově jsou v nezastavěném území vymezeny plochy primárně určené k posílení ekologické stability území, přičemž ve většině z nich je umožněna realizace dalších opatření (liniové výsadby, zatravňovací pásy, protierozní průlehy apod.) zvyšujících přirozenou retenční schopnost území.</w:t>
      </w:r>
    </w:p>
    <w:p w14:paraId="6DCEAFC8" w14:textId="71675BA0"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S ohledem na požadavek vytváření podmínek pro zadržování, vsakování i využívání dešťových vod jako zdrojů vody a s cílem zmírňování účinků povodní je v rámci koncepce likvidace odpadních vod v území upřednostněno odstraňování dešťových vod vsakováním. Územní plán současně </w:t>
      </w:r>
      <w:r w:rsidR="00130E86" w:rsidRPr="006070EA">
        <w:rPr>
          <w:rFonts w:asciiTheme="majorHAnsi" w:hAnsiTheme="majorHAnsi" w:cstheme="majorHAnsi"/>
          <w:color w:val="auto"/>
        </w:rPr>
        <w:t xml:space="preserve">v rámci stanovených podmínek vybraných ploch s rozdílným způsobem využití jsou umožňuje realizaci opatření </w:t>
      </w:r>
      <w:r w:rsidRPr="006070EA">
        <w:rPr>
          <w:rFonts w:asciiTheme="majorHAnsi" w:hAnsiTheme="majorHAnsi" w:cstheme="majorHAnsi"/>
          <w:color w:val="auto"/>
        </w:rPr>
        <w:t>zvýšení retenční schopnosti území, čímž jsou spoluvytvářeny podmínky pro zvýšení přirozené retence v intenzivně zemědělsky využívaném území.</w:t>
      </w:r>
    </w:p>
    <w:p w14:paraId="2D3A8BC9" w14:textId="77777777" w:rsidR="0068493C" w:rsidRPr="006070EA" w:rsidRDefault="0068493C" w:rsidP="0068493C">
      <w:pPr>
        <w:pStyle w:val="Atextkurzva"/>
        <w:ind w:left="709" w:hanging="709"/>
        <w:rPr>
          <w:rFonts w:asciiTheme="majorHAnsi" w:hAnsiTheme="majorHAnsi" w:cstheme="majorHAnsi"/>
          <w:bCs/>
          <w:szCs w:val="18"/>
          <w:lang w:eastAsia="cs-CZ"/>
        </w:rPr>
      </w:pPr>
      <w:r w:rsidRPr="006070EA">
        <w:rPr>
          <w:rFonts w:asciiTheme="majorHAnsi" w:hAnsiTheme="majorHAnsi" w:cstheme="majorHAnsi"/>
          <w:bCs/>
          <w:i w:val="0"/>
          <w:iCs/>
          <w:szCs w:val="18"/>
          <w:lang w:eastAsia="cs-CZ"/>
        </w:rPr>
        <w:t>(27)</w:t>
      </w:r>
      <w:r w:rsidRPr="006070EA">
        <w:rPr>
          <w:rFonts w:asciiTheme="majorHAnsi" w:hAnsiTheme="majorHAnsi" w:cstheme="majorHAnsi"/>
          <w:bCs/>
          <w:szCs w:val="18"/>
          <w:lang w:eastAsia="cs-CZ"/>
        </w:rPr>
        <w:tab/>
        <w:t>Vytvářet podmínky pro koordinované umísťování veřejné infrastruktury v území a její rozvoj a tím podporovat její účelné využívání v rámci sídelní struktury, včetně podmínek pro rozvoj digitální technické infrastruktury. Vytvářet rovněž podmínky pro zkvalitnění dopravní dostupnosti obcí (měst), které jsou přirozenými regionálními centry v území tak, aby se díky možnostem, poloze i infrastruktuře těchto obcí zlepšovaly i podmínky pro rozvoj okolních obcí ve venkovských oblastech a v oblastech se specifickými geografickými podmínkami.</w:t>
      </w:r>
    </w:p>
    <w:p w14:paraId="3A1168E0" w14:textId="77777777" w:rsidR="0068493C" w:rsidRPr="006070EA" w:rsidRDefault="0068493C" w:rsidP="0068493C">
      <w:pPr>
        <w:pStyle w:val="Atextkurzva"/>
        <w:ind w:left="709"/>
        <w:rPr>
          <w:rFonts w:asciiTheme="majorHAnsi" w:hAnsiTheme="majorHAnsi" w:cstheme="majorHAnsi"/>
          <w:bCs/>
          <w:szCs w:val="18"/>
          <w:lang w:eastAsia="cs-CZ"/>
        </w:rPr>
      </w:pPr>
      <w:r w:rsidRPr="006070EA">
        <w:rPr>
          <w:rFonts w:asciiTheme="majorHAnsi" w:hAnsiTheme="majorHAnsi" w:cstheme="majorHAnsi"/>
          <w:bCs/>
          <w:szCs w:val="18"/>
          <w:lang w:eastAsia="cs-CZ"/>
        </w:rPr>
        <w:t xml:space="preserve">Při územně plánovací činnosti stanovovat podmínky pro vytvoření výkonné sítě osobní i nákladní železniční, silniční, vodní a letecké dopravy, včetně sítí regionálních letišť, efektivní dopravní sítě pro spojení městských oblastí s venkovskými oblastmi, stejně jako řešení přeshraniční dopravy, protože mobilita a dostupnost jsou klíčovými předpoklady hospodářského rozvoje ve všech regionech. </w:t>
      </w:r>
    </w:p>
    <w:p w14:paraId="48F11E75" w14:textId="6CD6E857" w:rsidR="0068493C" w:rsidRPr="006070EA" w:rsidRDefault="0068493C" w:rsidP="0068493C">
      <w:pPr>
        <w:pStyle w:val="Mra2-reakceern"/>
        <w:rPr>
          <w:rFonts w:asciiTheme="majorHAnsi" w:hAnsiTheme="majorHAnsi" w:cstheme="majorHAnsi"/>
        </w:rPr>
      </w:pPr>
      <w:r w:rsidRPr="006070EA">
        <w:rPr>
          <w:rFonts w:asciiTheme="majorHAnsi" w:hAnsiTheme="majorHAnsi" w:cstheme="majorHAnsi"/>
          <w:color w:val="auto"/>
        </w:rPr>
        <w:t xml:space="preserve">Koncepce veřejné infrastruktury je územním plánem stanovena s ohledem na stávající strukturu sídla, využívání území a stabilizovanou síť systémů technické a dopravní infrastruktury. Zastavitelné plochy jsou situovány ve vazbě na plochy stabilizované plochy tak, aby bylo možné zajistit efektivní zásobování pitnou vodou a energiemi. Územním plánem je v rámci veřejné infrastruktury podpořen především kvalitativní rozvoj dopravní a technické infrastruktury a občanského vybavení koordinovaný s okolními obcemi. Územním plánem je vymezen koridor železniční dopravy </w:t>
      </w:r>
      <w:r w:rsidR="00D32D19" w:rsidRPr="006070EA">
        <w:rPr>
          <w:rFonts w:asciiTheme="majorHAnsi" w:hAnsiTheme="majorHAnsi" w:cstheme="majorHAnsi"/>
          <w:color w:val="auto"/>
        </w:rPr>
        <w:t>CN</w:t>
      </w:r>
      <w:r w:rsidR="008F08A8">
        <w:rPr>
          <w:rFonts w:asciiTheme="majorHAnsi" w:hAnsiTheme="majorHAnsi" w:cstheme="majorHAnsi"/>
          <w:color w:val="auto"/>
        </w:rPr>
        <w:t>Z</w:t>
      </w:r>
      <w:r w:rsidR="00D32D19" w:rsidRPr="006070EA">
        <w:rPr>
          <w:rFonts w:asciiTheme="majorHAnsi" w:hAnsiTheme="majorHAnsi" w:cstheme="majorHAnsi"/>
          <w:color w:val="auto"/>
        </w:rPr>
        <w:t>.</w:t>
      </w:r>
      <w:r w:rsidR="008F08A8">
        <w:rPr>
          <w:rFonts w:asciiTheme="majorHAnsi" w:hAnsiTheme="majorHAnsi" w:cstheme="majorHAnsi"/>
          <w:color w:val="auto"/>
        </w:rPr>
        <w:t>D322</w:t>
      </w:r>
      <w:r w:rsidRPr="006070EA">
        <w:rPr>
          <w:rFonts w:asciiTheme="majorHAnsi" w:hAnsiTheme="majorHAnsi" w:cstheme="majorHAnsi"/>
          <w:color w:val="auto"/>
        </w:rPr>
        <w:t xml:space="preserve"> pro modernizaci železniční trati č. 231 (v úseku Nymburk – Lysá nad Labem) umožňující zkvalitnění veřejného dopravního spojení s vyššími centry.</w:t>
      </w:r>
    </w:p>
    <w:p w14:paraId="652A5A79" w14:textId="77777777" w:rsidR="0068493C" w:rsidRPr="006070EA" w:rsidRDefault="0068493C" w:rsidP="0068493C">
      <w:pPr>
        <w:keepNext/>
        <w:spacing w:before="120" w:after="60" w:line="240" w:lineRule="auto"/>
        <w:ind w:left="703" w:hanging="703"/>
        <w:jc w:val="both"/>
        <w:rPr>
          <w:rFonts w:asciiTheme="majorHAnsi" w:hAnsiTheme="majorHAnsi" w:cstheme="majorHAnsi"/>
          <w:sz w:val="18"/>
          <w:szCs w:val="18"/>
        </w:rPr>
      </w:pPr>
      <w:r w:rsidRPr="006070EA">
        <w:rPr>
          <w:rFonts w:asciiTheme="majorHAnsi" w:hAnsiTheme="majorHAnsi" w:cstheme="majorHAnsi"/>
          <w:sz w:val="18"/>
          <w:szCs w:val="18"/>
        </w:rPr>
        <w:t xml:space="preserve"> (30)</w:t>
      </w:r>
      <w:r w:rsidRPr="006070EA">
        <w:rPr>
          <w:rFonts w:asciiTheme="majorHAnsi" w:hAnsiTheme="majorHAnsi" w:cstheme="majorHAnsi"/>
          <w:sz w:val="18"/>
          <w:szCs w:val="18"/>
        </w:rPr>
        <w:tab/>
      </w:r>
      <w:r w:rsidRPr="006070EA">
        <w:rPr>
          <w:rFonts w:asciiTheme="majorHAnsi" w:hAnsiTheme="majorHAnsi" w:cstheme="majorHAnsi"/>
          <w:i/>
          <w:sz w:val="18"/>
          <w:szCs w:val="18"/>
        </w:rPr>
        <w:t>Úroveň technické infrastruktury, zejména dodávku vody a zpracování odpadních vod je nutno koncipovat tak, aby splňovala požadavky na vysokou kvalitu života v současnosti i budoucnosti.</w:t>
      </w:r>
    </w:p>
    <w:p w14:paraId="24DDCA59" w14:textId="77777777"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řeší jednotlivé koncepce technické infrastruktury v oblastech zásobování pitnou vodou a odkanalizování samostatně, podrobněji viz kapitola </w:t>
      </w:r>
      <w:r w:rsidRPr="006070EA">
        <w:rPr>
          <w:rFonts w:asciiTheme="majorHAnsi" w:hAnsiTheme="majorHAnsi" w:cstheme="majorHAnsi"/>
          <w:i/>
          <w:color w:val="auto"/>
        </w:rPr>
        <w:t>11.4.4 Odůvodnění koncepce technické infrastruktury</w:t>
      </w:r>
      <w:r w:rsidRPr="006070EA">
        <w:rPr>
          <w:rFonts w:asciiTheme="majorHAnsi" w:hAnsiTheme="majorHAnsi" w:cstheme="majorHAnsi"/>
          <w:color w:val="auto"/>
        </w:rPr>
        <w:t xml:space="preserve">. </w:t>
      </w:r>
    </w:p>
    <w:p w14:paraId="6BA86B81" w14:textId="77777777"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Při vymezování zastavitelných ploch byla jedním z kritérií dostupnost provozovaných systémů technické infrastruktury (veřejného vodovodu, plynovodu, elektrické energie). Zastavitelné plochy jsou situovány ve vazbě na stávající a navrhované systémy technické infrastruktury tak, aby bylo umožněno napojení těchto lokalit na stávající inženýrské sítě s minimálními dodatečnými náklady. </w:t>
      </w:r>
    </w:p>
    <w:p w14:paraId="37313664" w14:textId="3A1BD300"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Ve snaze o zvýšení úrovně technické infrastruktury v území jsou vytvořeny podmínky pro rozvoj všech systémů technické infrastruktury v rámci urbanizovaného území. Územní plán vymezuje koridory pro rozvoj </w:t>
      </w:r>
      <w:r w:rsidRPr="006070EA">
        <w:rPr>
          <w:rFonts w:asciiTheme="majorHAnsi" w:hAnsiTheme="majorHAnsi" w:cstheme="majorHAnsi"/>
          <w:color w:val="auto"/>
        </w:rPr>
        <w:lastRenderedPageBreak/>
        <w:t>vodovodů a kanalizací mezi jednotlivými sídly řešeného území (</w:t>
      </w:r>
      <w:r w:rsidR="00D32D19" w:rsidRPr="006070EA">
        <w:rPr>
          <w:rFonts w:asciiTheme="majorHAnsi" w:hAnsiTheme="majorHAnsi" w:cstheme="majorHAnsi"/>
          <w:color w:val="auto"/>
        </w:rPr>
        <w:t>CNU.</w:t>
      </w:r>
      <w:r w:rsidRPr="006070EA">
        <w:rPr>
          <w:rFonts w:asciiTheme="majorHAnsi" w:hAnsiTheme="majorHAnsi" w:cstheme="majorHAnsi"/>
          <w:color w:val="auto"/>
        </w:rPr>
        <w:t>KTI</w:t>
      </w:r>
      <w:r w:rsidR="00D32D19" w:rsidRPr="006070EA">
        <w:rPr>
          <w:rFonts w:asciiTheme="majorHAnsi" w:hAnsiTheme="majorHAnsi" w:cstheme="majorHAnsi"/>
          <w:color w:val="auto"/>
        </w:rPr>
        <w:t>1</w:t>
      </w:r>
      <w:r w:rsidRPr="006070EA">
        <w:rPr>
          <w:rFonts w:asciiTheme="majorHAnsi" w:hAnsiTheme="majorHAnsi" w:cstheme="majorHAnsi"/>
          <w:color w:val="auto"/>
        </w:rPr>
        <w:t xml:space="preserve">) pro koordinaci rozvoje zejména technické a dopravní veřejné infrastruktury v území. </w:t>
      </w:r>
    </w:p>
    <w:p w14:paraId="76005DFC" w14:textId="77777777" w:rsidR="0068493C" w:rsidRPr="006070EA" w:rsidRDefault="0068493C" w:rsidP="0068493C">
      <w:pPr>
        <w:pStyle w:val="Anadpistun"/>
        <w:rPr>
          <w:rFonts w:asciiTheme="majorHAnsi" w:hAnsiTheme="majorHAnsi" w:cstheme="majorHAnsi"/>
        </w:rPr>
      </w:pPr>
      <w:r w:rsidRPr="006070EA">
        <w:rPr>
          <w:rFonts w:asciiTheme="majorHAnsi" w:hAnsiTheme="majorHAnsi" w:cstheme="majorHAnsi"/>
        </w:rPr>
        <w:t xml:space="preserve">Specifické oblasti </w:t>
      </w:r>
    </w:p>
    <w:p w14:paraId="07228D94" w14:textId="77777777" w:rsidR="0068493C" w:rsidRPr="006070EA" w:rsidRDefault="0068493C" w:rsidP="0068493C">
      <w:pPr>
        <w:suppressAutoHyphens/>
        <w:spacing w:before="120" w:after="120" w:line="240" w:lineRule="auto"/>
        <w:ind w:left="709" w:hanging="709"/>
        <w:jc w:val="both"/>
        <w:rPr>
          <w:rFonts w:asciiTheme="majorHAnsi" w:eastAsia="Times New Roman" w:hAnsiTheme="majorHAnsi" w:cstheme="majorHAnsi"/>
          <w:i/>
          <w:sz w:val="18"/>
          <w:szCs w:val="20"/>
          <w:lang w:eastAsia="ar-SA"/>
        </w:rPr>
      </w:pPr>
      <w:r w:rsidRPr="006070EA">
        <w:rPr>
          <w:rFonts w:asciiTheme="majorHAnsi" w:eastAsia="Times New Roman" w:hAnsiTheme="majorHAnsi" w:cstheme="majorHAnsi"/>
          <w:iCs/>
          <w:sz w:val="18"/>
          <w:szCs w:val="20"/>
          <w:lang w:eastAsia="ar-SA"/>
        </w:rPr>
        <w:t>(</w:t>
      </w:r>
      <w:proofErr w:type="gramStart"/>
      <w:r w:rsidRPr="006070EA">
        <w:rPr>
          <w:rFonts w:asciiTheme="majorHAnsi" w:eastAsia="Times New Roman" w:hAnsiTheme="majorHAnsi" w:cstheme="majorHAnsi"/>
          <w:iCs/>
          <w:sz w:val="18"/>
          <w:szCs w:val="20"/>
          <w:lang w:eastAsia="ar-SA"/>
        </w:rPr>
        <w:t>75b</w:t>
      </w:r>
      <w:proofErr w:type="gramEnd"/>
      <w:r w:rsidRPr="006070EA">
        <w:rPr>
          <w:rFonts w:asciiTheme="majorHAnsi" w:eastAsia="Times New Roman" w:hAnsiTheme="majorHAnsi" w:cstheme="majorHAnsi"/>
          <w:iCs/>
          <w:sz w:val="18"/>
          <w:szCs w:val="20"/>
          <w:lang w:eastAsia="ar-SA"/>
        </w:rPr>
        <w:t>)</w:t>
      </w:r>
      <w:r w:rsidRPr="006070EA">
        <w:rPr>
          <w:rFonts w:asciiTheme="majorHAnsi" w:eastAsia="Times New Roman" w:hAnsiTheme="majorHAnsi" w:cstheme="majorHAnsi"/>
          <w:i/>
          <w:sz w:val="18"/>
          <w:szCs w:val="20"/>
          <w:lang w:eastAsia="ar-SA"/>
        </w:rPr>
        <w:t xml:space="preserve"> </w:t>
      </w:r>
      <w:r w:rsidRPr="006070EA">
        <w:rPr>
          <w:rFonts w:asciiTheme="majorHAnsi" w:eastAsia="Times New Roman" w:hAnsiTheme="majorHAnsi" w:cstheme="majorHAnsi"/>
          <w:i/>
          <w:sz w:val="18"/>
          <w:szCs w:val="20"/>
          <w:lang w:eastAsia="ar-SA"/>
        </w:rPr>
        <w:tab/>
      </w:r>
      <w:r w:rsidRPr="006070EA">
        <w:rPr>
          <w:rFonts w:asciiTheme="majorHAnsi" w:eastAsia="Times New Roman" w:hAnsiTheme="majorHAnsi" w:cstheme="majorHAnsi"/>
          <w:b/>
          <w:bCs/>
          <w:i/>
          <w:sz w:val="18"/>
          <w:szCs w:val="20"/>
          <w:lang w:eastAsia="ar-SA"/>
        </w:rPr>
        <w:t>SOB9 Specifická oblast, ve které se projevuje aktuální problém ohrožení území suchem</w:t>
      </w:r>
      <w:r w:rsidRPr="006070EA">
        <w:rPr>
          <w:rFonts w:asciiTheme="majorHAnsi" w:eastAsia="Times New Roman" w:hAnsiTheme="majorHAnsi" w:cstheme="majorHAnsi"/>
          <w:i/>
          <w:sz w:val="18"/>
          <w:szCs w:val="20"/>
          <w:lang w:eastAsia="ar-SA"/>
        </w:rPr>
        <w:t xml:space="preserve"> </w:t>
      </w:r>
    </w:p>
    <w:p w14:paraId="539E1226" w14:textId="77777777" w:rsidR="0068493C" w:rsidRPr="006070EA" w:rsidRDefault="0068493C" w:rsidP="0068493C">
      <w:pPr>
        <w:suppressAutoHyphens/>
        <w:spacing w:before="120" w:after="120" w:line="240" w:lineRule="auto"/>
        <w:ind w:left="709"/>
        <w:jc w:val="both"/>
        <w:rPr>
          <w:rFonts w:asciiTheme="majorHAnsi" w:eastAsia="Times New Roman" w:hAnsiTheme="majorHAnsi" w:cstheme="majorHAnsi"/>
          <w:bCs/>
          <w:i/>
          <w:sz w:val="18"/>
          <w:szCs w:val="20"/>
          <w:lang w:eastAsia="ar-SA"/>
        </w:rPr>
      </w:pPr>
      <w:r w:rsidRPr="006070EA">
        <w:rPr>
          <w:rFonts w:asciiTheme="majorHAnsi" w:eastAsia="Times New Roman" w:hAnsiTheme="majorHAnsi" w:cstheme="majorHAnsi"/>
          <w:bCs/>
          <w:i/>
          <w:sz w:val="18"/>
          <w:szCs w:val="20"/>
          <w:lang w:eastAsia="ar-SA"/>
        </w:rPr>
        <w:t xml:space="preserve">Úkoly pro územní plánování: </w:t>
      </w:r>
    </w:p>
    <w:p w14:paraId="722B1C29" w14:textId="77777777" w:rsidR="0068493C" w:rsidRPr="006070EA" w:rsidRDefault="0068493C" w:rsidP="0068493C">
      <w:pPr>
        <w:suppressAutoHyphens/>
        <w:spacing w:before="120" w:after="120" w:line="240" w:lineRule="auto"/>
        <w:ind w:left="709"/>
        <w:jc w:val="both"/>
        <w:rPr>
          <w:rFonts w:asciiTheme="majorHAnsi" w:eastAsia="Times New Roman" w:hAnsiTheme="majorHAnsi" w:cstheme="majorHAnsi"/>
          <w:bCs/>
          <w:i/>
          <w:sz w:val="18"/>
          <w:szCs w:val="20"/>
          <w:lang w:eastAsia="ar-SA"/>
        </w:rPr>
      </w:pPr>
      <w:r w:rsidRPr="006070EA">
        <w:rPr>
          <w:rFonts w:asciiTheme="majorHAnsi" w:eastAsia="Times New Roman" w:hAnsiTheme="majorHAnsi" w:cstheme="majorHAnsi"/>
          <w:bCs/>
          <w:i/>
          <w:sz w:val="18"/>
          <w:szCs w:val="20"/>
          <w:lang w:eastAsia="ar-SA"/>
        </w:rPr>
        <w:t xml:space="preserve">V rámci územně plánovací činnosti kraje a koordinace územně plánovací činnosti obcí </w:t>
      </w:r>
    </w:p>
    <w:p w14:paraId="7AE4415C" w14:textId="77777777" w:rsidR="0068493C" w:rsidRPr="006070EA" w:rsidRDefault="0068493C" w:rsidP="0068493C">
      <w:pPr>
        <w:suppressAutoHyphens/>
        <w:spacing w:before="120" w:after="120" w:line="240" w:lineRule="auto"/>
        <w:ind w:left="709"/>
        <w:jc w:val="both"/>
        <w:rPr>
          <w:rFonts w:asciiTheme="majorHAnsi" w:eastAsia="Times New Roman" w:hAnsiTheme="majorHAnsi" w:cstheme="majorHAnsi"/>
          <w:bCs/>
          <w:i/>
          <w:sz w:val="18"/>
          <w:szCs w:val="20"/>
          <w:lang w:eastAsia="ar-SA"/>
        </w:rPr>
      </w:pPr>
      <w:bookmarkStart w:id="65" w:name="_Hlk89540521"/>
      <w:r w:rsidRPr="006070EA">
        <w:rPr>
          <w:rFonts w:asciiTheme="majorHAnsi" w:eastAsia="Times New Roman" w:hAnsiTheme="majorHAnsi" w:cstheme="majorHAnsi"/>
          <w:bCs/>
          <w:i/>
          <w:sz w:val="18"/>
          <w:szCs w:val="20"/>
          <w:lang w:eastAsia="ar-SA"/>
        </w:rPr>
        <w:t xml:space="preserve">a) vytvářet územní podmínky pro podporu přirozeného vodního režimu v krajině a zvyšování jejích retenčních a akumulačních vlastností, zejm. vytvářením územních podmínek pro vznik a zachování odolné stabilní vyvážené pestré a členité krajiny, tj. krajiny s vhodným poměrem ploch lesů, mezí, luk, vodních ploch a vodních toků (zejména neregulované vodní toky s doprovodnou zelení), cestní sítě (s doprovodnou zelení), a orné půdy (zejm. velké plochy orné půdy rozčleněné mezemi, cestní sítí, vsakovacími travními pruhy), </w:t>
      </w:r>
    </w:p>
    <w:p w14:paraId="21AC58FD" w14:textId="77777777" w:rsidR="0068493C" w:rsidRPr="006070EA" w:rsidRDefault="0068493C" w:rsidP="0068493C">
      <w:pPr>
        <w:suppressAutoHyphens/>
        <w:spacing w:before="120" w:after="120" w:line="240" w:lineRule="auto"/>
        <w:ind w:left="709"/>
        <w:jc w:val="both"/>
        <w:rPr>
          <w:rFonts w:asciiTheme="majorHAnsi" w:eastAsia="Times New Roman" w:hAnsiTheme="majorHAnsi" w:cstheme="majorHAnsi"/>
          <w:bCs/>
          <w:i/>
          <w:sz w:val="18"/>
          <w:szCs w:val="20"/>
          <w:lang w:eastAsia="ar-SA"/>
        </w:rPr>
      </w:pPr>
      <w:bookmarkStart w:id="66" w:name="_Hlk89540549"/>
      <w:bookmarkEnd w:id="65"/>
      <w:r w:rsidRPr="006070EA">
        <w:rPr>
          <w:rFonts w:asciiTheme="majorHAnsi" w:eastAsia="Times New Roman" w:hAnsiTheme="majorHAnsi" w:cstheme="majorHAnsi"/>
          <w:bCs/>
          <w:i/>
          <w:sz w:val="18"/>
          <w:szCs w:val="20"/>
          <w:lang w:eastAsia="ar-SA"/>
        </w:rPr>
        <w:t xml:space="preserve">b) vytvářet územní podmínky pro revitalizaci a renaturaci vodních toků a niv a pro obnovu ostatních vodních prvků v krajině, </w:t>
      </w:r>
    </w:p>
    <w:p w14:paraId="6BDEB168" w14:textId="77777777" w:rsidR="0068493C" w:rsidRPr="006070EA" w:rsidRDefault="0068493C" w:rsidP="0068493C">
      <w:pPr>
        <w:suppressAutoHyphens/>
        <w:spacing w:before="120" w:after="120" w:line="240" w:lineRule="auto"/>
        <w:ind w:left="709"/>
        <w:jc w:val="both"/>
        <w:rPr>
          <w:rFonts w:asciiTheme="majorHAnsi" w:eastAsia="Times New Roman" w:hAnsiTheme="majorHAnsi" w:cstheme="majorHAnsi"/>
          <w:bCs/>
          <w:i/>
          <w:sz w:val="18"/>
          <w:szCs w:val="20"/>
          <w:lang w:eastAsia="ar-SA"/>
        </w:rPr>
      </w:pPr>
      <w:r w:rsidRPr="006070EA">
        <w:rPr>
          <w:rFonts w:asciiTheme="majorHAnsi" w:eastAsia="Times New Roman" w:hAnsiTheme="majorHAnsi" w:cstheme="majorHAnsi"/>
          <w:bCs/>
          <w:i/>
          <w:sz w:val="18"/>
          <w:szCs w:val="20"/>
          <w:lang w:eastAsia="ar-SA"/>
        </w:rPr>
        <w:t xml:space="preserve">c) vytvářet územní podmínky pro hospodaření se srážkovými vodami v urbanizovaných územích, tj. dbát na dostatek ploch sídelní zeleně a vodních ploch určených pro zadržování a zasakování vody, </w:t>
      </w:r>
    </w:p>
    <w:bookmarkEnd w:id="66"/>
    <w:p w14:paraId="5948D845" w14:textId="77777777" w:rsidR="0068493C" w:rsidRPr="006070EA" w:rsidRDefault="0068493C" w:rsidP="0068493C">
      <w:pPr>
        <w:suppressAutoHyphens/>
        <w:spacing w:before="120" w:after="120" w:line="240" w:lineRule="auto"/>
        <w:ind w:left="709"/>
        <w:jc w:val="both"/>
        <w:rPr>
          <w:rFonts w:asciiTheme="majorHAnsi" w:eastAsia="Times New Roman" w:hAnsiTheme="majorHAnsi" w:cstheme="majorHAnsi"/>
          <w:bCs/>
          <w:i/>
          <w:sz w:val="18"/>
          <w:szCs w:val="20"/>
          <w:lang w:eastAsia="ar-SA"/>
        </w:rPr>
      </w:pPr>
      <w:r w:rsidRPr="006070EA">
        <w:rPr>
          <w:rFonts w:asciiTheme="majorHAnsi" w:eastAsia="Times New Roman" w:hAnsiTheme="majorHAnsi" w:cstheme="majorHAnsi"/>
          <w:bCs/>
          <w:i/>
          <w:sz w:val="18"/>
          <w:szCs w:val="20"/>
          <w:lang w:eastAsia="ar-SA"/>
        </w:rPr>
        <w:t xml:space="preserve">d) vytvářet územní podmínky pro zvyšování odolnosti půdy vůči větrné a vodní erozi, zejm. zatravněním a zakládáním a udržováním dalších protierozních prvků, např. větrolamů, mezí, zasakovacích pásů a příkopů, </w:t>
      </w:r>
    </w:p>
    <w:p w14:paraId="5A9DA1B6" w14:textId="77777777" w:rsidR="0068493C" w:rsidRPr="006070EA" w:rsidRDefault="0068493C" w:rsidP="0068493C">
      <w:pPr>
        <w:suppressAutoHyphens/>
        <w:spacing w:before="120" w:after="120" w:line="240" w:lineRule="auto"/>
        <w:ind w:left="709"/>
        <w:jc w:val="both"/>
        <w:rPr>
          <w:rFonts w:asciiTheme="majorHAnsi" w:eastAsia="Times New Roman" w:hAnsiTheme="majorHAnsi" w:cstheme="majorHAnsi"/>
          <w:bCs/>
          <w:i/>
          <w:sz w:val="18"/>
          <w:szCs w:val="20"/>
          <w:lang w:eastAsia="ar-SA"/>
        </w:rPr>
      </w:pPr>
      <w:r w:rsidRPr="006070EA">
        <w:rPr>
          <w:rFonts w:asciiTheme="majorHAnsi" w:eastAsia="Times New Roman" w:hAnsiTheme="majorHAnsi" w:cstheme="majorHAnsi"/>
          <w:bCs/>
          <w:i/>
          <w:sz w:val="18"/>
          <w:szCs w:val="20"/>
          <w:lang w:eastAsia="ar-SA"/>
        </w:rPr>
        <w:t xml:space="preserve">e) vytvářet územní podmínky pro rozvoj a údržbu vodohospodářské infrastruktury, pro zabezpečení požadavků na dodávky vody v období nepříznivých hydrologických 45 podmínek, zejm. pro infrastrukturu k zajištění dodávek vody z oblastí s příznivější vodohospodářskou situací a s ohledem na místní podmínky pro budování nových zejm. povrchových zdrojů vody, </w:t>
      </w:r>
    </w:p>
    <w:p w14:paraId="6C51AA5E" w14:textId="77777777" w:rsidR="0068493C" w:rsidRPr="006070EA" w:rsidRDefault="0068493C" w:rsidP="0068493C">
      <w:pPr>
        <w:suppressAutoHyphens/>
        <w:spacing w:before="120" w:after="120" w:line="240" w:lineRule="auto"/>
        <w:ind w:left="709"/>
        <w:jc w:val="both"/>
        <w:rPr>
          <w:rFonts w:asciiTheme="majorHAnsi" w:eastAsia="Times New Roman" w:hAnsiTheme="majorHAnsi" w:cstheme="majorHAnsi"/>
          <w:bCs/>
          <w:i/>
          <w:sz w:val="18"/>
          <w:szCs w:val="20"/>
          <w:lang w:eastAsia="ar-SA"/>
        </w:rPr>
      </w:pPr>
      <w:r w:rsidRPr="006070EA">
        <w:rPr>
          <w:rFonts w:asciiTheme="majorHAnsi" w:eastAsia="Times New Roman" w:hAnsiTheme="majorHAnsi" w:cstheme="majorHAnsi"/>
          <w:bCs/>
          <w:i/>
          <w:sz w:val="18"/>
          <w:szCs w:val="20"/>
          <w:lang w:eastAsia="ar-SA"/>
        </w:rPr>
        <w:t>f) pro řešení problematiky sucha, zejm. tak jak je specifikováno výše v písm. a) až e) (příp. navrhovat i další vhodná opatření pro obnovu přirozeného vodního režimu v krajině) využívat zejména územní studie krajiny.</w:t>
      </w:r>
    </w:p>
    <w:p w14:paraId="1401BD88" w14:textId="459A6333"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vytváří podmínky pro zlepšení vodního režimu a zvýšení retenční schopnosti krajiny </w:t>
      </w:r>
      <w:r w:rsidR="00130E86" w:rsidRPr="006070EA">
        <w:rPr>
          <w:rFonts w:asciiTheme="majorHAnsi" w:hAnsiTheme="majorHAnsi" w:cstheme="majorHAnsi"/>
          <w:color w:val="auto"/>
        </w:rPr>
        <w:t>v rámci stanovených podmínek pro využití vybraných ploch s rozdílným způsobem využití</w:t>
      </w:r>
      <w:r w:rsidRPr="006070EA">
        <w:rPr>
          <w:rFonts w:asciiTheme="majorHAnsi" w:hAnsiTheme="majorHAnsi" w:cstheme="majorHAnsi"/>
          <w:color w:val="auto"/>
        </w:rPr>
        <w:t>. Ve volné krajině jsou dále stanoveny obecné podmínky pro zajištění a</w:t>
      </w:r>
      <w:r w:rsidR="00492028" w:rsidRPr="006070EA">
        <w:rPr>
          <w:rFonts w:asciiTheme="majorHAnsi" w:hAnsiTheme="majorHAnsi" w:cstheme="majorHAnsi"/>
          <w:color w:val="auto"/>
        </w:rPr>
        <w:t> </w:t>
      </w:r>
      <w:r w:rsidRPr="006070EA">
        <w:rPr>
          <w:rFonts w:asciiTheme="majorHAnsi" w:hAnsiTheme="majorHAnsi" w:cstheme="majorHAnsi"/>
          <w:color w:val="auto"/>
        </w:rPr>
        <w:t xml:space="preserve">zvýšení retenční schopnosti krajiny, definovány jsou obecné zásady protipovodňové ochrany území zahrnující ochranu přirozených rozlivových území a podporu přírodě blízkých revitalizačních opatření na vodních tocích. V řešení ÚP jsou stabilizovány plochy krajinné zeleně v režimu ploch zeleně </w:t>
      </w:r>
      <w:r w:rsidR="00D32D19" w:rsidRPr="006070EA">
        <w:rPr>
          <w:rFonts w:asciiTheme="majorHAnsi" w:hAnsiTheme="majorHAnsi" w:cstheme="majorHAnsi"/>
          <w:color w:val="auto"/>
        </w:rPr>
        <w:t xml:space="preserve">krajinné </w:t>
      </w:r>
      <w:r w:rsidRPr="006070EA">
        <w:rPr>
          <w:rFonts w:asciiTheme="majorHAnsi" w:hAnsiTheme="majorHAnsi" w:cstheme="majorHAnsi"/>
          <w:color w:val="auto"/>
        </w:rPr>
        <w:t>(Z</w:t>
      </w:r>
      <w:r w:rsidR="00D32D19" w:rsidRPr="006070EA">
        <w:rPr>
          <w:rFonts w:asciiTheme="majorHAnsi" w:hAnsiTheme="majorHAnsi" w:cstheme="majorHAnsi"/>
          <w:color w:val="auto"/>
        </w:rPr>
        <w:t>K</w:t>
      </w:r>
      <w:r w:rsidRPr="006070EA">
        <w:rPr>
          <w:rFonts w:asciiTheme="majorHAnsi" w:hAnsiTheme="majorHAnsi" w:cstheme="majorHAnsi"/>
          <w:color w:val="auto"/>
        </w:rPr>
        <w:t xml:space="preserve">), vymezen je územní systém ekologické stability navazující na zachovalé přírodní prvky v území; vymezením zastavitelných ploch není zasahováno do údolních niv a přírodně cenných ploch. </w:t>
      </w:r>
    </w:p>
    <w:p w14:paraId="21D0B4BE" w14:textId="77777777" w:rsidR="0068493C" w:rsidRPr="006070EA" w:rsidRDefault="0068493C" w:rsidP="00404149">
      <w:pPr>
        <w:pStyle w:val="Anadpistun"/>
        <w:rPr>
          <w:rFonts w:asciiTheme="majorHAnsi" w:hAnsiTheme="majorHAnsi" w:cstheme="majorHAnsi"/>
        </w:rPr>
      </w:pPr>
      <w:r w:rsidRPr="006070EA">
        <w:rPr>
          <w:rFonts w:asciiTheme="majorHAnsi" w:hAnsiTheme="majorHAnsi" w:cstheme="majorHAnsi"/>
        </w:rPr>
        <w:t>Koridory a plochy dopravní infrastruktury</w:t>
      </w:r>
    </w:p>
    <w:p w14:paraId="5EB2A88D" w14:textId="77777777" w:rsidR="0068493C" w:rsidRPr="006070EA" w:rsidRDefault="0068493C" w:rsidP="00404149">
      <w:pPr>
        <w:keepNext/>
        <w:spacing w:before="120" w:after="120" w:line="240" w:lineRule="auto"/>
        <w:ind w:firstLine="284"/>
        <w:rPr>
          <w:rFonts w:asciiTheme="majorHAnsi" w:hAnsiTheme="majorHAnsi" w:cstheme="majorHAnsi"/>
          <w:sz w:val="18"/>
          <w:u w:val="single"/>
        </w:rPr>
      </w:pPr>
      <w:r w:rsidRPr="006070EA">
        <w:rPr>
          <w:rFonts w:asciiTheme="majorHAnsi" w:hAnsiTheme="majorHAnsi" w:cstheme="majorHAnsi"/>
          <w:sz w:val="18"/>
          <w:u w:val="single"/>
        </w:rPr>
        <w:t>Vodní doprava</w:t>
      </w:r>
    </w:p>
    <w:p w14:paraId="06F906A9" w14:textId="257FE77B" w:rsidR="0068493C" w:rsidRPr="006070EA" w:rsidRDefault="0068493C" w:rsidP="00404149">
      <w:pPr>
        <w:keepNext/>
        <w:spacing w:before="120" w:after="120" w:line="240" w:lineRule="auto"/>
        <w:rPr>
          <w:rFonts w:asciiTheme="majorHAnsi" w:hAnsiTheme="majorHAnsi" w:cstheme="majorHAnsi"/>
          <w:b/>
          <w:i/>
          <w:sz w:val="18"/>
        </w:rPr>
      </w:pPr>
      <w:r w:rsidRPr="006070EA">
        <w:rPr>
          <w:rFonts w:asciiTheme="majorHAnsi" w:hAnsiTheme="majorHAnsi" w:cstheme="majorHAnsi"/>
          <w:iCs/>
          <w:sz w:val="18"/>
        </w:rPr>
        <w:t>(123)</w:t>
      </w:r>
      <w:r w:rsidRPr="006070EA">
        <w:rPr>
          <w:rFonts w:asciiTheme="majorHAnsi" w:hAnsiTheme="majorHAnsi" w:cstheme="majorHAnsi"/>
          <w:b/>
          <w:i/>
          <w:sz w:val="18"/>
        </w:rPr>
        <w:tab/>
        <w:t>VD1</w:t>
      </w:r>
    </w:p>
    <w:p w14:paraId="1A814848" w14:textId="77777777" w:rsidR="0068493C" w:rsidRPr="006070EA" w:rsidRDefault="0068493C" w:rsidP="00404149">
      <w:pPr>
        <w:keepNext/>
        <w:spacing w:before="120" w:after="120" w:line="240" w:lineRule="auto"/>
        <w:ind w:left="708"/>
        <w:jc w:val="both"/>
        <w:rPr>
          <w:rFonts w:asciiTheme="majorHAnsi" w:hAnsiTheme="majorHAnsi" w:cstheme="majorHAnsi"/>
          <w:i/>
          <w:sz w:val="18"/>
        </w:rPr>
      </w:pPr>
      <w:r w:rsidRPr="006070EA">
        <w:rPr>
          <w:rFonts w:asciiTheme="majorHAnsi" w:hAnsiTheme="majorHAnsi" w:cstheme="majorHAnsi"/>
          <w:i/>
          <w:sz w:val="18"/>
          <w:u w:val="single"/>
        </w:rPr>
        <w:t>Vymezení</w:t>
      </w:r>
      <w:r w:rsidRPr="006070EA">
        <w:rPr>
          <w:rFonts w:asciiTheme="majorHAnsi" w:hAnsiTheme="majorHAnsi" w:cstheme="majorHAnsi"/>
          <w:i/>
          <w:sz w:val="18"/>
        </w:rPr>
        <w:t xml:space="preserve">: </w:t>
      </w:r>
      <w:r w:rsidRPr="006070EA">
        <w:rPr>
          <w:rFonts w:asciiTheme="majorHAnsi" w:hAnsiTheme="majorHAnsi" w:cstheme="majorHAnsi"/>
          <w:b/>
          <w:bCs/>
          <w:i/>
          <w:sz w:val="18"/>
          <w:szCs w:val="20"/>
        </w:rPr>
        <w:t>Labe: Pardubice – hranice ČR/Německo (-Dresden)</w:t>
      </w:r>
    </w:p>
    <w:p w14:paraId="6CBE9F30" w14:textId="77777777" w:rsidR="0068493C" w:rsidRPr="006070EA" w:rsidRDefault="0068493C" w:rsidP="00404149">
      <w:pPr>
        <w:keepNext/>
        <w:spacing w:before="120" w:after="120" w:line="240" w:lineRule="auto"/>
        <w:ind w:left="708"/>
        <w:jc w:val="both"/>
        <w:rPr>
          <w:rFonts w:asciiTheme="majorHAnsi" w:hAnsiTheme="majorHAnsi" w:cstheme="majorHAnsi"/>
          <w:i/>
          <w:sz w:val="18"/>
        </w:rPr>
      </w:pPr>
      <w:r w:rsidRPr="006070EA">
        <w:rPr>
          <w:rFonts w:asciiTheme="majorHAnsi" w:hAnsiTheme="majorHAnsi" w:cstheme="majorHAnsi"/>
          <w:i/>
          <w:sz w:val="18"/>
          <w:u w:val="single"/>
        </w:rPr>
        <w:t>Důvody vymezení</w:t>
      </w:r>
      <w:r w:rsidRPr="006070EA">
        <w:rPr>
          <w:rFonts w:asciiTheme="majorHAnsi" w:hAnsiTheme="majorHAnsi" w:cstheme="majorHAnsi"/>
          <w:i/>
          <w:sz w:val="18"/>
        </w:rPr>
        <w:t>: Vytvoření územních podmínek pro zabezpečení splavnosti Labe jako vodní cesty mezinárodního významu. Součást TEN-T.</w:t>
      </w:r>
    </w:p>
    <w:p w14:paraId="67EDD4A5" w14:textId="77777777" w:rsidR="0068493C" w:rsidRPr="006070EA" w:rsidRDefault="0068493C" w:rsidP="00404149">
      <w:pPr>
        <w:keepNext/>
        <w:spacing w:before="120" w:after="120" w:line="240" w:lineRule="auto"/>
        <w:ind w:left="708"/>
        <w:jc w:val="both"/>
        <w:rPr>
          <w:rFonts w:asciiTheme="majorHAnsi" w:hAnsiTheme="majorHAnsi" w:cstheme="majorHAnsi"/>
          <w:i/>
          <w:sz w:val="18"/>
          <w:szCs w:val="20"/>
        </w:rPr>
      </w:pPr>
      <w:r w:rsidRPr="006070EA">
        <w:rPr>
          <w:rFonts w:asciiTheme="majorHAnsi" w:hAnsiTheme="majorHAnsi" w:cstheme="majorHAnsi"/>
          <w:i/>
          <w:sz w:val="18"/>
          <w:u w:val="single"/>
        </w:rPr>
        <w:t>Úkoly pro územní plánování</w:t>
      </w:r>
      <w:r w:rsidRPr="006070EA">
        <w:rPr>
          <w:rFonts w:asciiTheme="majorHAnsi" w:hAnsiTheme="majorHAnsi" w:cstheme="majorHAnsi"/>
          <w:i/>
          <w:sz w:val="18"/>
        </w:rPr>
        <w:t xml:space="preserve">: </w:t>
      </w:r>
      <w:r w:rsidRPr="006070EA">
        <w:rPr>
          <w:rFonts w:asciiTheme="majorHAnsi" w:hAnsiTheme="majorHAnsi" w:cstheme="majorHAnsi"/>
          <w:i/>
          <w:sz w:val="18"/>
          <w:szCs w:val="20"/>
        </w:rPr>
        <w:t>Zohlednit závěry vyplývající ze splněného úkolu pro ministerstva a jiné ústřední správní úřady.</w:t>
      </w:r>
    </w:p>
    <w:p w14:paraId="2A03A079" w14:textId="6CFCB8DF" w:rsidR="0068493C" w:rsidRPr="006070EA" w:rsidRDefault="0068493C" w:rsidP="0068493C">
      <w:pPr>
        <w:pStyle w:val="Mra2-reakceern"/>
        <w:rPr>
          <w:rFonts w:asciiTheme="majorHAnsi" w:hAnsiTheme="majorHAnsi" w:cstheme="majorHAnsi"/>
          <w:color w:val="auto"/>
        </w:rPr>
      </w:pPr>
      <w:r w:rsidRPr="009402D8">
        <w:rPr>
          <w:rFonts w:asciiTheme="majorHAnsi" w:hAnsiTheme="majorHAnsi" w:cstheme="majorHAnsi"/>
          <w:color w:val="auto"/>
        </w:rPr>
        <w:t xml:space="preserve">Územní plán Kostomlaty nad Labem vymezil koridor vodní dopravy </w:t>
      </w:r>
      <w:r w:rsidR="00D32D19" w:rsidRPr="009402D8">
        <w:rPr>
          <w:rFonts w:asciiTheme="majorHAnsi" w:hAnsiTheme="majorHAnsi" w:cstheme="majorHAnsi"/>
          <w:color w:val="auto"/>
        </w:rPr>
        <w:t>CN</w:t>
      </w:r>
      <w:r w:rsidR="00FF6BA8" w:rsidRPr="009402D8">
        <w:rPr>
          <w:rFonts w:asciiTheme="majorHAnsi" w:hAnsiTheme="majorHAnsi" w:cstheme="majorHAnsi"/>
          <w:color w:val="auto"/>
        </w:rPr>
        <w:t>Z</w:t>
      </w:r>
      <w:r w:rsidR="00D32D19" w:rsidRPr="009402D8">
        <w:rPr>
          <w:rFonts w:asciiTheme="majorHAnsi" w:hAnsiTheme="majorHAnsi" w:cstheme="majorHAnsi"/>
          <w:color w:val="auto"/>
        </w:rPr>
        <w:t>.</w:t>
      </w:r>
      <w:r w:rsidR="008F08A8" w:rsidRPr="009402D8">
        <w:rPr>
          <w:rFonts w:asciiTheme="majorHAnsi" w:hAnsiTheme="majorHAnsi" w:cstheme="majorHAnsi"/>
          <w:color w:val="auto"/>
        </w:rPr>
        <w:t>VD1</w:t>
      </w:r>
      <w:r w:rsidRPr="009402D8">
        <w:rPr>
          <w:rFonts w:asciiTheme="majorHAnsi" w:hAnsiTheme="majorHAnsi" w:cstheme="majorHAnsi"/>
          <w:color w:val="auto"/>
        </w:rPr>
        <w:t xml:space="preserve"> pro umožnění realizace uvažovaného záměru v souladu s požadavky PÚR ČR</w:t>
      </w:r>
      <w:r w:rsidR="00492028" w:rsidRPr="009402D8">
        <w:rPr>
          <w:rFonts w:asciiTheme="majorHAnsi" w:hAnsiTheme="majorHAnsi" w:cstheme="majorHAnsi"/>
          <w:color w:val="auto"/>
        </w:rPr>
        <w:t xml:space="preserve"> (VD1)</w:t>
      </w:r>
      <w:r w:rsidR="008F08A8" w:rsidRPr="009402D8">
        <w:rPr>
          <w:rFonts w:asciiTheme="majorHAnsi" w:hAnsiTheme="majorHAnsi" w:cstheme="majorHAnsi"/>
          <w:color w:val="auto"/>
        </w:rPr>
        <w:t>, ZÚR SK</w:t>
      </w:r>
      <w:r w:rsidR="00492028" w:rsidRPr="009402D8">
        <w:rPr>
          <w:rFonts w:asciiTheme="majorHAnsi" w:hAnsiTheme="majorHAnsi" w:cstheme="majorHAnsi"/>
          <w:color w:val="auto"/>
        </w:rPr>
        <w:t xml:space="preserve"> a v koordinaci s ÚPD sousední obce Kostomlátky</w:t>
      </w:r>
      <w:r w:rsidRPr="006070EA">
        <w:rPr>
          <w:rFonts w:asciiTheme="majorHAnsi" w:hAnsiTheme="majorHAnsi" w:cstheme="majorHAnsi"/>
          <w:color w:val="auto"/>
        </w:rPr>
        <w:t>.</w:t>
      </w:r>
    </w:p>
    <w:p w14:paraId="68301653" w14:textId="77777777" w:rsidR="0068493C" w:rsidRPr="006070EA" w:rsidRDefault="0068493C" w:rsidP="008F08A8">
      <w:pPr>
        <w:pStyle w:val="Odstavecseseznamem"/>
        <w:keepNext/>
        <w:pageBreakBefore/>
        <w:numPr>
          <w:ilvl w:val="1"/>
          <w:numId w:val="20"/>
        </w:numPr>
        <w:spacing w:before="160" w:after="120" w:line="240" w:lineRule="auto"/>
        <w:ind w:left="709" w:hanging="709"/>
        <w:contextualSpacing w:val="0"/>
        <w:jc w:val="both"/>
        <w:outlineLvl w:val="1"/>
        <w:rPr>
          <w:rFonts w:asciiTheme="majorHAnsi" w:hAnsiTheme="majorHAnsi" w:cstheme="majorHAnsi"/>
          <w:b/>
          <w:sz w:val="24"/>
          <w:szCs w:val="20"/>
        </w:rPr>
      </w:pPr>
      <w:bookmarkStart w:id="67" w:name="_Toc204678169"/>
      <w:r w:rsidRPr="006070EA">
        <w:rPr>
          <w:rFonts w:asciiTheme="majorHAnsi" w:hAnsiTheme="majorHAnsi" w:cstheme="majorHAnsi"/>
          <w:b/>
          <w:sz w:val="24"/>
          <w:szCs w:val="20"/>
        </w:rPr>
        <w:lastRenderedPageBreak/>
        <w:t>Vyhodnocení souladu územního plánu s územně plánovací dokumentací vydanou krajem</w:t>
      </w:r>
      <w:bookmarkEnd w:id="67"/>
    </w:p>
    <w:p w14:paraId="626EAC7C" w14:textId="6B4AED5D" w:rsidR="008F08A8" w:rsidRDefault="008F08A8" w:rsidP="00257A6D">
      <w:pPr>
        <w:spacing w:after="120" w:line="240" w:lineRule="auto"/>
        <w:ind w:firstLine="709"/>
        <w:jc w:val="both"/>
        <w:rPr>
          <w:rFonts w:asciiTheme="majorHAnsi" w:hAnsiTheme="majorHAnsi" w:cstheme="majorHAnsi"/>
          <w:sz w:val="18"/>
          <w:szCs w:val="18"/>
        </w:rPr>
      </w:pPr>
      <w:r w:rsidRPr="009402D8">
        <w:rPr>
          <w:rFonts w:asciiTheme="majorHAnsi" w:hAnsiTheme="majorHAnsi" w:cstheme="majorHAnsi"/>
          <w:sz w:val="18"/>
          <w:szCs w:val="18"/>
        </w:rPr>
        <w:t xml:space="preserve">Řešené území je zahrnuto v Zásadách územního rozvoje Středočeského kraje, ve znění Aktualizací č. 1, 2, 3, 6, 7, 8, </w:t>
      </w:r>
      <w:r w:rsidR="00EF7150">
        <w:rPr>
          <w:rFonts w:asciiTheme="majorHAnsi" w:hAnsiTheme="majorHAnsi" w:cstheme="majorHAnsi"/>
          <w:sz w:val="18"/>
          <w:szCs w:val="18"/>
        </w:rPr>
        <w:t xml:space="preserve">9, </w:t>
      </w:r>
      <w:r w:rsidRPr="009402D8">
        <w:rPr>
          <w:rFonts w:asciiTheme="majorHAnsi" w:hAnsiTheme="majorHAnsi" w:cstheme="majorHAnsi"/>
          <w:sz w:val="18"/>
          <w:szCs w:val="18"/>
        </w:rPr>
        <w:t xml:space="preserve">10 a 11 (dále též jen „ZÚR SK“). Poslední Aktualizace č. </w:t>
      </w:r>
      <w:r w:rsidR="00EF7150">
        <w:rPr>
          <w:rFonts w:asciiTheme="majorHAnsi" w:hAnsiTheme="majorHAnsi" w:cstheme="majorHAnsi"/>
          <w:sz w:val="18"/>
          <w:szCs w:val="18"/>
        </w:rPr>
        <w:t>9</w:t>
      </w:r>
      <w:r w:rsidRPr="009402D8">
        <w:rPr>
          <w:rFonts w:asciiTheme="majorHAnsi" w:hAnsiTheme="majorHAnsi" w:cstheme="majorHAnsi"/>
          <w:sz w:val="18"/>
          <w:szCs w:val="18"/>
        </w:rPr>
        <w:t xml:space="preserve"> ZÚR SK byla vydána dne </w:t>
      </w:r>
      <w:r w:rsidR="00EF7150">
        <w:rPr>
          <w:rFonts w:asciiTheme="majorHAnsi" w:hAnsiTheme="majorHAnsi" w:cstheme="majorHAnsi"/>
          <w:sz w:val="18"/>
          <w:szCs w:val="18"/>
        </w:rPr>
        <w:t>9</w:t>
      </w:r>
      <w:r w:rsidRPr="009402D8">
        <w:rPr>
          <w:rFonts w:asciiTheme="majorHAnsi" w:hAnsiTheme="majorHAnsi" w:cstheme="majorHAnsi"/>
          <w:sz w:val="18"/>
          <w:szCs w:val="18"/>
        </w:rPr>
        <w:t>.</w:t>
      </w:r>
      <w:r w:rsidR="00EF7150">
        <w:rPr>
          <w:rFonts w:asciiTheme="majorHAnsi" w:hAnsiTheme="majorHAnsi" w:cstheme="majorHAnsi"/>
          <w:sz w:val="18"/>
          <w:szCs w:val="18"/>
        </w:rPr>
        <w:t>9</w:t>
      </w:r>
      <w:r w:rsidRPr="009402D8">
        <w:rPr>
          <w:rFonts w:asciiTheme="majorHAnsi" w:hAnsiTheme="majorHAnsi" w:cstheme="majorHAnsi"/>
          <w:sz w:val="18"/>
          <w:szCs w:val="18"/>
        </w:rPr>
        <w:t>.2024.</w:t>
      </w:r>
    </w:p>
    <w:p w14:paraId="064B7495" w14:textId="70EDD401" w:rsidR="008F08A8" w:rsidRDefault="008F08A8" w:rsidP="00257A6D">
      <w:pPr>
        <w:spacing w:after="120" w:line="240" w:lineRule="auto"/>
        <w:ind w:firstLine="709"/>
        <w:jc w:val="both"/>
        <w:rPr>
          <w:rFonts w:asciiTheme="majorHAnsi" w:hAnsiTheme="majorHAnsi" w:cstheme="majorHAnsi"/>
          <w:sz w:val="18"/>
          <w:szCs w:val="18"/>
        </w:rPr>
      </w:pPr>
      <w:r w:rsidRPr="008F08A8">
        <w:rPr>
          <w:rFonts w:asciiTheme="majorHAnsi" w:hAnsiTheme="majorHAnsi" w:cstheme="majorHAnsi"/>
          <w:sz w:val="18"/>
          <w:szCs w:val="18"/>
        </w:rPr>
        <w:t>Zásady územního rozvoje stanovují zejména základní požadavky na účelné a hospodárné uspořádání území kraje, vymezují plochy nebo koridory nadmístního významu a stanovují požadavky na jejich využití, zejména plochy nebo koridory pro veřejně prospěšné stavby, veřejně prospěšná opatření, stanovují kritéria pro rozhodování o možných variantách nebo alternativách změn v jejich využití.</w:t>
      </w:r>
    </w:p>
    <w:p w14:paraId="4A0F4D30" w14:textId="535FB962" w:rsidR="008F08A8" w:rsidRDefault="008F08A8" w:rsidP="00257A6D">
      <w:pPr>
        <w:spacing w:before="120" w:after="120" w:line="240" w:lineRule="auto"/>
        <w:ind w:firstLine="709"/>
        <w:jc w:val="both"/>
        <w:rPr>
          <w:rFonts w:asciiTheme="majorHAnsi" w:hAnsiTheme="majorHAnsi" w:cstheme="majorHAnsi"/>
          <w:sz w:val="18"/>
          <w:szCs w:val="18"/>
        </w:rPr>
      </w:pPr>
      <w:r w:rsidRPr="008F08A8">
        <w:rPr>
          <w:rFonts w:asciiTheme="majorHAnsi" w:hAnsiTheme="majorHAnsi" w:cstheme="majorHAnsi"/>
          <w:sz w:val="18"/>
          <w:szCs w:val="18"/>
        </w:rPr>
        <w:t xml:space="preserve">Vyhodnocení souladu ÚP </w:t>
      </w:r>
      <w:r>
        <w:rPr>
          <w:rFonts w:asciiTheme="majorHAnsi" w:hAnsiTheme="majorHAnsi" w:cstheme="majorHAnsi"/>
          <w:sz w:val="18"/>
          <w:szCs w:val="18"/>
        </w:rPr>
        <w:t>Kostomlaty nad Labem</w:t>
      </w:r>
      <w:r w:rsidRPr="008F08A8">
        <w:rPr>
          <w:rFonts w:asciiTheme="majorHAnsi" w:hAnsiTheme="majorHAnsi" w:cstheme="majorHAnsi"/>
          <w:sz w:val="18"/>
          <w:szCs w:val="18"/>
        </w:rPr>
        <w:t xml:space="preserve"> se ZÚR SK bylo provedeno nad dokumentací Úplného znění Zásad územního rozvoje Středočeského kraje po vydání aktualizace č. </w:t>
      </w:r>
      <w:r w:rsidR="00EF7150">
        <w:rPr>
          <w:rFonts w:asciiTheme="majorHAnsi" w:hAnsiTheme="majorHAnsi" w:cstheme="majorHAnsi"/>
          <w:sz w:val="18"/>
          <w:szCs w:val="18"/>
        </w:rPr>
        <w:t>9</w:t>
      </w:r>
      <w:r w:rsidRPr="008F08A8">
        <w:rPr>
          <w:rFonts w:asciiTheme="majorHAnsi" w:hAnsiTheme="majorHAnsi" w:cstheme="majorHAnsi"/>
          <w:sz w:val="18"/>
          <w:szCs w:val="18"/>
        </w:rPr>
        <w:t xml:space="preserve">. </w:t>
      </w:r>
    </w:p>
    <w:p w14:paraId="6F3FCA06" w14:textId="323BDCE6" w:rsidR="0068493C" w:rsidRPr="006070EA" w:rsidRDefault="0068493C" w:rsidP="00257A6D">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Řešené území je v ZÚR SK řešeno v</w:t>
      </w:r>
      <w:r w:rsidR="00C544B6" w:rsidRPr="006070EA">
        <w:rPr>
          <w:rFonts w:asciiTheme="majorHAnsi" w:hAnsiTheme="majorHAnsi" w:cstheme="majorHAnsi"/>
          <w:sz w:val="18"/>
          <w:szCs w:val="18"/>
        </w:rPr>
        <w:t> </w:t>
      </w:r>
      <w:r w:rsidRPr="006070EA">
        <w:rPr>
          <w:rFonts w:asciiTheme="majorHAnsi" w:hAnsiTheme="majorHAnsi" w:cstheme="majorHAnsi"/>
          <w:sz w:val="18"/>
          <w:szCs w:val="18"/>
        </w:rPr>
        <w:t>následujících souvislostech (citace ze ZÚR SK je označena kurzívou a je redukována na části týkající se řešeného území):</w:t>
      </w:r>
    </w:p>
    <w:p w14:paraId="7D3647C7" w14:textId="6E290497" w:rsidR="0068493C" w:rsidRPr="001C4556" w:rsidRDefault="0068493C" w:rsidP="001C4556">
      <w:pPr>
        <w:pStyle w:val="Odstavecseseznamem"/>
        <w:numPr>
          <w:ilvl w:val="0"/>
          <w:numId w:val="45"/>
        </w:numPr>
        <w:pBdr>
          <w:bottom w:val="single" w:sz="4" w:space="1" w:color="auto"/>
        </w:pBdr>
        <w:spacing w:before="120" w:after="0" w:line="240" w:lineRule="auto"/>
        <w:ind w:left="284" w:hanging="284"/>
        <w:jc w:val="both"/>
        <w:rPr>
          <w:rFonts w:asciiTheme="majorHAnsi" w:hAnsiTheme="majorHAnsi" w:cstheme="majorHAnsi"/>
          <w:b/>
          <w:sz w:val="18"/>
          <w:szCs w:val="18"/>
        </w:rPr>
      </w:pPr>
      <w:r w:rsidRPr="001C4556">
        <w:rPr>
          <w:rFonts w:asciiTheme="majorHAnsi" w:hAnsiTheme="majorHAnsi" w:cstheme="majorHAnsi"/>
          <w:b/>
          <w:sz w:val="18"/>
          <w:szCs w:val="18"/>
        </w:rPr>
        <w:t>STANOVENÍ PRIORIT ÚZEMNÍHO PLÁNOVÁNÍ KRAJE PRO ZAJIŠTĚNÍ UDRŽITELNÉHO ROZVOJE ÚZEMÍ</w:t>
      </w:r>
    </w:p>
    <w:p w14:paraId="266CAA63" w14:textId="77777777" w:rsidR="0068493C" w:rsidRPr="006070EA" w:rsidRDefault="0068493C" w:rsidP="0068493C">
      <w:pPr>
        <w:spacing w:before="120" w:after="60" w:line="240" w:lineRule="auto"/>
        <w:jc w:val="both"/>
        <w:rPr>
          <w:rFonts w:asciiTheme="majorHAnsi" w:hAnsiTheme="majorHAnsi" w:cstheme="majorHAnsi"/>
          <w:sz w:val="18"/>
          <w:szCs w:val="18"/>
        </w:rPr>
      </w:pPr>
      <w:r w:rsidRPr="006070EA">
        <w:rPr>
          <w:rFonts w:asciiTheme="majorHAnsi" w:hAnsiTheme="majorHAnsi" w:cstheme="majorHAnsi"/>
          <w:sz w:val="18"/>
          <w:szCs w:val="18"/>
        </w:rPr>
        <w:t>Priority územního plánování kraje jsou určeny ke konkretizaci cílů a úkolů územního plánování a požadavků na udržitelný rozvoj území v územně plánovací činnosti měst a obcí, kterými jsou stanovovány podmínky pro změny v konkrétních plochách. Řešeného území se týkají zejména následující priority:</w:t>
      </w:r>
    </w:p>
    <w:p w14:paraId="31D14CA4" w14:textId="77777777" w:rsidR="0068493C" w:rsidRPr="006070EA" w:rsidRDefault="0068493C" w:rsidP="00C544B6">
      <w:pPr>
        <w:keepLines/>
        <w:spacing w:before="120" w:after="120"/>
        <w:ind w:left="709" w:hanging="709"/>
        <w:jc w:val="both"/>
        <w:rPr>
          <w:rFonts w:asciiTheme="majorHAnsi" w:hAnsiTheme="majorHAnsi" w:cstheme="majorHAnsi"/>
          <w:bCs/>
          <w:i/>
          <w:sz w:val="18"/>
          <w:szCs w:val="18"/>
        </w:rPr>
      </w:pPr>
      <w:r w:rsidRPr="006070EA">
        <w:rPr>
          <w:rFonts w:asciiTheme="majorHAnsi" w:hAnsiTheme="majorHAnsi" w:cstheme="majorHAnsi"/>
          <w:bCs/>
          <w:sz w:val="18"/>
          <w:szCs w:val="18"/>
        </w:rPr>
        <w:t>(01)</w:t>
      </w:r>
      <w:r w:rsidRPr="006070EA">
        <w:rPr>
          <w:rFonts w:asciiTheme="majorHAnsi" w:hAnsiTheme="majorHAnsi" w:cstheme="majorHAnsi"/>
          <w:bCs/>
          <w:i/>
          <w:sz w:val="18"/>
          <w:szCs w:val="18"/>
        </w:rPr>
        <w:tab/>
        <w:t>Pomocí nástrojů územního plánování vytvářet podmínky pro vyvážený rozvoj Středočeského kraje, založený na zajištění příznivého životního prostředí, stabilním hospodářském rozvoji a udržení sociální soudržnosti obyvatel kraje. Vyváženost a udržitelnost rozvoje území kraje sledovat jako základní požadavek při zpracování územních studií, územních plánů, regulačních plánů a při rozhodování o změnách ve využití území.</w:t>
      </w:r>
    </w:p>
    <w:p w14:paraId="4575FDA7" w14:textId="5A3A3F5E"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 xml:space="preserve">ÚP Kostomlaty nad Labem vytváří podmínky pro podporu ekonomických aktivit a hospodářský rozvoj v obci vymezením stabilizovaných a rozvojových ploch </w:t>
      </w:r>
      <w:r w:rsidR="00B51545" w:rsidRPr="006070EA">
        <w:rPr>
          <w:rFonts w:asciiTheme="majorHAnsi" w:hAnsiTheme="majorHAnsi" w:cstheme="majorHAnsi"/>
          <w:color w:val="auto"/>
        </w:rPr>
        <w:t>výroby</w:t>
      </w:r>
      <w:r w:rsidRPr="006070EA">
        <w:rPr>
          <w:rFonts w:asciiTheme="majorHAnsi" w:hAnsiTheme="majorHAnsi" w:cstheme="majorHAnsi"/>
          <w:color w:val="auto"/>
        </w:rPr>
        <w:t xml:space="preserve"> (VL, VZ), a to s ohledem na charakter obce, která leží v zemědělsky využívané oblasti. Rozvoj ekonomických aktivit je umožněn i v plochách bydlení (BH, BI) či smíšených obytných (SM a SV).</w:t>
      </w:r>
    </w:p>
    <w:p w14:paraId="5A90D3D9" w14:textId="77777777"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ab/>
        <w:t xml:space="preserve">V souladu s principy udržitelného rozvoje je Územním plánem Kostomlaty nad Labem navržen rozvoj, zajišťující efektivní využití stávající veřejné infrastruktury a podporující rozvoj bydlení v území. Ochrana přírodních a krajinných hodnot je zajištěna jejich respektováním jakožto limitů využití území a vymezením ÚSES. Stanovením podmínek využití ploch v nezastavěném území jsou vytvořeny podmínky pro posilování environmentálního pilíře. </w:t>
      </w:r>
    </w:p>
    <w:p w14:paraId="011C000E" w14:textId="77777777"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ab/>
        <w:t xml:space="preserve">Pro zajištění koordinovaného vývoje je využití plošně rozsáhlejších a komplikovanějších rozvojových území podmíněno vydáním regulačního plánu nebo zpracováním územní studie. </w:t>
      </w:r>
    </w:p>
    <w:p w14:paraId="2A3AD2DB" w14:textId="1549295F" w:rsidR="0068493C" w:rsidRPr="006070EA" w:rsidRDefault="0068493C" w:rsidP="0068493C">
      <w:pPr>
        <w:spacing w:before="120" w:after="120"/>
        <w:ind w:left="709" w:hanging="709"/>
        <w:jc w:val="both"/>
        <w:rPr>
          <w:rFonts w:asciiTheme="majorHAnsi" w:hAnsiTheme="majorHAnsi" w:cstheme="majorHAnsi"/>
          <w:bCs/>
          <w:sz w:val="18"/>
          <w:szCs w:val="18"/>
        </w:rPr>
      </w:pPr>
      <w:r w:rsidRPr="006070EA">
        <w:rPr>
          <w:rFonts w:asciiTheme="majorHAnsi" w:hAnsiTheme="majorHAnsi" w:cstheme="majorHAnsi"/>
          <w:bCs/>
          <w:sz w:val="18"/>
          <w:szCs w:val="18"/>
        </w:rPr>
        <w:t xml:space="preserve">(02) </w:t>
      </w:r>
      <w:r w:rsidRPr="006070EA">
        <w:rPr>
          <w:rFonts w:asciiTheme="majorHAnsi" w:hAnsiTheme="majorHAnsi" w:cstheme="majorHAnsi"/>
          <w:bCs/>
          <w:sz w:val="18"/>
          <w:szCs w:val="18"/>
        </w:rPr>
        <w:tab/>
      </w:r>
      <w:r w:rsidR="008F08A8" w:rsidRPr="008F08A8">
        <w:rPr>
          <w:rFonts w:asciiTheme="majorHAnsi" w:hAnsiTheme="majorHAnsi" w:cstheme="majorHAnsi"/>
          <w:bCs/>
          <w:i/>
          <w:iCs/>
          <w:sz w:val="18"/>
          <w:szCs w:val="18"/>
        </w:rPr>
        <w:t>Vytvářet územní podmínky pro změny v území související s umísťováním aktivit mezinárodního a republikového významu dle platné Politiky územního rozvoje a významných záměrů nadmístního významu k naplnění cílů a opatření strategických rozvojových dokumentů na úrovni Středočeského kraje</w:t>
      </w:r>
      <w:r w:rsidRPr="006070EA">
        <w:rPr>
          <w:rFonts w:asciiTheme="majorHAnsi" w:hAnsiTheme="majorHAnsi" w:cstheme="majorHAnsi"/>
          <w:bCs/>
          <w:i/>
          <w:iCs/>
          <w:sz w:val="18"/>
          <w:szCs w:val="18"/>
        </w:rPr>
        <w:t>.</w:t>
      </w:r>
    </w:p>
    <w:p w14:paraId="2DB7F720" w14:textId="22BA4D6D"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respektuje požadavky PÚR ČR v aktuálním znění na územně plánovací činnost v řešeném území. Správní území města Kostomlaty nad Labem není zařazeno do rozvojové oblasti či osy republikového významu. Řešené území je dotčeno záměrem dopravní infrastruktury nadregionálního významu, konkrétně rozvojem Labské vodní cesty (koridor VD1 v PÚR ČR), pro který je v ÚP vymezen koridor </w:t>
      </w:r>
      <w:r w:rsidR="00B51545" w:rsidRPr="006070EA">
        <w:rPr>
          <w:rFonts w:asciiTheme="majorHAnsi" w:hAnsiTheme="majorHAnsi" w:cstheme="majorHAnsi"/>
          <w:color w:val="auto"/>
        </w:rPr>
        <w:t>CNZ.</w:t>
      </w:r>
      <w:r w:rsidR="0097451F">
        <w:rPr>
          <w:rFonts w:asciiTheme="majorHAnsi" w:hAnsiTheme="majorHAnsi" w:cstheme="majorHAnsi"/>
          <w:color w:val="auto"/>
        </w:rPr>
        <w:t>VD</w:t>
      </w:r>
      <w:r w:rsidRPr="006070EA">
        <w:rPr>
          <w:rFonts w:asciiTheme="majorHAnsi" w:hAnsiTheme="majorHAnsi" w:cstheme="majorHAnsi"/>
          <w:color w:val="auto"/>
        </w:rPr>
        <w:t xml:space="preserve">1. </w:t>
      </w:r>
    </w:p>
    <w:p w14:paraId="05904442" w14:textId="4E4081A9" w:rsidR="0068493C" w:rsidRPr="006070EA" w:rsidRDefault="0068493C" w:rsidP="00EF7B4B">
      <w:pPr>
        <w:keepNext/>
        <w:keepLines/>
        <w:spacing w:before="120" w:after="60"/>
        <w:ind w:left="709" w:hanging="709"/>
        <w:jc w:val="both"/>
        <w:rPr>
          <w:rFonts w:asciiTheme="majorHAnsi" w:hAnsiTheme="majorHAnsi" w:cstheme="majorHAnsi"/>
          <w:bCs/>
          <w:i/>
          <w:iCs/>
          <w:sz w:val="18"/>
          <w:szCs w:val="18"/>
        </w:rPr>
      </w:pPr>
      <w:r w:rsidRPr="006070EA">
        <w:rPr>
          <w:rFonts w:asciiTheme="majorHAnsi" w:eastAsia="Calibri" w:hAnsiTheme="majorHAnsi" w:cstheme="majorHAnsi"/>
          <w:iCs/>
          <w:sz w:val="18"/>
          <w:szCs w:val="18"/>
        </w:rPr>
        <w:t>(05)</w:t>
      </w:r>
      <w:r w:rsidRPr="006070EA">
        <w:rPr>
          <w:rFonts w:asciiTheme="majorHAnsi" w:eastAsia="Calibri" w:hAnsiTheme="majorHAnsi" w:cstheme="majorHAnsi"/>
          <w:i/>
          <w:sz w:val="18"/>
          <w:szCs w:val="18"/>
        </w:rPr>
        <w:tab/>
      </w:r>
      <w:r w:rsidRPr="006070EA">
        <w:rPr>
          <w:rFonts w:asciiTheme="majorHAnsi" w:hAnsiTheme="majorHAnsi" w:cstheme="majorHAnsi"/>
          <w:bCs/>
          <w:i/>
          <w:iCs/>
          <w:sz w:val="18"/>
          <w:szCs w:val="18"/>
        </w:rPr>
        <w:t>Vytvářet podmínky pro umístění a realizaci potřebných staveb a opatření pro zlepšení dopravní dostupnosti a</w:t>
      </w:r>
      <w:r w:rsidR="00C544B6" w:rsidRPr="006070EA">
        <w:rPr>
          <w:rFonts w:asciiTheme="majorHAnsi" w:hAnsiTheme="majorHAnsi" w:cstheme="majorHAnsi"/>
          <w:bCs/>
          <w:i/>
          <w:iCs/>
          <w:sz w:val="18"/>
          <w:szCs w:val="18"/>
        </w:rPr>
        <w:t> </w:t>
      </w:r>
      <w:r w:rsidRPr="006070EA">
        <w:rPr>
          <w:rFonts w:asciiTheme="majorHAnsi" w:hAnsiTheme="majorHAnsi" w:cstheme="majorHAnsi"/>
          <w:bCs/>
          <w:i/>
          <w:iCs/>
          <w:sz w:val="18"/>
          <w:szCs w:val="18"/>
        </w:rPr>
        <w:t>dopravní obslužnosti kraje, zejména zlepšit dopravní vazby:</w:t>
      </w:r>
    </w:p>
    <w:p w14:paraId="0A974799" w14:textId="77777777" w:rsidR="0068493C" w:rsidRPr="006070EA" w:rsidRDefault="0068493C" w:rsidP="0068493C">
      <w:pPr>
        <w:spacing w:after="12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q) zlepšení spojení nižších center k vyšším a středním centrům a k trasám nadřazené silniční sítě.</w:t>
      </w:r>
    </w:p>
    <w:p w14:paraId="68A26978" w14:textId="551E6D8F" w:rsidR="0068493C" w:rsidRPr="006070EA" w:rsidRDefault="0068493C" w:rsidP="0068493C">
      <w:pPr>
        <w:pStyle w:val="Mra2-reakceern"/>
        <w:rPr>
          <w:rFonts w:asciiTheme="majorHAnsi" w:hAnsiTheme="majorHAnsi" w:cstheme="majorHAnsi"/>
          <w:bCs w:val="0"/>
        </w:rPr>
      </w:pPr>
      <w:r w:rsidRPr="006070EA">
        <w:rPr>
          <w:rFonts w:asciiTheme="majorHAnsi" w:hAnsiTheme="majorHAnsi" w:cstheme="majorHAnsi"/>
          <w:color w:val="auto"/>
        </w:rPr>
        <w:t xml:space="preserve">Územním plánem jsou podporovány dopravní vazby na vyšší centra </w:t>
      </w:r>
      <w:r w:rsidR="000C479F" w:rsidRPr="006070EA">
        <w:rPr>
          <w:rFonts w:asciiTheme="majorHAnsi" w:hAnsiTheme="majorHAnsi" w:cstheme="majorHAnsi"/>
          <w:color w:val="auto"/>
        </w:rPr>
        <w:t xml:space="preserve">především </w:t>
      </w:r>
      <w:r w:rsidRPr="006070EA">
        <w:rPr>
          <w:rFonts w:asciiTheme="majorHAnsi" w:hAnsiTheme="majorHAnsi" w:cstheme="majorHAnsi"/>
          <w:color w:val="auto"/>
        </w:rPr>
        <w:t xml:space="preserve">vymezením koridoru </w:t>
      </w:r>
      <w:r w:rsidR="008F08A8">
        <w:rPr>
          <w:rFonts w:asciiTheme="majorHAnsi" w:hAnsiTheme="majorHAnsi" w:cstheme="majorHAnsi"/>
          <w:color w:val="auto"/>
        </w:rPr>
        <w:t>CNU.D322</w:t>
      </w:r>
      <w:r w:rsidRPr="006070EA">
        <w:rPr>
          <w:rFonts w:asciiTheme="majorHAnsi" w:hAnsiTheme="majorHAnsi" w:cstheme="majorHAnsi"/>
          <w:color w:val="auto"/>
        </w:rPr>
        <w:t xml:space="preserve"> železniční dopravy pro zkvalitnění veřejné dopravy na trati č. 231 v úseku Lysá nad Labem – Nymburk a rovněž zkvalitnění cyklistického a pěšího propojení vymezením koridoru </w:t>
      </w:r>
      <w:r w:rsidR="00487707" w:rsidRPr="006070EA">
        <w:rPr>
          <w:rFonts w:asciiTheme="majorHAnsi" w:hAnsiTheme="majorHAnsi" w:cstheme="majorHAnsi"/>
          <w:color w:val="auto"/>
        </w:rPr>
        <w:t>CNU.</w:t>
      </w:r>
      <w:r w:rsidRPr="006070EA">
        <w:rPr>
          <w:rFonts w:asciiTheme="majorHAnsi" w:hAnsiTheme="majorHAnsi" w:cstheme="majorHAnsi"/>
          <w:color w:val="auto"/>
        </w:rPr>
        <w:t>KDN1 bezmotorové dopravy – přemostění řeky Labe u</w:t>
      </w:r>
      <w:r w:rsidR="00C544B6" w:rsidRPr="006070EA">
        <w:rPr>
          <w:rFonts w:asciiTheme="majorHAnsi" w:hAnsiTheme="majorHAnsi" w:cstheme="majorHAnsi"/>
          <w:color w:val="auto"/>
        </w:rPr>
        <w:t> </w:t>
      </w:r>
      <w:r w:rsidRPr="006070EA">
        <w:rPr>
          <w:rFonts w:asciiTheme="majorHAnsi" w:hAnsiTheme="majorHAnsi" w:cstheme="majorHAnsi"/>
          <w:color w:val="auto"/>
        </w:rPr>
        <w:t>Hradištka a na něj navazující propojení cyklistické dopravy po obou březích Labe.</w:t>
      </w:r>
    </w:p>
    <w:p w14:paraId="74D63262" w14:textId="77777777" w:rsidR="0068493C" w:rsidRPr="006070EA" w:rsidRDefault="0068493C" w:rsidP="00C544B6">
      <w:pPr>
        <w:spacing w:before="120" w:after="120"/>
        <w:ind w:left="703" w:hanging="703"/>
        <w:jc w:val="both"/>
        <w:rPr>
          <w:rFonts w:asciiTheme="majorHAnsi" w:hAnsiTheme="majorHAnsi" w:cstheme="majorHAnsi"/>
          <w:bCs/>
          <w:i/>
          <w:iCs/>
          <w:sz w:val="18"/>
          <w:szCs w:val="18"/>
        </w:rPr>
      </w:pPr>
      <w:r w:rsidRPr="006070EA">
        <w:rPr>
          <w:rFonts w:asciiTheme="majorHAnsi" w:eastAsia="Calibri" w:hAnsiTheme="majorHAnsi" w:cstheme="majorHAnsi"/>
          <w:iCs/>
          <w:sz w:val="18"/>
          <w:szCs w:val="18"/>
        </w:rPr>
        <w:t>(06)</w:t>
      </w:r>
      <w:r w:rsidRPr="006070EA">
        <w:rPr>
          <w:rFonts w:asciiTheme="majorHAnsi" w:eastAsia="Calibri" w:hAnsiTheme="majorHAnsi" w:cstheme="majorHAnsi"/>
          <w:i/>
          <w:sz w:val="18"/>
          <w:szCs w:val="18"/>
        </w:rPr>
        <w:tab/>
      </w:r>
      <w:r w:rsidRPr="006070EA">
        <w:rPr>
          <w:rFonts w:asciiTheme="majorHAnsi" w:hAnsiTheme="majorHAnsi" w:cstheme="majorHAnsi"/>
          <w:bCs/>
          <w:i/>
          <w:iCs/>
          <w:sz w:val="18"/>
          <w:szCs w:val="18"/>
        </w:rPr>
        <w:t>Vytvářet podmínky pro péči o přírodní, kulturní a civilizační hodnoty na území kraje, které vytvářejí image kraje a posilují vztah obyvatelstva kraje ke svému území. Přitom se soustředit zejména na:</w:t>
      </w:r>
    </w:p>
    <w:p w14:paraId="5857D0F6" w14:textId="77777777" w:rsidR="0068493C" w:rsidRPr="006070EA" w:rsidRDefault="0068493C" w:rsidP="00C544B6">
      <w:pPr>
        <w:spacing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a) zachování a obnovu rozmanitosti kulturní krajiny a posílení její stability;</w:t>
      </w:r>
    </w:p>
    <w:p w14:paraId="3BF854D8" w14:textId="77777777" w:rsidR="0068493C" w:rsidRPr="006070EA" w:rsidRDefault="0068493C" w:rsidP="00C544B6">
      <w:pPr>
        <w:spacing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b) ochranu pozitivních znaků krajinného rázu;</w:t>
      </w:r>
    </w:p>
    <w:p w14:paraId="40DBB664" w14:textId="77777777" w:rsidR="0068493C" w:rsidRPr="006070EA" w:rsidRDefault="0068493C" w:rsidP="00C544B6">
      <w:pPr>
        <w:spacing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c) zachování a citlivé doplnění výrazu sídel, s cílem nenarušovat cenné městské i venkovské urbanistické struktury a architektonické i přírodní dominanty nevhodnou zástavbou a omezit fragmentaci krajiny a srůstání sídel;</w:t>
      </w:r>
    </w:p>
    <w:p w14:paraId="47F0DE96" w14:textId="77777777" w:rsidR="0068493C" w:rsidRPr="006070EA" w:rsidRDefault="0068493C" w:rsidP="00C544B6">
      <w:pPr>
        <w:spacing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d) upřesnit a zapracovat do ÚPD obcí cílové charakteristiky krajiny;</w:t>
      </w:r>
    </w:p>
    <w:p w14:paraId="7E980C89" w14:textId="77777777" w:rsidR="0068493C" w:rsidRPr="006070EA" w:rsidRDefault="0068493C" w:rsidP="00C544B6">
      <w:pPr>
        <w:spacing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e) vytváření podmínek pro šetrné využívání přírodních zdrojů.</w:t>
      </w:r>
    </w:p>
    <w:p w14:paraId="2A25E120" w14:textId="77777777"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lastRenderedPageBreak/>
        <w:t xml:space="preserve">Přírodní, kulturní a civilizační hodnoty území jsou územním plánem definovány a respektovány v rámci základní koncepce rozvoje území včetně ochrany jeho hodnot. Ochrana místně specifického krajinného rázu je zakomponována již v samotném stanovení podmínek využití ploch s rozdílným způsobem využití, včetně základních podmínek pro ochranu krajinného rázu, na něž je řešené území v návrhu ÚP bezvýhradně členěno. Současně nejsou územním plánem navrhovány nové záměry, výrazně ovlivňující krajinný ráz. Návrhem rozvojových ploch nejsou narušeny stávající urbanistické struktury jednotlivých sídel v území, naopak je podpořena celistvost a kompaktnost zastavěného území a vytvořeny podmínky pro zachování historicky založeného rázu sídel. Cílové charakteristiky krajiny jsou v územním plánu zohledněny. </w:t>
      </w:r>
    </w:p>
    <w:p w14:paraId="0A3A5E1F" w14:textId="77777777" w:rsidR="0068493C" w:rsidRPr="006070EA" w:rsidRDefault="0068493C" w:rsidP="0068493C">
      <w:pPr>
        <w:spacing w:before="120" w:after="60"/>
        <w:ind w:left="709" w:hanging="709"/>
        <w:jc w:val="both"/>
        <w:rPr>
          <w:rFonts w:asciiTheme="majorHAnsi" w:hAnsiTheme="majorHAnsi" w:cstheme="majorHAnsi"/>
          <w:bCs/>
          <w:i/>
          <w:iCs/>
          <w:sz w:val="18"/>
          <w:szCs w:val="18"/>
        </w:rPr>
      </w:pPr>
      <w:r w:rsidRPr="006070EA">
        <w:rPr>
          <w:rFonts w:asciiTheme="majorHAnsi" w:eastAsia="Calibri" w:hAnsiTheme="majorHAnsi" w:cstheme="majorHAnsi"/>
          <w:iCs/>
          <w:sz w:val="18"/>
          <w:szCs w:val="18"/>
        </w:rPr>
        <w:t>(07)</w:t>
      </w:r>
      <w:r w:rsidRPr="006070EA">
        <w:rPr>
          <w:rFonts w:asciiTheme="majorHAnsi" w:eastAsia="Calibri" w:hAnsiTheme="majorHAnsi" w:cstheme="majorHAnsi"/>
          <w:i/>
          <w:sz w:val="18"/>
          <w:szCs w:val="18"/>
        </w:rPr>
        <w:t xml:space="preserve"> </w:t>
      </w:r>
      <w:r w:rsidRPr="006070EA">
        <w:rPr>
          <w:rFonts w:asciiTheme="majorHAnsi" w:eastAsia="Calibri" w:hAnsiTheme="majorHAnsi" w:cstheme="majorHAnsi"/>
          <w:i/>
          <w:sz w:val="18"/>
          <w:szCs w:val="18"/>
        </w:rPr>
        <w:tab/>
      </w:r>
      <w:r w:rsidRPr="006070EA">
        <w:rPr>
          <w:rFonts w:asciiTheme="majorHAnsi" w:hAnsiTheme="majorHAnsi" w:cstheme="majorHAnsi"/>
          <w:bCs/>
          <w:i/>
          <w:iCs/>
          <w:sz w:val="18"/>
          <w:szCs w:val="18"/>
        </w:rPr>
        <w:t>Vytvářet podmínky pro stabilizaci a vyvážený rozvoj hospodářských činností na území kraje zvláště ve vymezených rozvojových oblastech a vymezených rozvojových osách. Přitom se soustředit zejména na:</w:t>
      </w:r>
    </w:p>
    <w:p w14:paraId="7C398866" w14:textId="77777777" w:rsidR="0068493C" w:rsidRPr="006070EA" w:rsidRDefault="0068493C" w:rsidP="00C544B6">
      <w:pPr>
        <w:spacing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a) posílení kvality života obyvatel a obytného prostředí, tedy navrhovat přiměřený rozvoj sídel, příznivá urbanistická a architektonická řešení sídel, dostatečné zastoupení a vysoce kvalitní řešení veřejných prostranství a velkých ploch veřejné zeleně vč. zelených prstenců kolem obytných souborů, vybavení sídel potřebnou veřejnou infrastrukturou a zabezpečení dostatečné prostupnosti krajiny;</w:t>
      </w:r>
    </w:p>
    <w:p w14:paraId="4632B9A6" w14:textId="77777777" w:rsidR="0068493C" w:rsidRPr="006070EA" w:rsidRDefault="0068493C" w:rsidP="00C544B6">
      <w:pPr>
        <w:spacing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b) vyvážené a efektivní využívání zastavěného území a zachování funkční a urbanistické celistvosti sídel, tedy zajišťovat plnohodnotné využití ploch a objektů v zastavěném území a preferovat rekonstrukce a přestavby nevyužívaných objektů a areálů v sídlech před výstavbou ve volné krajině, vyšší procento volné zeleně v zastavěném území;</w:t>
      </w:r>
    </w:p>
    <w:p w14:paraId="2308F43E" w14:textId="5D5F17DB" w:rsidR="0068493C" w:rsidRPr="006070EA" w:rsidRDefault="0068493C" w:rsidP="00C544B6">
      <w:pPr>
        <w:spacing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 xml:space="preserve">c) intenzivnější rozvoj aktivit cestovního ruchu, turistiky a rekreace </w:t>
      </w:r>
      <w:r w:rsidR="00487707" w:rsidRPr="006070EA">
        <w:rPr>
          <w:rFonts w:asciiTheme="majorHAnsi" w:hAnsiTheme="majorHAnsi" w:cstheme="majorHAnsi"/>
          <w:bCs/>
          <w:i/>
          <w:iCs/>
          <w:sz w:val="18"/>
          <w:szCs w:val="18"/>
        </w:rPr>
        <w:t>–</w:t>
      </w:r>
      <w:r w:rsidRPr="006070EA">
        <w:rPr>
          <w:rFonts w:asciiTheme="majorHAnsi" w:hAnsiTheme="majorHAnsi" w:cstheme="majorHAnsi"/>
          <w:bCs/>
          <w:i/>
          <w:iCs/>
          <w:sz w:val="18"/>
          <w:szCs w:val="18"/>
        </w:rPr>
        <w:t xml:space="preserve"> vytvářet podmínky k vyššímu využívání existujícího potenciálu, zejména v oblastech:</w:t>
      </w:r>
    </w:p>
    <w:p w14:paraId="298EA752" w14:textId="77777777" w:rsidR="0068493C" w:rsidRPr="006070EA" w:rsidRDefault="0068493C" w:rsidP="00C544B6">
      <w:pPr>
        <w:spacing w:after="0"/>
        <w:ind w:left="993"/>
        <w:jc w:val="both"/>
        <w:rPr>
          <w:rFonts w:asciiTheme="majorHAnsi" w:hAnsiTheme="majorHAnsi" w:cstheme="majorHAnsi"/>
          <w:bCs/>
          <w:i/>
          <w:iCs/>
          <w:sz w:val="18"/>
          <w:szCs w:val="18"/>
        </w:rPr>
      </w:pPr>
      <w:r w:rsidRPr="006070EA">
        <w:rPr>
          <w:rFonts w:asciiTheme="majorHAnsi" w:hAnsiTheme="majorHAnsi" w:cstheme="majorHAnsi"/>
          <w:bCs/>
          <w:i/>
          <w:iCs/>
          <w:sz w:val="18"/>
          <w:szCs w:val="18"/>
        </w:rPr>
        <w:t>- poznávací a kongresové turistiky,</w:t>
      </w:r>
    </w:p>
    <w:p w14:paraId="60B5C27D" w14:textId="77777777" w:rsidR="0068493C" w:rsidRPr="006070EA" w:rsidRDefault="0068493C" w:rsidP="00C544B6">
      <w:pPr>
        <w:spacing w:after="0"/>
        <w:ind w:left="993"/>
        <w:jc w:val="both"/>
        <w:rPr>
          <w:rFonts w:asciiTheme="majorHAnsi" w:hAnsiTheme="majorHAnsi" w:cstheme="majorHAnsi"/>
          <w:bCs/>
          <w:i/>
          <w:iCs/>
          <w:sz w:val="18"/>
          <w:szCs w:val="18"/>
        </w:rPr>
      </w:pPr>
      <w:r w:rsidRPr="006070EA">
        <w:rPr>
          <w:rFonts w:asciiTheme="majorHAnsi" w:hAnsiTheme="majorHAnsi" w:cstheme="majorHAnsi"/>
          <w:bCs/>
          <w:i/>
          <w:iCs/>
          <w:sz w:val="18"/>
          <w:szCs w:val="18"/>
        </w:rPr>
        <w:t>- cykloturistiky rozvojem dálkových cyklostezek a cyklostezek v příměstském území hl. m. Prahy a dalších rozvojových oblastech,</w:t>
      </w:r>
    </w:p>
    <w:p w14:paraId="37F31D1D" w14:textId="77777777" w:rsidR="0068493C" w:rsidRPr="006070EA" w:rsidRDefault="0068493C" w:rsidP="00C544B6">
      <w:pPr>
        <w:spacing w:after="0"/>
        <w:ind w:left="993"/>
        <w:jc w:val="both"/>
        <w:rPr>
          <w:rFonts w:asciiTheme="majorHAnsi" w:hAnsiTheme="majorHAnsi" w:cstheme="majorHAnsi"/>
          <w:bCs/>
          <w:i/>
          <w:iCs/>
          <w:sz w:val="18"/>
          <w:szCs w:val="18"/>
        </w:rPr>
      </w:pPr>
      <w:r w:rsidRPr="006070EA">
        <w:rPr>
          <w:rFonts w:asciiTheme="majorHAnsi" w:hAnsiTheme="majorHAnsi" w:cstheme="majorHAnsi"/>
          <w:bCs/>
          <w:i/>
          <w:iCs/>
          <w:sz w:val="18"/>
          <w:szCs w:val="18"/>
        </w:rPr>
        <w:t>- vodní turistiky, zejména na řekách Sázavě a Berounce,</w:t>
      </w:r>
    </w:p>
    <w:p w14:paraId="04B0A400" w14:textId="77777777" w:rsidR="0068493C" w:rsidRPr="006070EA" w:rsidRDefault="0068493C" w:rsidP="00C544B6">
      <w:pPr>
        <w:spacing w:after="0"/>
        <w:ind w:left="993"/>
        <w:jc w:val="both"/>
        <w:rPr>
          <w:rFonts w:asciiTheme="majorHAnsi" w:hAnsiTheme="majorHAnsi" w:cstheme="majorHAnsi"/>
          <w:bCs/>
          <w:i/>
          <w:iCs/>
          <w:sz w:val="18"/>
          <w:szCs w:val="18"/>
        </w:rPr>
      </w:pPr>
      <w:r w:rsidRPr="006070EA">
        <w:rPr>
          <w:rFonts w:asciiTheme="majorHAnsi" w:hAnsiTheme="majorHAnsi" w:cstheme="majorHAnsi"/>
          <w:bCs/>
          <w:i/>
          <w:iCs/>
          <w:sz w:val="18"/>
          <w:szCs w:val="18"/>
        </w:rPr>
        <w:t>- rekreace ve vazbě na vodní plochy, zejména na vodních nádržích ve středním Povltaví,</w:t>
      </w:r>
    </w:p>
    <w:p w14:paraId="07904BE6" w14:textId="77777777" w:rsidR="0068493C" w:rsidRPr="006070EA" w:rsidRDefault="0068493C" w:rsidP="00C544B6">
      <w:pPr>
        <w:spacing w:after="0"/>
        <w:ind w:left="993"/>
        <w:jc w:val="both"/>
        <w:rPr>
          <w:rFonts w:asciiTheme="majorHAnsi" w:hAnsiTheme="majorHAnsi" w:cstheme="majorHAnsi"/>
          <w:bCs/>
          <w:i/>
          <w:iCs/>
          <w:sz w:val="18"/>
          <w:szCs w:val="18"/>
        </w:rPr>
      </w:pPr>
      <w:r w:rsidRPr="006070EA">
        <w:rPr>
          <w:rFonts w:asciiTheme="majorHAnsi" w:hAnsiTheme="majorHAnsi" w:cstheme="majorHAnsi"/>
          <w:bCs/>
          <w:i/>
          <w:iCs/>
          <w:sz w:val="18"/>
          <w:szCs w:val="18"/>
        </w:rPr>
        <w:t>- krátkodobé rekreace především nekomerčních forem, zejména v rozvojové oblasti Praha.</w:t>
      </w:r>
    </w:p>
    <w:p w14:paraId="45BC7D5D" w14:textId="77777777" w:rsidR="0068493C" w:rsidRPr="006070EA" w:rsidRDefault="0068493C" w:rsidP="00C544B6">
      <w:pPr>
        <w:spacing w:before="60"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d) rozvoj ekonomických odvětví s vyšší přidanou hodnotou, zejména aplikovaného výzkumu, strategických služeb (znalostní ekonomika);</w:t>
      </w:r>
    </w:p>
    <w:p w14:paraId="6B222536" w14:textId="1DBFB09A" w:rsidR="0068493C" w:rsidRPr="006070EA" w:rsidRDefault="0068493C" w:rsidP="00C544B6">
      <w:pPr>
        <w:spacing w:before="60"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e) na uplatnění mimoprodukční funkce zemědělství v krajině, zajistit účelné členění pozemkové držby prostřednictvím pozemkových úprav a doplnění krajinných prvků zvyšujících ekologickou stabilitu krajiny a</w:t>
      </w:r>
      <w:r w:rsidR="00C544B6" w:rsidRPr="006070EA">
        <w:rPr>
          <w:rFonts w:asciiTheme="majorHAnsi" w:hAnsiTheme="majorHAnsi" w:cstheme="majorHAnsi"/>
          <w:bCs/>
          <w:i/>
          <w:iCs/>
          <w:sz w:val="18"/>
          <w:szCs w:val="18"/>
        </w:rPr>
        <w:t> </w:t>
      </w:r>
      <w:r w:rsidRPr="006070EA">
        <w:rPr>
          <w:rFonts w:asciiTheme="majorHAnsi" w:hAnsiTheme="majorHAnsi" w:cstheme="majorHAnsi"/>
          <w:bCs/>
          <w:i/>
          <w:iCs/>
          <w:sz w:val="18"/>
          <w:szCs w:val="18"/>
        </w:rPr>
        <w:t>eliminujících erozní poškození;</w:t>
      </w:r>
    </w:p>
    <w:p w14:paraId="17FA6CF3" w14:textId="77777777" w:rsidR="0068493C" w:rsidRPr="006070EA" w:rsidRDefault="0068493C" w:rsidP="00C544B6">
      <w:pPr>
        <w:spacing w:before="60"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f) na uplatnění mimoprodukční funkce lesů zejména v rekreačně atraktivních oblastech, s cílem umožnit intenzivnější rekreační a turistické využívání území;</w:t>
      </w:r>
    </w:p>
    <w:p w14:paraId="7D326224" w14:textId="77777777" w:rsidR="0068493C" w:rsidRPr="006070EA" w:rsidRDefault="0068493C" w:rsidP="00C544B6">
      <w:pPr>
        <w:spacing w:before="60" w:after="60"/>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g) rozvíjení systémů dopravní obsluhy a technické vybavenosti, soustav zásobování energiemi a vodou a na využití surovinových zdrojů pro výstavbu, s cílem zabezpečit podmínky pro hospodářský rozvoj vybraných území kraje a pro stabilizaci hospodářských činností v ostatním území kraje.</w:t>
      </w:r>
    </w:p>
    <w:p w14:paraId="10EC044E" w14:textId="71628A13"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Územní plán zohledňuje pozici řešeného území mimo rozvojové oblasti či osy republikového významu. Posílení kvality života obyvatel a obytného prostředí je zajištěno stanovenými podmínkami využití jednotlivých ploch s rozdílným způsobem využití, a zvláště pak definováním podmínek pro využití rozvojových ploch, zejména stanovením ploch, ve kterých je rozhodování o změnách podmíněno zpracováním územní studie. Tímto řešením je deklarována snaha o</w:t>
      </w:r>
      <w:r w:rsidR="00487707" w:rsidRPr="006070EA">
        <w:rPr>
          <w:rFonts w:asciiTheme="majorHAnsi" w:hAnsiTheme="majorHAnsi" w:cstheme="majorHAnsi"/>
          <w:color w:val="auto"/>
        </w:rPr>
        <w:t> </w:t>
      </w:r>
      <w:r w:rsidRPr="006070EA">
        <w:rPr>
          <w:rFonts w:asciiTheme="majorHAnsi" w:hAnsiTheme="majorHAnsi" w:cstheme="majorHAnsi"/>
          <w:color w:val="auto"/>
        </w:rPr>
        <w:t xml:space="preserve">zajištění koordinovaného rozvoje a co nejlepšího urbanistického řešení zástavby v rozsáhlých rozvojových plochách, včetně vymezení ploch veřejných prostranství a veřejně přístupné zeleně.  </w:t>
      </w:r>
    </w:p>
    <w:p w14:paraId="496DD650" w14:textId="77777777"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Zastavěné území je hospodárně využito, nejsou identifikovány plochy brownfieldů či nedostatečně využitých objektů a lokalit, proto územním plánem nejsou vymezovány plochy přestaveb. Veškeré nové zastavitelné plochy jsou navíc vymezeny v přímé vazbě na zastavěné území, ve vazbě na stávající zástavbu a nenarušují významné krajinné hodnoty. Zastavitelné plochy jsou vymezeny způsobem, zajišťujícím funkční a urbanistickou celistvost města a jednotlivých venkovských sídel. </w:t>
      </w:r>
    </w:p>
    <w:p w14:paraId="15C39AD3" w14:textId="2D0B6DEA"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Rozvoj aktivit cestovního ruchu je zajištěn především stanovením koncepce rekreace a cestovního ruchu, ve které je zohledněna rekreační atraktivita území vázaná zejména na tok řeky Labe. Rozvoj pěších a cyklistických tras, zvyšující turistický potenciál, je zajištěn umožněním jejich realizace v rámci podmínek jednotlivých ploch s rozdílným způsobem využitím, a dále vymezením směrů pro vhodnou realizaci nových cyklotras a cyklostezek. </w:t>
      </w:r>
    </w:p>
    <w:p w14:paraId="0C174960" w14:textId="0F38F47C" w:rsidR="0068493C" w:rsidRPr="006070EA"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 xml:space="preserve">Ochrana a doplnění krajinných prvků zvyšujících ekologickou stabilitu krajiny je zajištěna v rámci koncepce uspořádání krajiny, například stanovenou ochranou stávajících výsadeb v území s lineárním charakterem, které jsou vymezeny v rámci souvislých ploch s rozdílným způsobem využitím, a dále samotnými podmínkami využití ploch s rozdílným způsobem využití v nezastavěném území. </w:t>
      </w:r>
    </w:p>
    <w:p w14:paraId="7466AE9B" w14:textId="77777777" w:rsidR="0068493C" w:rsidRPr="006070EA" w:rsidRDefault="0068493C" w:rsidP="008F08A8">
      <w:pPr>
        <w:keepNext/>
        <w:keepLines/>
        <w:spacing w:before="120" w:after="120"/>
        <w:ind w:left="709" w:hanging="709"/>
        <w:jc w:val="both"/>
        <w:rPr>
          <w:rFonts w:asciiTheme="majorHAnsi" w:eastAsia="Calibri" w:hAnsiTheme="majorHAnsi" w:cstheme="majorHAnsi"/>
          <w:i/>
          <w:sz w:val="18"/>
          <w:szCs w:val="18"/>
        </w:rPr>
      </w:pPr>
      <w:r w:rsidRPr="006070EA">
        <w:rPr>
          <w:rFonts w:asciiTheme="majorHAnsi" w:eastAsia="Calibri" w:hAnsiTheme="majorHAnsi" w:cstheme="majorHAnsi"/>
          <w:iCs/>
          <w:sz w:val="18"/>
          <w:szCs w:val="18"/>
        </w:rPr>
        <w:lastRenderedPageBreak/>
        <w:t>(09)</w:t>
      </w:r>
      <w:r w:rsidRPr="006070EA">
        <w:rPr>
          <w:rFonts w:asciiTheme="majorHAnsi" w:eastAsia="Calibri" w:hAnsiTheme="majorHAnsi" w:cstheme="majorHAnsi"/>
          <w:i/>
          <w:sz w:val="18"/>
          <w:szCs w:val="18"/>
        </w:rPr>
        <w:tab/>
      </w:r>
      <w:r w:rsidRPr="006070EA">
        <w:rPr>
          <w:rFonts w:asciiTheme="majorHAnsi" w:hAnsiTheme="majorHAnsi" w:cstheme="majorHAnsi"/>
          <w:bCs/>
          <w:i/>
          <w:iCs/>
          <w:sz w:val="18"/>
          <w:szCs w:val="18"/>
        </w:rPr>
        <w:t>Podporovat zlepšení vazeb částí území kraje s územím sousedních krajů Královéhradeckého, Pardubického, Plzeňského a Jihočeského, Kraje Vysočina a hl. m. Prahy s cílem optimalizovat dostupnost obslužných funkcí i přes hranice kraje.</w:t>
      </w:r>
    </w:p>
    <w:p w14:paraId="22455C22" w14:textId="701086E2"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Vazby dotčené části území Středočeského kraje s kraj</w:t>
      </w:r>
      <w:r w:rsidR="00487707" w:rsidRPr="006070EA">
        <w:rPr>
          <w:rFonts w:asciiTheme="majorHAnsi" w:hAnsiTheme="majorHAnsi" w:cstheme="majorHAnsi"/>
          <w:color w:val="auto"/>
        </w:rPr>
        <w:t>em</w:t>
      </w:r>
      <w:r w:rsidRPr="006070EA">
        <w:rPr>
          <w:rFonts w:asciiTheme="majorHAnsi" w:hAnsiTheme="majorHAnsi" w:cstheme="majorHAnsi"/>
          <w:color w:val="auto"/>
        </w:rPr>
        <w:t xml:space="preserve"> sousedním (Královéhradeckým) jsou podpořeny zejména vymezením koridoru pro modernizaci železniční trati č. 231 v úseku Lysá nad Labem – Nymburk (koridor dopravní infrastruktury </w:t>
      </w:r>
      <w:r w:rsidR="00487707" w:rsidRPr="006070EA">
        <w:rPr>
          <w:rFonts w:asciiTheme="majorHAnsi" w:hAnsiTheme="majorHAnsi" w:cstheme="majorHAnsi"/>
          <w:color w:val="auto"/>
        </w:rPr>
        <w:t>CN</w:t>
      </w:r>
      <w:r w:rsidR="001C4556">
        <w:rPr>
          <w:rFonts w:asciiTheme="majorHAnsi" w:hAnsiTheme="majorHAnsi" w:cstheme="majorHAnsi"/>
          <w:color w:val="auto"/>
        </w:rPr>
        <w:t>Z</w:t>
      </w:r>
      <w:r w:rsidR="00487707" w:rsidRPr="006070EA">
        <w:rPr>
          <w:rFonts w:asciiTheme="majorHAnsi" w:hAnsiTheme="majorHAnsi" w:cstheme="majorHAnsi"/>
          <w:color w:val="auto"/>
        </w:rPr>
        <w:t>.</w:t>
      </w:r>
      <w:r w:rsidR="001C4556">
        <w:rPr>
          <w:rFonts w:asciiTheme="majorHAnsi" w:hAnsiTheme="majorHAnsi" w:cstheme="majorHAnsi"/>
          <w:color w:val="auto"/>
        </w:rPr>
        <w:t>D322</w:t>
      </w:r>
      <w:r w:rsidRPr="006070EA">
        <w:rPr>
          <w:rFonts w:asciiTheme="majorHAnsi" w:hAnsiTheme="majorHAnsi" w:cstheme="majorHAnsi"/>
          <w:color w:val="auto"/>
        </w:rPr>
        <w:t>)</w:t>
      </w:r>
      <w:r w:rsidR="001C4556">
        <w:rPr>
          <w:rFonts w:asciiTheme="majorHAnsi" w:hAnsiTheme="majorHAnsi" w:cstheme="majorHAnsi"/>
          <w:color w:val="auto"/>
        </w:rPr>
        <w:t xml:space="preserve"> v souladu se ZÚR SK</w:t>
      </w:r>
      <w:r w:rsidRPr="006070EA">
        <w:rPr>
          <w:rFonts w:asciiTheme="majorHAnsi" w:hAnsiTheme="majorHAnsi" w:cstheme="majorHAnsi"/>
          <w:color w:val="auto"/>
        </w:rPr>
        <w:t>.</w:t>
      </w:r>
    </w:p>
    <w:p w14:paraId="59EC4683" w14:textId="77777777" w:rsidR="0068493C" w:rsidRPr="001C4556" w:rsidRDefault="0068493C" w:rsidP="001C4556">
      <w:pPr>
        <w:pStyle w:val="Odstavecseseznamem"/>
        <w:numPr>
          <w:ilvl w:val="0"/>
          <w:numId w:val="45"/>
        </w:numPr>
        <w:pBdr>
          <w:bottom w:val="single" w:sz="4" w:space="1" w:color="auto"/>
        </w:pBdr>
        <w:spacing w:before="120" w:after="0" w:line="240" w:lineRule="auto"/>
        <w:ind w:left="284" w:hanging="284"/>
        <w:jc w:val="both"/>
        <w:rPr>
          <w:rFonts w:asciiTheme="majorHAnsi" w:hAnsiTheme="majorHAnsi" w:cstheme="majorHAnsi"/>
          <w:b/>
          <w:sz w:val="18"/>
          <w:szCs w:val="18"/>
        </w:rPr>
      </w:pPr>
      <w:r w:rsidRPr="001C4556">
        <w:rPr>
          <w:rFonts w:asciiTheme="majorHAnsi" w:hAnsiTheme="majorHAnsi" w:cstheme="majorHAnsi"/>
          <w:b/>
          <w:sz w:val="18"/>
          <w:szCs w:val="18"/>
        </w:rPr>
        <w:t xml:space="preserve">ZPŘESNĚNÍ VYMEZENÍ ROZVOJOVÝCH OBLASTÍ A ROZVOJOVÝCH OS, VYMEZENÝCH V PÚR 2008 A VYMEZENÍ ROZVOJOVÝCH OBLASTÍ, ROZVOJOVÝCH OS A ROZVOJOVÝCH CENTER KRAJSKÉHO VÝZNAMU </w:t>
      </w:r>
    </w:p>
    <w:p w14:paraId="5859F857" w14:textId="77777777" w:rsidR="0068493C" w:rsidRPr="006070EA" w:rsidRDefault="0068493C" w:rsidP="00C544B6">
      <w:pPr>
        <w:pStyle w:val="vrok"/>
        <w:numPr>
          <w:ilvl w:val="0"/>
          <w:numId w:val="0"/>
        </w:numPr>
        <w:ind w:firstLine="709"/>
        <w:rPr>
          <w:rFonts w:asciiTheme="majorHAnsi" w:hAnsiTheme="majorHAnsi" w:cstheme="majorHAnsi"/>
        </w:rPr>
      </w:pPr>
      <w:r w:rsidRPr="006070EA">
        <w:rPr>
          <w:rFonts w:asciiTheme="majorHAnsi" w:hAnsiTheme="majorHAnsi" w:cstheme="majorHAnsi"/>
          <w:szCs w:val="18"/>
        </w:rPr>
        <w:t>Území řešené územním plánem Kostomlaty nad Labem se nenachází v rozvojové oblasti ani rozvojové ose republikového či krajského významu. V rámci řešeného území se nenachází rozvojové centrum krajského významu definované v ZÚR SK. Pro řešené území z tohoto pohledu nevyplývají ze ZÚR SK žádné zvýšené požadavky na změny.</w:t>
      </w:r>
    </w:p>
    <w:p w14:paraId="0E98F8E6" w14:textId="77777777" w:rsidR="0068493C" w:rsidRPr="001C4556" w:rsidRDefault="0068493C" w:rsidP="001C4556">
      <w:pPr>
        <w:pStyle w:val="Odstavecseseznamem"/>
        <w:numPr>
          <w:ilvl w:val="0"/>
          <w:numId w:val="45"/>
        </w:numPr>
        <w:pBdr>
          <w:bottom w:val="single" w:sz="4" w:space="1" w:color="auto"/>
        </w:pBdr>
        <w:spacing w:before="120" w:after="0" w:line="240" w:lineRule="auto"/>
        <w:ind w:left="284" w:hanging="284"/>
        <w:jc w:val="both"/>
        <w:rPr>
          <w:rFonts w:asciiTheme="majorHAnsi" w:hAnsiTheme="majorHAnsi" w:cstheme="majorHAnsi"/>
          <w:b/>
          <w:sz w:val="18"/>
          <w:szCs w:val="18"/>
        </w:rPr>
      </w:pPr>
      <w:r w:rsidRPr="001C4556">
        <w:rPr>
          <w:rFonts w:asciiTheme="majorHAnsi" w:hAnsiTheme="majorHAnsi" w:cstheme="majorHAnsi"/>
          <w:b/>
          <w:sz w:val="18"/>
          <w:szCs w:val="18"/>
        </w:rPr>
        <w:t>ZPŘESNĚNÍ SPECIFICKÉ OBLASTI, VYMEZENÝCH V PÚR A VYMEZENÍ SPECIFICKÉ OBLASTI KRAJSKÉHO VÝZNAMU</w:t>
      </w:r>
    </w:p>
    <w:p w14:paraId="1D915A7C" w14:textId="51B50BAD" w:rsidR="0068493C" w:rsidRDefault="0068493C" w:rsidP="00C544B6">
      <w:pPr>
        <w:pStyle w:val="vrok"/>
        <w:numPr>
          <w:ilvl w:val="0"/>
          <w:numId w:val="0"/>
        </w:numPr>
        <w:ind w:firstLine="567"/>
        <w:rPr>
          <w:rFonts w:asciiTheme="majorHAnsi" w:hAnsiTheme="majorHAnsi" w:cstheme="majorHAnsi"/>
          <w:szCs w:val="18"/>
        </w:rPr>
      </w:pPr>
      <w:r w:rsidRPr="006070EA">
        <w:rPr>
          <w:rFonts w:asciiTheme="majorHAnsi" w:hAnsiTheme="majorHAnsi" w:cstheme="majorHAnsi"/>
          <w:szCs w:val="18"/>
        </w:rPr>
        <w:t xml:space="preserve">Území obce Kostomlaty nad Labem je součástí Specifické oblasti, ve které se projevuje aktuální problém ohrožení území suchem – SOB9 vymezené PÚR ČR. ZÚR SK </w:t>
      </w:r>
      <w:r w:rsidR="001C4556">
        <w:rPr>
          <w:rFonts w:asciiTheme="majorHAnsi" w:hAnsiTheme="majorHAnsi" w:cstheme="majorHAnsi"/>
          <w:szCs w:val="18"/>
        </w:rPr>
        <w:t>tuto oblast přebírá</w:t>
      </w:r>
      <w:r w:rsidRPr="006070EA">
        <w:rPr>
          <w:rFonts w:asciiTheme="majorHAnsi" w:hAnsiTheme="majorHAnsi" w:cstheme="majorHAnsi"/>
          <w:szCs w:val="18"/>
        </w:rPr>
        <w:t xml:space="preserve">. </w:t>
      </w:r>
    </w:p>
    <w:p w14:paraId="19C398F7" w14:textId="5889345E" w:rsidR="001C4556" w:rsidRPr="001C4556" w:rsidRDefault="001C4556" w:rsidP="001C4556">
      <w:pPr>
        <w:suppressAutoHyphens/>
        <w:spacing w:before="120" w:after="120" w:line="240" w:lineRule="auto"/>
        <w:ind w:left="426" w:hanging="426"/>
        <w:jc w:val="both"/>
        <w:rPr>
          <w:rFonts w:ascii="Calibri" w:eastAsia="Times New Roman" w:hAnsi="Calibri" w:cs="Times New Roman"/>
          <w:b/>
          <w:iCs/>
          <w:sz w:val="18"/>
          <w:szCs w:val="20"/>
          <w:lang w:eastAsia="ar-SA"/>
        </w:rPr>
      </w:pPr>
      <w:r w:rsidRPr="001C4556">
        <w:rPr>
          <w:rFonts w:ascii="Calibri" w:eastAsia="Times New Roman" w:hAnsi="Calibri" w:cs="Times New Roman"/>
          <w:b/>
          <w:iCs/>
          <w:sz w:val="18"/>
          <w:szCs w:val="20"/>
          <w:lang w:eastAsia="ar-SA"/>
        </w:rPr>
        <w:t>C.1.</w:t>
      </w:r>
      <w:r w:rsidRPr="001C4556">
        <w:rPr>
          <w:rFonts w:ascii="Calibri" w:eastAsia="Times New Roman" w:hAnsi="Calibri" w:cs="Times New Roman"/>
          <w:b/>
          <w:iCs/>
          <w:sz w:val="18"/>
          <w:szCs w:val="20"/>
          <w:lang w:eastAsia="ar-SA"/>
        </w:rPr>
        <w:tab/>
        <w:t>Specifické oblasti dle PÚR ČR</w:t>
      </w:r>
    </w:p>
    <w:p w14:paraId="7FCFFC51" w14:textId="77777777" w:rsidR="001C4556" w:rsidRPr="001C4556" w:rsidRDefault="001C4556" w:rsidP="001C4556">
      <w:pPr>
        <w:spacing w:before="120" w:after="120" w:line="256" w:lineRule="auto"/>
        <w:ind w:left="709" w:hanging="709"/>
        <w:jc w:val="both"/>
        <w:rPr>
          <w:rFonts w:asciiTheme="majorHAnsi" w:eastAsia="Calibri" w:hAnsiTheme="majorHAnsi" w:cstheme="majorHAnsi"/>
          <w:i/>
          <w:sz w:val="18"/>
          <w:szCs w:val="18"/>
        </w:rPr>
      </w:pPr>
      <w:r w:rsidRPr="001C4556">
        <w:rPr>
          <w:rFonts w:asciiTheme="majorHAnsi" w:eastAsia="Calibri" w:hAnsiTheme="majorHAnsi" w:cstheme="majorHAnsi"/>
          <w:iCs/>
          <w:sz w:val="18"/>
          <w:szCs w:val="18"/>
        </w:rPr>
        <w:t>(85)</w:t>
      </w:r>
      <w:r w:rsidRPr="001C4556">
        <w:rPr>
          <w:rFonts w:asciiTheme="majorHAnsi" w:eastAsia="Calibri" w:hAnsiTheme="majorHAnsi" w:cstheme="majorHAnsi"/>
          <w:i/>
          <w:sz w:val="18"/>
          <w:szCs w:val="18"/>
        </w:rPr>
        <w:t xml:space="preserve"> </w:t>
      </w:r>
      <w:r w:rsidRPr="001C4556">
        <w:rPr>
          <w:rFonts w:asciiTheme="majorHAnsi" w:eastAsia="Calibri" w:hAnsiTheme="majorHAnsi" w:cstheme="majorHAnsi"/>
          <w:i/>
          <w:sz w:val="18"/>
          <w:szCs w:val="18"/>
        </w:rPr>
        <w:tab/>
        <w:t xml:space="preserve">ZÚR vymezuje v souladu s Politikou územního rozvoje ČR specifickou oblast SOB9 v rozsahu celého Středočeského kraje, ve které se projevuje aktuální problém ohrožení území suchem. </w:t>
      </w:r>
    </w:p>
    <w:p w14:paraId="690F9F4B" w14:textId="77777777" w:rsidR="001C4556" w:rsidRPr="001C4556" w:rsidRDefault="001C4556" w:rsidP="001C4556">
      <w:pPr>
        <w:pStyle w:val="Mra2-reakceern"/>
        <w:rPr>
          <w:rFonts w:asciiTheme="majorHAnsi" w:hAnsiTheme="majorHAnsi" w:cstheme="majorHAnsi"/>
          <w:color w:val="auto"/>
        </w:rPr>
      </w:pPr>
      <w:r w:rsidRPr="001C4556">
        <w:rPr>
          <w:rFonts w:asciiTheme="majorHAnsi" w:hAnsiTheme="majorHAnsi" w:cstheme="majorHAnsi"/>
          <w:color w:val="auto"/>
        </w:rPr>
        <w:t>Viz vyhodnocení v kapitole 3.1.</w:t>
      </w:r>
    </w:p>
    <w:p w14:paraId="6C491319" w14:textId="77777777" w:rsidR="0068493C" w:rsidRPr="001C4556" w:rsidRDefault="0068493C" w:rsidP="001C4556">
      <w:pPr>
        <w:pStyle w:val="Odstavecseseznamem"/>
        <w:numPr>
          <w:ilvl w:val="0"/>
          <w:numId w:val="45"/>
        </w:numPr>
        <w:pBdr>
          <w:bottom w:val="single" w:sz="4" w:space="1" w:color="auto"/>
        </w:pBdr>
        <w:spacing w:before="120" w:after="0" w:line="240" w:lineRule="auto"/>
        <w:ind w:left="284" w:hanging="284"/>
        <w:jc w:val="both"/>
        <w:rPr>
          <w:rFonts w:asciiTheme="majorHAnsi" w:hAnsiTheme="majorHAnsi" w:cstheme="majorHAnsi"/>
          <w:b/>
          <w:sz w:val="18"/>
          <w:szCs w:val="18"/>
        </w:rPr>
      </w:pPr>
      <w:r w:rsidRPr="001C4556">
        <w:rPr>
          <w:rFonts w:asciiTheme="majorHAnsi" w:hAnsiTheme="majorHAnsi" w:cstheme="majorHAnsi"/>
          <w:b/>
          <w:sz w:val="18"/>
          <w:szCs w:val="18"/>
        </w:rPr>
        <w:t>ZPŘESNĚNÍ PLOCH A KORIDORŮ VYMEZENÝCH V PÚR A VYMEZENÍ PLOCH A KORIDORŮ KRAJSKÉHO VÝZNAMU</w:t>
      </w:r>
    </w:p>
    <w:p w14:paraId="4A6E8DEF" w14:textId="5A515CE3" w:rsidR="0068493C" w:rsidRPr="006070EA" w:rsidRDefault="0068493C" w:rsidP="0068493C">
      <w:pPr>
        <w:pStyle w:val="vrok"/>
        <w:numPr>
          <w:ilvl w:val="0"/>
          <w:numId w:val="0"/>
        </w:numPr>
        <w:rPr>
          <w:rFonts w:asciiTheme="majorHAnsi" w:hAnsiTheme="majorHAnsi" w:cstheme="majorHAnsi"/>
          <w:szCs w:val="18"/>
        </w:rPr>
      </w:pPr>
      <w:r w:rsidRPr="006070EA">
        <w:rPr>
          <w:rFonts w:asciiTheme="majorHAnsi" w:hAnsiTheme="majorHAnsi" w:cstheme="majorHAnsi"/>
          <w:szCs w:val="18"/>
        </w:rPr>
        <w:t xml:space="preserve">Území obce Kostomlaty nad Labem je dotčeno koridorem vodní dopravy VD1 (Labe: Pardubice – hranice ČR/Německo (-Dresden) vymezeným v PÚR ČR. </w:t>
      </w:r>
    </w:p>
    <w:p w14:paraId="522CF8B7" w14:textId="12221B3A" w:rsidR="00E6279E" w:rsidRPr="006070EA" w:rsidRDefault="001C4556" w:rsidP="00E6279E">
      <w:pPr>
        <w:autoSpaceDE w:val="0"/>
        <w:autoSpaceDN w:val="0"/>
        <w:adjustRightInd w:val="0"/>
        <w:spacing w:before="120" w:after="120" w:line="240" w:lineRule="auto"/>
        <w:ind w:left="567" w:hanging="567"/>
        <w:jc w:val="both"/>
        <w:rPr>
          <w:rFonts w:asciiTheme="majorHAnsi" w:hAnsiTheme="majorHAnsi" w:cstheme="majorHAnsi"/>
          <w:b/>
          <w:bCs/>
          <w:iCs/>
          <w:sz w:val="18"/>
          <w:szCs w:val="18"/>
        </w:rPr>
      </w:pPr>
      <w:r>
        <w:rPr>
          <w:rFonts w:asciiTheme="majorHAnsi" w:hAnsiTheme="majorHAnsi" w:cstheme="majorHAnsi"/>
          <w:b/>
          <w:bCs/>
          <w:iCs/>
          <w:sz w:val="18"/>
          <w:szCs w:val="18"/>
        </w:rPr>
        <w:t>D</w:t>
      </w:r>
      <w:r w:rsidR="00E6279E" w:rsidRPr="006070EA">
        <w:rPr>
          <w:rFonts w:asciiTheme="majorHAnsi" w:hAnsiTheme="majorHAnsi" w:cstheme="majorHAnsi"/>
          <w:b/>
          <w:bCs/>
          <w:iCs/>
          <w:sz w:val="18"/>
          <w:szCs w:val="18"/>
        </w:rPr>
        <w:t>.1</w:t>
      </w:r>
      <w:r w:rsidR="00E6279E" w:rsidRPr="006070EA">
        <w:rPr>
          <w:rFonts w:asciiTheme="majorHAnsi" w:hAnsiTheme="majorHAnsi" w:cstheme="majorHAnsi"/>
          <w:b/>
          <w:bCs/>
          <w:iCs/>
          <w:sz w:val="18"/>
          <w:szCs w:val="18"/>
        </w:rPr>
        <w:tab/>
        <w:t>Plochy a koridory dopravy</w:t>
      </w:r>
    </w:p>
    <w:p w14:paraId="415B2ED6" w14:textId="309A5AD5" w:rsidR="00E6279E" w:rsidRPr="006070EA" w:rsidRDefault="001C4556" w:rsidP="00E6279E">
      <w:pPr>
        <w:autoSpaceDE w:val="0"/>
        <w:autoSpaceDN w:val="0"/>
        <w:adjustRightInd w:val="0"/>
        <w:spacing w:before="120" w:after="120" w:line="240" w:lineRule="auto"/>
        <w:ind w:left="567" w:hanging="567"/>
        <w:jc w:val="both"/>
        <w:rPr>
          <w:rFonts w:asciiTheme="majorHAnsi" w:hAnsiTheme="majorHAnsi" w:cstheme="majorHAnsi"/>
          <w:b/>
          <w:bCs/>
          <w:i/>
          <w:sz w:val="18"/>
          <w:szCs w:val="18"/>
        </w:rPr>
      </w:pPr>
      <w:r>
        <w:rPr>
          <w:rFonts w:asciiTheme="majorHAnsi" w:hAnsiTheme="majorHAnsi" w:cstheme="majorHAnsi"/>
          <w:b/>
          <w:bCs/>
          <w:i/>
          <w:sz w:val="18"/>
          <w:szCs w:val="18"/>
        </w:rPr>
        <w:t>D</w:t>
      </w:r>
      <w:r w:rsidR="00E6279E" w:rsidRPr="006070EA">
        <w:rPr>
          <w:rFonts w:asciiTheme="majorHAnsi" w:hAnsiTheme="majorHAnsi" w:cstheme="majorHAnsi"/>
          <w:b/>
          <w:bCs/>
          <w:i/>
          <w:sz w:val="18"/>
          <w:szCs w:val="18"/>
        </w:rPr>
        <w:t xml:space="preserve">.1.1. </w:t>
      </w:r>
      <w:r w:rsidR="00E6279E" w:rsidRPr="006070EA">
        <w:rPr>
          <w:rFonts w:asciiTheme="majorHAnsi" w:hAnsiTheme="majorHAnsi" w:cstheme="majorHAnsi"/>
          <w:b/>
          <w:bCs/>
          <w:i/>
          <w:sz w:val="18"/>
          <w:szCs w:val="18"/>
        </w:rPr>
        <w:tab/>
        <w:t>Plochy a koridory dopravy mezinárodního a republikového významu</w:t>
      </w:r>
    </w:p>
    <w:p w14:paraId="0B462CC0" w14:textId="3AF30314" w:rsidR="001C4556" w:rsidRPr="006070EA" w:rsidRDefault="001C4556" w:rsidP="001C4556">
      <w:pPr>
        <w:autoSpaceDE w:val="0"/>
        <w:autoSpaceDN w:val="0"/>
        <w:adjustRightInd w:val="0"/>
        <w:spacing w:before="120" w:after="120" w:line="240" w:lineRule="auto"/>
        <w:ind w:left="567" w:hanging="567"/>
        <w:jc w:val="both"/>
        <w:rPr>
          <w:rFonts w:asciiTheme="majorHAnsi" w:hAnsiTheme="majorHAnsi" w:cstheme="majorHAnsi"/>
          <w:i/>
          <w:sz w:val="18"/>
          <w:szCs w:val="18"/>
        </w:rPr>
      </w:pPr>
      <w:r>
        <w:rPr>
          <w:rFonts w:asciiTheme="majorHAnsi" w:hAnsiTheme="majorHAnsi" w:cstheme="majorHAnsi"/>
          <w:i/>
          <w:sz w:val="18"/>
          <w:szCs w:val="18"/>
        </w:rPr>
        <w:t>D</w:t>
      </w:r>
      <w:r w:rsidRPr="006070EA">
        <w:rPr>
          <w:rFonts w:asciiTheme="majorHAnsi" w:hAnsiTheme="majorHAnsi" w:cstheme="majorHAnsi"/>
          <w:i/>
          <w:sz w:val="18"/>
          <w:szCs w:val="18"/>
        </w:rPr>
        <w:t>.1.1.</w:t>
      </w:r>
      <w:r>
        <w:rPr>
          <w:rFonts w:asciiTheme="majorHAnsi" w:hAnsiTheme="majorHAnsi" w:cstheme="majorHAnsi"/>
          <w:i/>
          <w:sz w:val="18"/>
          <w:szCs w:val="18"/>
        </w:rPr>
        <w:t>2</w:t>
      </w:r>
      <w:r w:rsidRPr="006070EA">
        <w:rPr>
          <w:rFonts w:asciiTheme="majorHAnsi" w:hAnsiTheme="majorHAnsi" w:cstheme="majorHAnsi"/>
          <w:i/>
          <w:sz w:val="18"/>
          <w:szCs w:val="18"/>
        </w:rPr>
        <w:t>.</w:t>
      </w:r>
      <w:r w:rsidRPr="006070EA">
        <w:rPr>
          <w:rFonts w:asciiTheme="majorHAnsi" w:hAnsiTheme="majorHAnsi" w:cstheme="majorHAnsi"/>
          <w:i/>
          <w:sz w:val="18"/>
          <w:szCs w:val="18"/>
        </w:rPr>
        <w:tab/>
      </w:r>
      <w:r>
        <w:rPr>
          <w:rFonts w:asciiTheme="majorHAnsi" w:hAnsiTheme="majorHAnsi" w:cstheme="majorHAnsi"/>
          <w:i/>
          <w:sz w:val="18"/>
          <w:szCs w:val="18"/>
        </w:rPr>
        <w:t xml:space="preserve">Železniční </w:t>
      </w:r>
      <w:r w:rsidRPr="006070EA">
        <w:rPr>
          <w:rFonts w:asciiTheme="majorHAnsi" w:hAnsiTheme="majorHAnsi" w:cstheme="majorHAnsi"/>
          <w:i/>
          <w:sz w:val="18"/>
          <w:szCs w:val="18"/>
        </w:rPr>
        <w:t>doprava</w:t>
      </w:r>
      <w:r w:rsidRPr="006070EA">
        <w:rPr>
          <w:rFonts w:asciiTheme="majorHAnsi" w:hAnsiTheme="majorHAnsi" w:cstheme="majorHAnsi"/>
          <w:i/>
          <w:sz w:val="18"/>
          <w:szCs w:val="18"/>
        </w:rPr>
        <w:tab/>
      </w:r>
    </w:p>
    <w:p w14:paraId="1E2F7F1E" w14:textId="2E11A6FE" w:rsidR="001C4556" w:rsidRPr="006070EA" w:rsidRDefault="001C4556" w:rsidP="001C4556">
      <w:pPr>
        <w:autoSpaceDE w:val="0"/>
        <w:autoSpaceDN w:val="0"/>
        <w:adjustRightInd w:val="0"/>
        <w:spacing w:after="0" w:line="240" w:lineRule="auto"/>
        <w:ind w:left="705" w:hanging="705"/>
        <w:jc w:val="both"/>
        <w:rPr>
          <w:rFonts w:asciiTheme="majorHAnsi" w:hAnsiTheme="majorHAnsi" w:cstheme="majorHAnsi"/>
          <w:bCs/>
          <w:i/>
          <w:iCs/>
          <w:sz w:val="18"/>
          <w:szCs w:val="18"/>
        </w:rPr>
      </w:pPr>
      <w:r w:rsidRPr="006070EA">
        <w:rPr>
          <w:rFonts w:asciiTheme="majorHAnsi" w:eastAsia="Calibri" w:hAnsiTheme="majorHAnsi" w:cstheme="majorHAnsi"/>
          <w:iCs/>
          <w:sz w:val="18"/>
          <w:szCs w:val="18"/>
        </w:rPr>
        <w:t>(1</w:t>
      </w:r>
      <w:r>
        <w:rPr>
          <w:rFonts w:asciiTheme="majorHAnsi" w:eastAsia="Calibri" w:hAnsiTheme="majorHAnsi" w:cstheme="majorHAnsi"/>
          <w:iCs/>
          <w:sz w:val="18"/>
          <w:szCs w:val="18"/>
        </w:rPr>
        <w:t>23</w:t>
      </w:r>
      <w:r w:rsidRPr="006070EA">
        <w:rPr>
          <w:rFonts w:asciiTheme="majorHAnsi" w:eastAsia="Calibri" w:hAnsiTheme="majorHAnsi" w:cstheme="majorHAnsi"/>
          <w:iCs/>
          <w:sz w:val="18"/>
          <w:szCs w:val="18"/>
        </w:rPr>
        <w:t>)</w:t>
      </w:r>
      <w:r w:rsidRPr="006070EA">
        <w:rPr>
          <w:rFonts w:asciiTheme="majorHAnsi" w:eastAsia="Calibri" w:hAnsiTheme="majorHAnsi" w:cstheme="majorHAnsi"/>
          <w:iCs/>
          <w:sz w:val="18"/>
          <w:szCs w:val="18"/>
        </w:rPr>
        <w:tab/>
      </w:r>
      <w:r w:rsidRPr="006070EA">
        <w:rPr>
          <w:rFonts w:asciiTheme="majorHAnsi" w:hAnsiTheme="majorHAnsi" w:cstheme="majorHAnsi"/>
          <w:bCs/>
          <w:i/>
          <w:iCs/>
          <w:sz w:val="18"/>
          <w:szCs w:val="18"/>
        </w:rPr>
        <w:t xml:space="preserve">ZÚR </w:t>
      </w:r>
      <w:r>
        <w:rPr>
          <w:rFonts w:asciiTheme="majorHAnsi" w:hAnsiTheme="majorHAnsi" w:cstheme="majorHAnsi"/>
          <w:bCs/>
          <w:i/>
          <w:iCs/>
          <w:sz w:val="18"/>
          <w:szCs w:val="18"/>
        </w:rPr>
        <w:t>zpřesňují koridory konvenční železniční dopravy pro modernizaci tratí Ústí nad Labem-Střekov – Lysá nad Labem – Kolín, včetně Libické spojky (vymezené v PÚR jako součást koridorů ŽD12 a ŽD22)</w:t>
      </w:r>
      <w:r w:rsidRPr="006070EA">
        <w:rPr>
          <w:rFonts w:asciiTheme="majorHAnsi" w:hAnsiTheme="majorHAnsi" w:cstheme="majorHAnsi"/>
          <w:bCs/>
          <w:i/>
          <w:iCs/>
          <w:sz w:val="18"/>
          <w:szCs w:val="18"/>
        </w:rPr>
        <w:t>:</w:t>
      </w:r>
    </w:p>
    <w:p w14:paraId="1F2C72AC" w14:textId="0C2FDA26" w:rsidR="001C4556" w:rsidRDefault="001C4556" w:rsidP="001C4556">
      <w:pPr>
        <w:autoSpaceDE w:val="0"/>
        <w:autoSpaceDN w:val="0"/>
        <w:adjustRightInd w:val="0"/>
        <w:spacing w:before="60" w:after="60" w:line="240" w:lineRule="auto"/>
        <w:ind w:left="705" w:firstLine="4"/>
        <w:jc w:val="both"/>
        <w:rPr>
          <w:rFonts w:asciiTheme="majorHAnsi" w:hAnsiTheme="majorHAnsi" w:cstheme="majorHAnsi"/>
          <w:bCs/>
          <w:i/>
          <w:iCs/>
          <w:sz w:val="18"/>
          <w:szCs w:val="18"/>
        </w:rPr>
      </w:pPr>
      <w:r>
        <w:rPr>
          <w:rFonts w:asciiTheme="majorHAnsi" w:hAnsiTheme="majorHAnsi" w:cstheme="majorHAnsi"/>
          <w:bCs/>
          <w:i/>
          <w:iCs/>
          <w:sz w:val="18"/>
          <w:szCs w:val="18"/>
        </w:rPr>
        <w:t>b</w:t>
      </w:r>
      <w:r w:rsidRPr="006070EA">
        <w:rPr>
          <w:rFonts w:asciiTheme="majorHAnsi" w:hAnsiTheme="majorHAnsi" w:cstheme="majorHAnsi"/>
          <w:bCs/>
          <w:i/>
          <w:iCs/>
          <w:sz w:val="18"/>
          <w:szCs w:val="18"/>
        </w:rPr>
        <w:t xml:space="preserve">) </w:t>
      </w:r>
      <w:r>
        <w:rPr>
          <w:rFonts w:asciiTheme="majorHAnsi" w:hAnsiTheme="majorHAnsi" w:cstheme="majorHAnsi"/>
          <w:bCs/>
          <w:i/>
          <w:iCs/>
          <w:sz w:val="18"/>
          <w:szCs w:val="18"/>
        </w:rPr>
        <w:t>koridor D322 – pro železniční tratě č. 231 a č. 072 Kolín – Lysá nad Labem – Liběchov (hranice kraje), včetně Libické spojky (trať č. 020), modernizace.</w:t>
      </w:r>
    </w:p>
    <w:p w14:paraId="14F5B5C8" w14:textId="1EFD17AB" w:rsidR="001C4556" w:rsidRPr="006070EA" w:rsidRDefault="001C4556" w:rsidP="001C4556">
      <w:pPr>
        <w:autoSpaceDE w:val="0"/>
        <w:autoSpaceDN w:val="0"/>
        <w:adjustRightInd w:val="0"/>
        <w:spacing w:after="0" w:line="240" w:lineRule="auto"/>
        <w:ind w:left="705" w:hanging="705"/>
        <w:jc w:val="both"/>
        <w:rPr>
          <w:rFonts w:asciiTheme="majorHAnsi" w:hAnsiTheme="majorHAnsi" w:cstheme="majorHAnsi"/>
          <w:bCs/>
          <w:i/>
          <w:iCs/>
          <w:sz w:val="18"/>
          <w:szCs w:val="18"/>
        </w:rPr>
      </w:pPr>
      <w:r w:rsidRPr="006070EA">
        <w:rPr>
          <w:rFonts w:asciiTheme="majorHAnsi" w:eastAsia="Calibri" w:hAnsiTheme="majorHAnsi" w:cstheme="majorHAnsi"/>
          <w:iCs/>
          <w:sz w:val="18"/>
          <w:szCs w:val="18"/>
        </w:rPr>
        <w:t>(1</w:t>
      </w:r>
      <w:r>
        <w:rPr>
          <w:rFonts w:asciiTheme="majorHAnsi" w:eastAsia="Calibri" w:hAnsiTheme="majorHAnsi" w:cstheme="majorHAnsi"/>
          <w:iCs/>
          <w:sz w:val="18"/>
          <w:szCs w:val="18"/>
        </w:rPr>
        <w:t>29</w:t>
      </w:r>
      <w:r w:rsidRPr="006070EA">
        <w:rPr>
          <w:rFonts w:asciiTheme="majorHAnsi" w:eastAsia="Calibri" w:hAnsiTheme="majorHAnsi" w:cstheme="majorHAnsi"/>
          <w:iCs/>
          <w:sz w:val="18"/>
          <w:szCs w:val="18"/>
        </w:rPr>
        <w:t>)</w:t>
      </w:r>
      <w:r w:rsidRPr="006070EA">
        <w:rPr>
          <w:rFonts w:asciiTheme="majorHAnsi" w:eastAsia="Calibri" w:hAnsiTheme="majorHAnsi" w:cstheme="majorHAnsi"/>
          <w:iCs/>
          <w:sz w:val="18"/>
          <w:szCs w:val="18"/>
        </w:rPr>
        <w:tab/>
      </w:r>
      <w:r w:rsidRPr="006070EA">
        <w:rPr>
          <w:rFonts w:asciiTheme="majorHAnsi" w:hAnsiTheme="majorHAnsi" w:cstheme="majorHAnsi"/>
          <w:bCs/>
          <w:i/>
          <w:iCs/>
          <w:sz w:val="18"/>
          <w:szCs w:val="18"/>
        </w:rPr>
        <w:t xml:space="preserve">ZÚR </w:t>
      </w:r>
      <w:r>
        <w:rPr>
          <w:rFonts w:asciiTheme="majorHAnsi" w:hAnsiTheme="majorHAnsi" w:cstheme="majorHAnsi"/>
          <w:bCs/>
          <w:i/>
          <w:iCs/>
          <w:sz w:val="18"/>
          <w:szCs w:val="18"/>
        </w:rPr>
        <w:t>stanovují pro vybrané koridory železniční infrastruktury republikového významu specifické požadavky na využití území, kritéria a podmínky pro rozhodování o možných variantách změn v území a úkoly pro územní plánování takto:</w:t>
      </w:r>
    </w:p>
    <w:p w14:paraId="09D73732" w14:textId="05E7030B" w:rsidR="00203AD4" w:rsidRDefault="00203AD4" w:rsidP="00203AD4">
      <w:pPr>
        <w:autoSpaceDE w:val="0"/>
        <w:autoSpaceDN w:val="0"/>
        <w:adjustRightInd w:val="0"/>
        <w:spacing w:before="60" w:after="60" w:line="240" w:lineRule="auto"/>
        <w:ind w:left="705" w:firstLine="4"/>
        <w:jc w:val="both"/>
        <w:rPr>
          <w:rFonts w:asciiTheme="majorHAnsi" w:hAnsiTheme="majorHAnsi" w:cstheme="majorHAnsi"/>
          <w:bCs/>
          <w:i/>
          <w:iCs/>
          <w:sz w:val="18"/>
          <w:szCs w:val="18"/>
        </w:rPr>
      </w:pPr>
      <w:r>
        <w:rPr>
          <w:rFonts w:asciiTheme="majorHAnsi" w:hAnsiTheme="majorHAnsi" w:cstheme="majorHAnsi"/>
          <w:bCs/>
          <w:i/>
          <w:iCs/>
          <w:sz w:val="18"/>
          <w:szCs w:val="18"/>
        </w:rPr>
        <w:t>e</w:t>
      </w:r>
      <w:r w:rsidRPr="006070EA">
        <w:rPr>
          <w:rFonts w:asciiTheme="majorHAnsi" w:hAnsiTheme="majorHAnsi" w:cstheme="majorHAnsi"/>
          <w:bCs/>
          <w:i/>
          <w:iCs/>
          <w:sz w:val="18"/>
          <w:szCs w:val="18"/>
        </w:rPr>
        <w:t xml:space="preserve">) </w:t>
      </w:r>
      <w:r>
        <w:rPr>
          <w:rFonts w:asciiTheme="majorHAnsi" w:hAnsiTheme="majorHAnsi" w:cstheme="majorHAnsi"/>
          <w:bCs/>
          <w:i/>
          <w:iCs/>
          <w:sz w:val="18"/>
          <w:szCs w:val="18"/>
        </w:rPr>
        <w:t>koridor D322 – železniční tratě č. 231, 072 Kolín – Liběchov včetně Libické spojky:</w:t>
      </w:r>
    </w:p>
    <w:p w14:paraId="7C2F4E9E" w14:textId="777DB4D5" w:rsidR="00203AD4" w:rsidRDefault="00203AD4" w:rsidP="00225BD6">
      <w:pPr>
        <w:pStyle w:val="Odstavecseseznamem"/>
        <w:numPr>
          <w:ilvl w:val="0"/>
          <w:numId w:val="46"/>
        </w:numPr>
        <w:autoSpaceDE w:val="0"/>
        <w:autoSpaceDN w:val="0"/>
        <w:adjustRightInd w:val="0"/>
        <w:spacing w:before="60" w:after="60" w:line="240" w:lineRule="auto"/>
        <w:jc w:val="both"/>
        <w:rPr>
          <w:rFonts w:asciiTheme="majorHAnsi" w:hAnsiTheme="majorHAnsi" w:cstheme="majorHAnsi"/>
          <w:bCs/>
          <w:i/>
          <w:iCs/>
          <w:sz w:val="18"/>
          <w:szCs w:val="18"/>
        </w:rPr>
      </w:pPr>
      <w:r>
        <w:rPr>
          <w:rFonts w:asciiTheme="majorHAnsi" w:hAnsiTheme="majorHAnsi" w:cstheme="majorHAnsi"/>
          <w:bCs/>
          <w:i/>
          <w:iCs/>
          <w:sz w:val="18"/>
          <w:szCs w:val="18"/>
        </w:rPr>
        <w:t>minimalizovat vlivy:</w:t>
      </w:r>
    </w:p>
    <w:p w14:paraId="476D7AEB" w14:textId="26C86464" w:rsidR="00203AD4" w:rsidRDefault="00203AD4" w:rsidP="00225BD6">
      <w:pPr>
        <w:pStyle w:val="Odstavecseseznamem"/>
        <w:numPr>
          <w:ilvl w:val="1"/>
          <w:numId w:val="46"/>
        </w:numPr>
        <w:autoSpaceDE w:val="0"/>
        <w:autoSpaceDN w:val="0"/>
        <w:adjustRightInd w:val="0"/>
        <w:spacing w:before="60" w:after="60" w:line="240" w:lineRule="auto"/>
        <w:jc w:val="both"/>
        <w:rPr>
          <w:rFonts w:asciiTheme="majorHAnsi" w:hAnsiTheme="majorHAnsi" w:cstheme="majorHAnsi"/>
          <w:bCs/>
          <w:i/>
          <w:iCs/>
          <w:sz w:val="18"/>
          <w:szCs w:val="18"/>
        </w:rPr>
      </w:pPr>
      <w:r w:rsidRPr="00203AD4">
        <w:rPr>
          <w:rFonts w:asciiTheme="majorHAnsi" w:hAnsiTheme="majorHAnsi" w:cstheme="majorHAnsi"/>
          <w:bCs/>
          <w:i/>
          <w:iCs/>
          <w:sz w:val="18"/>
          <w:szCs w:val="18"/>
        </w:rPr>
        <w:t>na obytnou funkci a kvalitu obytného prostředí přilehlé zástavby Kolína, Liběchova, Libice nad Cidlinou, Lysém nad Labem, Velkého Oseka, Poděbrad, Nymburka a Mělníka</w:t>
      </w:r>
    </w:p>
    <w:p w14:paraId="073802FC" w14:textId="58A9BF97" w:rsidR="001C4556" w:rsidRPr="006070EA" w:rsidRDefault="001C4556" w:rsidP="001C4556">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w:t>
      </w:r>
      <w:r w:rsidR="00203AD4">
        <w:rPr>
          <w:rFonts w:asciiTheme="majorHAnsi" w:hAnsiTheme="majorHAnsi" w:cstheme="majorHAnsi"/>
          <w:color w:val="auto"/>
        </w:rPr>
        <w:t>vymezuje v souladu se ZÚR SK koridor CNZ.D322 pro modernizaci železniční trati č. 231 v řešeném území a zařazuje jej mezi VPS dopravní infrastruktury pod ozn. VD.3</w:t>
      </w:r>
      <w:r w:rsidRPr="006070EA">
        <w:rPr>
          <w:rFonts w:asciiTheme="majorHAnsi" w:hAnsiTheme="majorHAnsi" w:cstheme="majorHAnsi"/>
          <w:color w:val="auto"/>
        </w:rPr>
        <w:t>.</w:t>
      </w:r>
      <w:r w:rsidR="00203AD4">
        <w:rPr>
          <w:rFonts w:asciiTheme="majorHAnsi" w:hAnsiTheme="majorHAnsi" w:cstheme="majorHAnsi"/>
          <w:color w:val="auto"/>
        </w:rPr>
        <w:t xml:space="preserve"> Pro využití koridoru byla stanovena podmínka, která souvisí s úkoly pro územní plánování, stanovenými v ZÚR SK, a to minimalizace vlivů na obytnou funkci a kvalitu obytného prostředí přilehlé zástavby (tak, jak stanovuje ZÚR SK pro zástavbu dalších měst na železniční trati), neboť trať v řešeném území prochází zastavěným územím v sousedství rezidenčních lokalit.</w:t>
      </w:r>
    </w:p>
    <w:p w14:paraId="0F7F1EDA" w14:textId="602E7410" w:rsidR="00E6279E" w:rsidRPr="006070EA" w:rsidRDefault="001C4556" w:rsidP="00E6279E">
      <w:pPr>
        <w:autoSpaceDE w:val="0"/>
        <w:autoSpaceDN w:val="0"/>
        <w:adjustRightInd w:val="0"/>
        <w:spacing w:before="120" w:after="120" w:line="240" w:lineRule="auto"/>
        <w:ind w:left="567" w:hanging="567"/>
        <w:jc w:val="both"/>
        <w:rPr>
          <w:rFonts w:asciiTheme="majorHAnsi" w:hAnsiTheme="majorHAnsi" w:cstheme="majorHAnsi"/>
          <w:i/>
          <w:sz w:val="18"/>
          <w:szCs w:val="18"/>
        </w:rPr>
      </w:pPr>
      <w:r>
        <w:rPr>
          <w:rFonts w:asciiTheme="majorHAnsi" w:hAnsiTheme="majorHAnsi" w:cstheme="majorHAnsi"/>
          <w:i/>
          <w:sz w:val="18"/>
          <w:szCs w:val="18"/>
        </w:rPr>
        <w:t>D</w:t>
      </w:r>
      <w:r w:rsidR="00E6279E" w:rsidRPr="006070EA">
        <w:rPr>
          <w:rFonts w:asciiTheme="majorHAnsi" w:hAnsiTheme="majorHAnsi" w:cstheme="majorHAnsi"/>
          <w:i/>
          <w:sz w:val="18"/>
          <w:szCs w:val="18"/>
        </w:rPr>
        <w:t>.1.1.3.</w:t>
      </w:r>
      <w:r w:rsidR="00E6279E" w:rsidRPr="006070EA">
        <w:rPr>
          <w:rFonts w:asciiTheme="majorHAnsi" w:hAnsiTheme="majorHAnsi" w:cstheme="majorHAnsi"/>
          <w:i/>
          <w:sz w:val="18"/>
          <w:szCs w:val="18"/>
        </w:rPr>
        <w:tab/>
        <w:t>Vodní doprava</w:t>
      </w:r>
      <w:r w:rsidR="00E6279E" w:rsidRPr="006070EA">
        <w:rPr>
          <w:rFonts w:asciiTheme="majorHAnsi" w:hAnsiTheme="majorHAnsi" w:cstheme="majorHAnsi"/>
          <w:i/>
          <w:sz w:val="18"/>
          <w:szCs w:val="18"/>
        </w:rPr>
        <w:tab/>
      </w:r>
    </w:p>
    <w:p w14:paraId="0E47DA60" w14:textId="3347D754" w:rsidR="0068493C" w:rsidRPr="006070EA" w:rsidRDefault="0068493C" w:rsidP="0068493C">
      <w:pPr>
        <w:autoSpaceDE w:val="0"/>
        <w:autoSpaceDN w:val="0"/>
        <w:adjustRightInd w:val="0"/>
        <w:spacing w:after="0" w:line="240" w:lineRule="auto"/>
        <w:jc w:val="both"/>
        <w:rPr>
          <w:rFonts w:asciiTheme="majorHAnsi" w:hAnsiTheme="majorHAnsi" w:cstheme="majorHAnsi"/>
          <w:bCs/>
          <w:i/>
          <w:iCs/>
          <w:sz w:val="18"/>
          <w:szCs w:val="18"/>
        </w:rPr>
      </w:pPr>
      <w:r w:rsidRPr="006070EA">
        <w:rPr>
          <w:rFonts w:asciiTheme="majorHAnsi" w:eastAsia="Calibri" w:hAnsiTheme="majorHAnsi" w:cstheme="majorHAnsi"/>
          <w:iCs/>
          <w:sz w:val="18"/>
          <w:szCs w:val="18"/>
        </w:rPr>
        <w:t>(130)</w:t>
      </w:r>
      <w:r w:rsidRPr="006070EA">
        <w:rPr>
          <w:rFonts w:asciiTheme="majorHAnsi" w:eastAsia="Calibri" w:hAnsiTheme="majorHAnsi" w:cstheme="majorHAnsi"/>
          <w:iCs/>
          <w:sz w:val="18"/>
          <w:szCs w:val="18"/>
        </w:rPr>
        <w:tab/>
      </w:r>
      <w:r w:rsidRPr="006070EA">
        <w:rPr>
          <w:rFonts w:asciiTheme="majorHAnsi" w:hAnsiTheme="majorHAnsi" w:cstheme="majorHAnsi"/>
          <w:bCs/>
          <w:i/>
          <w:iCs/>
          <w:sz w:val="18"/>
          <w:szCs w:val="18"/>
        </w:rPr>
        <w:t xml:space="preserve">ZÚR </w:t>
      </w:r>
      <w:r w:rsidR="00203AD4">
        <w:rPr>
          <w:rFonts w:asciiTheme="majorHAnsi" w:hAnsiTheme="majorHAnsi" w:cstheme="majorHAnsi"/>
          <w:bCs/>
          <w:i/>
          <w:iCs/>
          <w:sz w:val="18"/>
          <w:szCs w:val="18"/>
        </w:rPr>
        <w:t>zpřesňují vymezení koridorů vodní dopravy vymezené v PÚR pod ozn. VD1 a VD2 takto</w:t>
      </w:r>
      <w:r w:rsidRPr="006070EA">
        <w:rPr>
          <w:rFonts w:asciiTheme="majorHAnsi" w:hAnsiTheme="majorHAnsi" w:cstheme="majorHAnsi"/>
          <w:bCs/>
          <w:i/>
          <w:iCs/>
          <w:sz w:val="18"/>
          <w:szCs w:val="18"/>
        </w:rPr>
        <w:t>:</w:t>
      </w:r>
    </w:p>
    <w:p w14:paraId="4B98A4DA" w14:textId="14F0F7C3" w:rsidR="0068493C" w:rsidRDefault="0068493C" w:rsidP="00203AD4">
      <w:pPr>
        <w:autoSpaceDE w:val="0"/>
        <w:autoSpaceDN w:val="0"/>
        <w:adjustRightInd w:val="0"/>
        <w:spacing w:before="60" w:after="60" w:line="240" w:lineRule="auto"/>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 xml:space="preserve">a) </w:t>
      </w:r>
      <w:r w:rsidR="00203AD4">
        <w:rPr>
          <w:rFonts w:asciiTheme="majorHAnsi" w:hAnsiTheme="majorHAnsi" w:cstheme="majorHAnsi"/>
          <w:bCs/>
          <w:i/>
          <w:iCs/>
          <w:sz w:val="18"/>
          <w:szCs w:val="18"/>
        </w:rPr>
        <w:t>VD1 – koridor stávající vodní cesty na Labi, úseku na území Středočeského kraje (Horní Počaply – Týnec nad Labem), včetně staveb souvisejících</w:t>
      </w:r>
    </w:p>
    <w:p w14:paraId="525326D2" w14:textId="2DCA8E06" w:rsidR="00203AD4" w:rsidRDefault="00203AD4" w:rsidP="00203AD4">
      <w:pPr>
        <w:autoSpaceDE w:val="0"/>
        <w:autoSpaceDN w:val="0"/>
        <w:adjustRightInd w:val="0"/>
        <w:spacing w:before="60" w:after="60" w:line="240" w:lineRule="auto"/>
        <w:jc w:val="both"/>
        <w:rPr>
          <w:rFonts w:asciiTheme="majorHAnsi" w:hAnsiTheme="majorHAnsi" w:cstheme="majorHAnsi"/>
          <w:bCs/>
          <w:sz w:val="18"/>
          <w:szCs w:val="18"/>
        </w:rPr>
      </w:pPr>
      <w:r>
        <w:rPr>
          <w:rFonts w:asciiTheme="majorHAnsi" w:hAnsiTheme="majorHAnsi" w:cstheme="majorHAnsi"/>
          <w:bCs/>
          <w:sz w:val="18"/>
          <w:szCs w:val="18"/>
        </w:rPr>
        <w:t>(</w:t>
      </w:r>
      <w:proofErr w:type="gramStart"/>
      <w:r>
        <w:rPr>
          <w:rFonts w:asciiTheme="majorHAnsi" w:hAnsiTheme="majorHAnsi" w:cstheme="majorHAnsi"/>
          <w:bCs/>
          <w:sz w:val="18"/>
          <w:szCs w:val="18"/>
        </w:rPr>
        <w:t>131a</w:t>
      </w:r>
      <w:proofErr w:type="gramEnd"/>
      <w:r>
        <w:rPr>
          <w:rFonts w:asciiTheme="majorHAnsi" w:hAnsiTheme="majorHAnsi" w:cstheme="majorHAnsi"/>
          <w:bCs/>
          <w:sz w:val="18"/>
          <w:szCs w:val="18"/>
        </w:rPr>
        <w:t>)</w:t>
      </w:r>
      <w:r>
        <w:rPr>
          <w:rFonts w:asciiTheme="majorHAnsi" w:hAnsiTheme="majorHAnsi" w:cstheme="majorHAnsi"/>
          <w:bCs/>
          <w:sz w:val="18"/>
          <w:szCs w:val="18"/>
        </w:rPr>
        <w:tab/>
      </w:r>
      <w:r w:rsidRPr="00225BD6">
        <w:rPr>
          <w:rFonts w:asciiTheme="majorHAnsi" w:hAnsiTheme="majorHAnsi" w:cstheme="majorHAnsi"/>
          <w:bCs/>
          <w:i/>
          <w:iCs/>
          <w:sz w:val="18"/>
          <w:szCs w:val="18"/>
        </w:rPr>
        <w:t>Koridory vodní dopravy VD1, VD2 a VD3 se vymezují korytem vodního toku.</w:t>
      </w:r>
    </w:p>
    <w:p w14:paraId="65A066B5" w14:textId="0D88D4B0" w:rsidR="00203AD4" w:rsidRPr="00225BD6" w:rsidRDefault="00203AD4" w:rsidP="00203AD4">
      <w:pPr>
        <w:autoSpaceDE w:val="0"/>
        <w:autoSpaceDN w:val="0"/>
        <w:adjustRightInd w:val="0"/>
        <w:spacing w:before="60" w:after="60" w:line="240" w:lineRule="auto"/>
        <w:ind w:left="705" w:hanging="705"/>
        <w:jc w:val="both"/>
        <w:rPr>
          <w:rFonts w:asciiTheme="majorHAnsi" w:hAnsiTheme="majorHAnsi" w:cstheme="majorHAnsi"/>
          <w:bCs/>
          <w:i/>
          <w:iCs/>
          <w:sz w:val="18"/>
          <w:szCs w:val="18"/>
        </w:rPr>
      </w:pPr>
      <w:r>
        <w:rPr>
          <w:rFonts w:asciiTheme="majorHAnsi" w:hAnsiTheme="majorHAnsi" w:cstheme="majorHAnsi"/>
          <w:bCs/>
          <w:sz w:val="18"/>
          <w:szCs w:val="18"/>
        </w:rPr>
        <w:t>(</w:t>
      </w:r>
      <w:proofErr w:type="gramStart"/>
      <w:r>
        <w:rPr>
          <w:rFonts w:asciiTheme="majorHAnsi" w:hAnsiTheme="majorHAnsi" w:cstheme="majorHAnsi"/>
          <w:bCs/>
          <w:sz w:val="18"/>
          <w:szCs w:val="18"/>
        </w:rPr>
        <w:t>131b</w:t>
      </w:r>
      <w:proofErr w:type="gramEnd"/>
      <w:r>
        <w:rPr>
          <w:rFonts w:asciiTheme="majorHAnsi" w:hAnsiTheme="majorHAnsi" w:cstheme="majorHAnsi"/>
          <w:bCs/>
          <w:sz w:val="18"/>
          <w:szCs w:val="18"/>
        </w:rPr>
        <w:t>)</w:t>
      </w:r>
      <w:r>
        <w:rPr>
          <w:rFonts w:asciiTheme="majorHAnsi" w:hAnsiTheme="majorHAnsi" w:cstheme="majorHAnsi"/>
          <w:bCs/>
          <w:sz w:val="18"/>
          <w:szCs w:val="18"/>
        </w:rPr>
        <w:tab/>
      </w:r>
      <w:r w:rsidRPr="00225BD6">
        <w:rPr>
          <w:rFonts w:asciiTheme="majorHAnsi" w:hAnsiTheme="majorHAnsi" w:cstheme="majorHAnsi"/>
          <w:bCs/>
          <w:i/>
          <w:iCs/>
          <w:sz w:val="18"/>
          <w:szCs w:val="18"/>
        </w:rPr>
        <w:t>ZÚR stanovují pro vymezené koridory vodní dopravy VD1, VD2, VD3 tyto specifické požadavky na využití území, kritéria a podmínky pro rozhodování o možných variantách změn v území a úkoly pro územní plánování takto:</w:t>
      </w:r>
    </w:p>
    <w:p w14:paraId="38E41140" w14:textId="5DCE95F6" w:rsidR="00225BD6" w:rsidRDefault="00225BD6" w:rsidP="00225BD6">
      <w:pPr>
        <w:autoSpaceDE w:val="0"/>
        <w:autoSpaceDN w:val="0"/>
        <w:adjustRightInd w:val="0"/>
        <w:spacing w:before="60" w:after="60" w:line="240" w:lineRule="auto"/>
        <w:ind w:left="709"/>
        <w:jc w:val="both"/>
        <w:rPr>
          <w:rFonts w:asciiTheme="majorHAnsi" w:hAnsiTheme="majorHAnsi" w:cstheme="majorHAnsi"/>
          <w:bCs/>
          <w:i/>
          <w:iCs/>
          <w:sz w:val="18"/>
          <w:szCs w:val="18"/>
        </w:rPr>
      </w:pPr>
      <w:r w:rsidRPr="006070EA">
        <w:rPr>
          <w:rFonts w:asciiTheme="majorHAnsi" w:hAnsiTheme="majorHAnsi" w:cstheme="majorHAnsi"/>
          <w:bCs/>
          <w:i/>
          <w:iCs/>
          <w:sz w:val="18"/>
          <w:szCs w:val="18"/>
        </w:rPr>
        <w:t xml:space="preserve">a) </w:t>
      </w:r>
      <w:r>
        <w:rPr>
          <w:rFonts w:asciiTheme="majorHAnsi" w:hAnsiTheme="majorHAnsi" w:cstheme="majorHAnsi"/>
          <w:bCs/>
          <w:i/>
          <w:iCs/>
          <w:sz w:val="18"/>
          <w:szCs w:val="18"/>
        </w:rPr>
        <w:t>Koridor VD1 Horní Počaply – Týnec nad Labem:</w:t>
      </w:r>
    </w:p>
    <w:p w14:paraId="33263F11" w14:textId="604DFD18" w:rsidR="00225BD6" w:rsidRDefault="00225BD6" w:rsidP="00225BD6">
      <w:pPr>
        <w:autoSpaceDE w:val="0"/>
        <w:autoSpaceDN w:val="0"/>
        <w:adjustRightInd w:val="0"/>
        <w:spacing w:before="60" w:after="60" w:line="240" w:lineRule="auto"/>
        <w:ind w:left="709"/>
        <w:jc w:val="both"/>
        <w:rPr>
          <w:rFonts w:asciiTheme="majorHAnsi" w:hAnsiTheme="majorHAnsi" w:cstheme="majorHAnsi"/>
          <w:bCs/>
          <w:i/>
          <w:iCs/>
          <w:sz w:val="18"/>
          <w:szCs w:val="18"/>
        </w:rPr>
      </w:pPr>
      <w:r>
        <w:rPr>
          <w:rFonts w:asciiTheme="majorHAnsi" w:hAnsiTheme="majorHAnsi" w:cstheme="majorHAnsi"/>
          <w:bCs/>
          <w:i/>
          <w:iCs/>
          <w:sz w:val="18"/>
          <w:szCs w:val="18"/>
        </w:rPr>
        <w:t>Požadavky na využití území</w:t>
      </w:r>
    </w:p>
    <w:p w14:paraId="588A4666" w14:textId="5237C532" w:rsidR="00225BD6" w:rsidRDefault="00225BD6" w:rsidP="00225BD6">
      <w:pPr>
        <w:pStyle w:val="Odstavecseseznamem"/>
        <w:numPr>
          <w:ilvl w:val="0"/>
          <w:numId w:val="46"/>
        </w:numPr>
        <w:autoSpaceDE w:val="0"/>
        <w:autoSpaceDN w:val="0"/>
        <w:adjustRightInd w:val="0"/>
        <w:spacing w:before="60" w:after="60" w:line="240" w:lineRule="auto"/>
        <w:jc w:val="both"/>
        <w:rPr>
          <w:rFonts w:asciiTheme="majorHAnsi" w:hAnsiTheme="majorHAnsi" w:cstheme="majorHAnsi"/>
          <w:bCs/>
          <w:i/>
          <w:iCs/>
          <w:sz w:val="18"/>
          <w:szCs w:val="18"/>
        </w:rPr>
      </w:pPr>
      <w:r>
        <w:rPr>
          <w:rFonts w:asciiTheme="majorHAnsi" w:hAnsiTheme="majorHAnsi" w:cstheme="majorHAnsi"/>
          <w:bCs/>
          <w:i/>
          <w:iCs/>
          <w:sz w:val="18"/>
          <w:szCs w:val="18"/>
        </w:rPr>
        <w:t>Vytvoření územních podmínek pro zabezpečení splavnosti Labe jako vodní cesty mezinárodního významu TEN-T.</w:t>
      </w:r>
    </w:p>
    <w:p w14:paraId="2C81F41D" w14:textId="63C83CC3" w:rsidR="00225BD6" w:rsidRDefault="00225BD6" w:rsidP="00225BD6">
      <w:pPr>
        <w:autoSpaceDE w:val="0"/>
        <w:autoSpaceDN w:val="0"/>
        <w:adjustRightInd w:val="0"/>
        <w:spacing w:before="60" w:after="60" w:line="240" w:lineRule="auto"/>
        <w:ind w:firstLine="709"/>
        <w:jc w:val="both"/>
        <w:rPr>
          <w:rFonts w:asciiTheme="majorHAnsi" w:hAnsiTheme="majorHAnsi" w:cstheme="majorHAnsi"/>
          <w:bCs/>
          <w:i/>
          <w:iCs/>
          <w:sz w:val="18"/>
          <w:szCs w:val="18"/>
        </w:rPr>
      </w:pPr>
      <w:r>
        <w:rPr>
          <w:rFonts w:asciiTheme="majorHAnsi" w:hAnsiTheme="majorHAnsi" w:cstheme="majorHAnsi"/>
          <w:bCs/>
          <w:i/>
          <w:iCs/>
          <w:sz w:val="18"/>
          <w:szCs w:val="18"/>
        </w:rPr>
        <w:t>Kritéria a podmínky pro rozhodování o změnách v území</w:t>
      </w:r>
    </w:p>
    <w:p w14:paraId="75C540E8" w14:textId="0D210DE4" w:rsidR="00225BD6" w:rsidRDefault="00225BD6" w:rsidP="00225BD6">
      <w:pPr>
        <w:pStyle w:val="Odstavecseseznamem"/>
        <w:numPr>
          <w:ilvl w:val="0"/>
          <w:numId w:val="46"/>
        </w:numPr>
        <w:autoSpaceDE w:val="0"/>
        <w:autoSpaceDN w:val="0"/>
        <w:adjustRightInd w:val="0"/>
        <w:spacing w:before="60" w:after="60" w:line="240" w:lineRule="auto"/>
        <w:jc w:val="both"/>
        <w:rPr>
          <w:rFonts w:asciiTheme="majorHAnsi" w:hAnsiTheme="majorHAnsi" w:cstheme="majorHAnsi"/>
          <w:bCs/>
          <w:i/>
          <w:iCs/>
          <w:sz w:val="18"/>
          <w:szCs w:val="18"/>
        </w:rPr>
      </w:pPr>
      <w:r>
        <w:rPr>
          <w:rFonts w:asciiTheme="majorHAnsi" w:hAnsiTheme="majorHAnsi" w:cstheme="majorHAnsi"/>
          <w:bCs/>
          <w:i/>
          <w:iCs/>
          <w:sz w:val="18"/>
          <w:szCs w:val="18"/>
        </w:rPr>
        <w:t>Minimalizace vlivů:</w:t>
      </w:r>
    </w:p>
    <w:p w14:paraId="48F22923" w14:textId="5E094ABC" w:rsidR="00225BD6" w:rsidRDefault="00225BD6" w:rsidP="00225BD6">
      <w:pPr>
        <w:pStyle w:val="Odstavecseseznamem"/>
        <w:numPr>
          <w:ilvl w:val="1"/>
          <w:numId w:val="46"/>
        </w:numPr>
        <w:autoSpaceDE w:val="0"/>
        <w:autoSpaceDN w:val="0"/>
        <w:adjustRightInd w:val="0"/>
        <w:spacing w:before="60" w:after="60" w:line="240" w:lineRule="auto"/>
        <w:jc w:val="both"/>
        <w:rPr>
          <w:rFonts w:asciiTheme="majorHAnsi" w:hAnsiTheme="majorHAnsi" w:cstheme="majorHAnsi"/>
          <w:bCs/>
          <w:i/>
          <w:iCs/>
          <w:sz w:val="18"/>
          <w:szCs w:val="18"/>
        </w:rPr>
      </w:pPr>
      <w:r>
        <w:rPr>
          <w:rFonts w:asciiTheme="majorHAnsi" w:hAnsiTheme="majorHAnsi" w:cstheme="majorHAnsi"/>
          <w:bCs/>
          <w:i/>
          <w:iCs/>
          <w:sz w:val="18"/>
          <w:szCs w:val="18"/>
        </w:rPr>
        <w:lastRenderedPageBreak/>
        <w:t xml:space="preserve">na předměty ochrany a územní celistvost přírodních rezervací </w:t>
      </w:r>
      <w:r w:rsidRPr="00225BD6">
        <w:rPr>
          <w:rFonts w:asciiTheme="majorHAnsi" w:hAnsiTheme="majorHAnsi" w:cstheme="majorHAnsi"/>
          <w:bCs/>
          <w:i/>
          <w:iCs/>
          <w:sz w:val="18"/>
          <w:szCs w:val="18"/>
        </w:rPr>
        <w:t>Káraný-Hrbáčkovy tůně, Mydlovarský luh, Na hornické, Týnecké mokřiny, Veltrubský luh a Vrťí</w:t>
      </w:r>
    </w:p>
    <w:p w14:paraId="78C4419F" w14:textId="48BBE753" w:rsidR="00225BD6" w:rsidRPr="00225BD6" w:rsidRDefault="00225BD6" w:rsidP="00225BD6">
      <w:pPr>
        <w:pStyle w:val="Odstavecseseznamem"/>
        <w:numPr>
          <w:ilvl w:val="1"/>
          <w:numId w:val="46"/>
        </w:numPr>
        <w:autoSpaceDE w:val="0"/>
        <w:autoSpaceDN w:val="0"/>
        <w:adjustRightInd w:val="0"/>
        <w:spacing w:before="60" w:after="60" w:line="240" w:lineRule="auto"/>
        <w:jc w:val="both"/>
        <w:rPr>
          <w:rFonts w:asciiTheme="majorHAnsi" w:hAnsiTheme="majorHAnsi" w:cstheme="majorHAnsi"/>
          <w:bCs/>
          <w:i/>
          <w:iCs/>
          <w:sz w:val="18"/>
          <w:szCs w:val="18"/>
        </w:rPr>
      </w:pPr>
      <w:r w:rsidRPr="00225BD6">
        <w:rPr>
          <w:rFonts w:asciiTheme="majorHAnsi" w:hAnsiTheme="majorHAnsi" w:cstheme="majorHAnsi"/>
          <w:bCs/>
          <w:i/>
          <w:iCs/>
          <w:sz w:val="18"/>
          <w:szCs w:val="18"/>
        </w:rPr>
        <w:t>na funkčnost dotčených segmentů ÚSES (zejména NC7 Polabský luh, NK10 Stříbrný roh – Polabský luh, NK72 Polabský luh – Bohdaneč</w:t>
      </w:r>
      <w:r>
        <w:rPr>
          <w:rFonts w:asciiTheme="majorHAnsi" w:hAnsiTheme="majorHAnsi" w:cstheme="majorHAnsi"/>
          <w:bCs/>
          <w:i/>
          <w:iCs/>
          <w:sz w:val="18"/>
          <w:szCs w:val="18"/>
        </w:rPr>
        <w:t>)</w:t>
      </w:r>
    </w:p>
    <w:p w14:paraId="39F9209A" w14:textId="6C4CED69"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w:t>
      </w:r>
      <w:r w:rsidR="00225BD6">
        <w:rPr>
          <w:rFonts w:asciiTheme="majorHAnsi" w:hAnsiTheme="majorHAnsi" w:cstheme="majorHAnsi"/>
          <w:color w:val="auto"/>
        </w:rPr>
        <w:t xml:space="preserve">vymezuje v souladu se ZÚR SK </w:t>
      </w:r>
      <w:r w:rsidRPr="006070EA">
        <w:rPr>
          <w:rFonts w:asciiTheme="majorHAnsi" w:hAnsiTheme="majorHAnsi" w:cstheme="majorHAnsi"/>
          <w:color w:val="auto"/>
        </w:rPr>
        <w:t xml:space="preserve">koridor </w:t>
      </w:r>
      <w:r w:rsidR="00E6279E" w:rsidRPr="006070EA">
        <w:rPr>
          <w:rFonts w:asciiTheme="majorHAnsi" w:hAnsiTheme="majorHAnsi" w:cstheme="majorHAnsi"/>
          <w:color w:val="auto"/>
        </w:rPr>
        <w:t>dopravy</w:t>
      </w:r>
      <w:r w:rsidRPr="006070EA">
        <w:rPr>
          <w:rFonts w:asciiTheme="majorHAnsi" w:hAnsiTheme="majorHAnsi" w:cstheme="majorHAnsi"/>
          <w:color w:val="auto"/>
        </w:rPr>
        <w:t xml:space="preserve"> vodní (</w:t>
      </w:r>
      <w:r w:rsidR="00E6279E" w:rsidRPr="006070EA">
        <w:rPr>
          <w:rFonts w:asciiTheme="majorHAnsi" w:hAnsiTheme="majorHAnsi" w:cstheme="majorHAnsi"/>
          <w:color w:val="auto"/>
        </w:rPr>
        <w:t>CN</w:t>
      </w:r>
      <w:r w:rsidR="00433C39" w:rsidRPr="006070EA">
        <w:rPr>
          <w:rFonts w:asciiTheme="majorHAnsi" w:hAnsiTheme="majorHAnsi" w:cstheme="majorHAnsi"/>
          <w:color w:val="auto"/>
        </w:rPr>
        <w:t>Z</w:t>
      </w:r>
      <w:r w:rsidR="00E6279E" w:rsidRPr="006070EA">
        <w:rPr>
          <w:rFonts w:asciiTheme="majorHAnsi" w:hAnsiTheme="majorHAnsi" w:cstheme="majorHAnsi"/>
          <w:color w:val="auto"/>
        </w:rPr>
        <w:t>.</w:t>
      </w:r>
      <w:r w:rsidR="00225BD6">
        <w:rPr>
          <w:rFonts w:asciiTheme="majorHAnsi" w:hAnsiTheme="majorHAnsi" w:cstheme="majorHAnsi"/>
          <w:color w:val="auto"/>
        </w:rPr>
        <w:t>VD1</w:t>
      </w:r>
      <w:r w:rsidRPr="006070EA">
        <w:rPr>
          <w:rFonts w:asciiTheme="majorHAnsi" w:hAnsiTheme="majorHAnsi" w:cstheme="majorHAnsi"/>
          <w:color w:val="auto"/>
        </w:rPr>
        <w:t>) na základě projektové dokumentace Ředitelství vodních cest ČR</w:t>
      </w:r>
      <w:r w:rsidR="00E6279E" w:rsidRPr="006070EA">
        <w:rPr>
          <w:rFonts w:asciiTheme="majorHAnsi" w:hAnsiTheme="majorHAnsi" w:cstheme="majorHAnsi"/>
          <w:color w:val="auto"/>
        </w:rPr>
        <w:t xml:space="preserve"> a v koordinaci s ÚPD sousední obce Kostomlátky</w:t>
      </w:r>
      <w:r w:rsidR="00225BD6">
        <w:rPr>
          <w:rFonts w:asciiTheme="majorHAnsi" w:hAnsiTheme="majorHAnsi" w:cstheme="majorHAnsi"/>
          <w:color w:val="auto"/>
        </w:rPr>
        <w:t xml:space="preserve"> a jeho upřesnění v souladu s požadavky ZÚR SK (vymezení korytem vodního toku, viz výše)</w:t>
      </w:r>
      <w:r w:rsidRPr="006070EA">
        <w:rPr>
          <w:rFonts w:asciiTheme="majorHAnsi" w:hAnsiTheme="majorHAnsi" w:cstheme="majorHAnsi"/>
          <w:color w:val="auto"/>
        </w:rPr>
        <w:t>.</w:t>
      </w:r>
      <w:r w:rsidR="00225BD6">
        <w:rPr>
          <w:rFonts w:asciiTheme="majorHAnsi" w:hAnsiTheme="majorHAnsi" w:cstheme="majorHAnsi"/>
          <w:color w:val="auto"/>
        </w:rPr>
        <w:t xml:space="preserve"> Stanovené požadavky na využití území a kritéria a podmínky pro rozhodování o změnách v území byly zapracovány do podmínek pro rozhodování v koridoru CNZ.VD1, stanovující mj. respektovat skladebné části ÚSES a zajistit jejich funkčnost, vytvořit podmínky pro zabezpečení splavnosti Labe, minimalizovat vlivy na předmět ochrany a územní celistvost přírodní rezervace Mydlovarský luh.</w:t>
      </w:r>
    </w:p>
    <w:p w14:paraId="7EC847B7" w14:textId="5A0AE493" w:rsidR="00AD073E" w:rsidRPr="00AD073E" w:rsidRDefault="00AD073E" w:rsidP="00AD073E">
      <w:pPr>
        <w:autoSpaceDE w:val="0"/>
        <w:autoSpaceDN w:val="0"/>
        <w:adjustRightInd w:val="0"/>
        <w:spacing w:before="120" w:after="120" w:line="240" w:lineRule="auto"/>
        <w:ind w:left="567" w:hanging="567"/>
        <w:jc w:val="both"/>
        <w:rPr>
          <w:rFonts w:asciiTheme="majorHAnsi" w:hAnsiTheme="majorHAnsi" w:cstheme="majorHAnsi"/>
          <w:b/>
          <w:bCs/>
          <w:iCs/>
          <w:sz w:val="18"/>
          <w:szCs w:val="18"/>
        </w:rPr>
      </w:pPr>
      <w:r w:rsidRPr="00AD073E">
        <w:rPr>
          <w:rFonts w:asciiTheme="majorHAnsi" w:hAnsiTheme="majorHAnsi" w:cstheme="majorHAnsi"/>
          <w:b/>
          <w:bCs/>
          <w:iCs/>
          <w:sz w:val="18"/>
          <w:szCs w:val="18"/>
        </w:rPr>
        <w:t>D.4</w:t>
      </w:r>
      <w:r w:rsidRPr="00AD073E">
        <w:rPr>
          <w:rFonts w:asciiTheme="majorHAnsi" w:hAnsiTheme="majorHAnsi" w:cstheme="majorHAnsi"/>
          <w:b/>
          <w:bCs/>
          <w:iCs/>
          <w:sz w:val="18"/>
          <w:szCs w:val="18"/>
        </w:rPr>
        <w:tab/>
      </w:r>
      <w:r>
        <w:rPr>
          <w:rFonts w:asciiTheme="majorHAnsi" w:hAnsiTheme="majorHAnsi" w:cstheme="majorHAnsi"/>
          <w:b/>
          <w:bCs/>
          <w:iCs/>
          <w:sz w:val="18"/>
          <w:szCs w:val="18"/>
        </w:rPr>
        <w:t>P</w:t>
      </w:r>
      <w:r w:rsidRPr="00AD073E">
        <w:rPr>
          <w:rFonts w:asciiTheme="majorHAnsi" w:hAnsiTheme="majorHAnsi" w:cstheme="majorHAnsi"/>
          <w:b/>
          <w:bCs/>
          <w:iCs/>
          <w:sz w:val="18"/>
          <w:szCs w:val="18"/>
        </w:rPr>
        <w:t>lochy a koridory ÚSES</w:t>
      </w:r>
    </w:p>
    <w:p w14:paraId="6474349C" w14:textId="77777777" w:rsidR="00AD073E" w:rsidRPr="00AD073E" w:rsidRDefault="00AD073E" w:rsidP="00AD073E">
      <w:pPr>
        <w:spacing w:before="120" w:after="60"/>
        <w:ind w:left="709" w:hanging="709"/>
        <w:jc w:val="both"/>
        <w:rPr>
          <w:rFonts w:asciiTheme="majorHAnsi" w:eastAsia="Calibri" w:hAnsiTheme="majorHAnsi" w:cstheme="majorHAnsi"/>
          <w:i/>
          <w:sz w:val="18"/>
          <w:szCs w:val="18"/>
        </w:rPr>
      </w:pPr>
      <w:r w:rsidRPr="00AD073E">
        <w:rPr>
          <w:rFonts w:asciiTheme="majorHAnsi" w:eastAsia="Calibri" w:hAnsiTheme="majorHAnsi" w:cstheme="majorHAnsi"/>
          <w:iCs/>
          <w:sz w:val="18"/>
          <w:szCs w:val="18"/>
        </w:rPr>
        <w:t>(192)</w:t>
      </w:r>
      <w:r w:rsidRPr="00AD073E">
        <w:rPr>
          <w:rFonts w:asciiTheme="majorHAnsi" w:eastAsia="Calibri" w:hAnsiTheme="majorHAnsi" w:cstheme="majorHAnsi"/>
          <w:i/>
          <w:sz w:val="18"/>
          <w:szCs w:val="18"/>
        </w:rPr>
        <w:tab/>
        <w:t xml:space="preserve">ZÚR vymezují na NADREGIONÁLNÍ úrovni: </w:t>
      </w:r>
    </w:p>
    <w:p w14:paraId="59132BB2" w14:textId="77777777" w:rsidR="00AD073E" w:rsidRPr="00AD073E" w:rsidRDefault="00AD073E" w:rsidP="00AD073E">
      <w:pPr>
        <w:spacing w:before="60" w:after="60"/>
        <w:ind w:left="851"/>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a) biocentra</w:t>
      </w:r>
    </w:p>
    <w:tbl>
      <w:tblPr>
        <w:tblStyle w:val="Mkatabulky"/>
        <w:tblW w:w="0" w:type="auto"/>
        <w:jc w:val="center"/>
        <w:tblLayout w:type="fixed"/>
        <w:tblLook w:val="04A0" w:firstRow="1" w:lastRow="0" w:firstColumn="1" w:lastColumn="0" w:noHBand="0" w:noVBand="1"/>
      </w:tblPr>
      <w:tblGrid>
        <w:gridCol w:w="2835"/>
        <w:gridCol w:w="3756"/>
      </w:tblGrid>
      <w:tr w:rsidR="00AD073E" w:rsidRPr="00AD073E" w14:paraId="11D34FD9" w14:textId="77777777" w:rsidTr="006C3A75">
        <w:trPr>
          <w:trHeight w:val="227"/>
          <w:jc w:val="center"/>
        </w:trPr>
        <w:tc>
          <w:tcPr>
            <w:tcW w:w="2835" w:type="dxa"/>
            <w:vAlign w:val="center"/>
          </w:tcPr>
          <w:p w14:paraId="4F804280" w14:textId="77777777" w:rsidR="00AD073E" w:rsidRPr="00AD073E" w:rsidRDefault="00AD073E" w:rsidP="000F4A1C">
            <w:pPr>
              <w:autoSpaceDE w:val="0"/>
              <w:autoSpaceDN w:val="0"/>
              <w:adjustRightInd w:val="0"/>
              <w:jc w:val="center"/>
              <w:rPr>
                <w:rFonts w:asciiTheme="majorHAnsi" w:hAnsiTheme="majorHAnsi" w:cstheme="majorHAnsi"/>
                <w:i/>
                <w:iCs/>
                <w:sz w:val="18"/>
                <w:szCs w:val="18"/>
              </w:rPr>
            </w:pPr>
            <w:r w:rsidRPr="00AD073E">
              <w:rPr>
                <w:rFonts w:asciiTheme="majorHAnsi" w:hAnsiTheme="majorHAnsi" w:cstheme="majorHAnsi"/>
                <w:i/>
                <w:iCs/>
                <w:sz w:val="18"/>
                <w:szCs w:val="18"/>
              </w:rPr>
              <w:t>NKOD</w:t>
            </w:r>
          </w:p>
        </w:tc>
        <w:tc>
          <w:tcPr>
            <w:tcW w:w="3756" w:type="dxa"/>
            <w:vAlign w:val="center"/>
          </w:tcPr>
          <w:p w14:paraId="0684057D" w14:textId="77777777" w:rsidR="00AD073E" w:rsidRPr="00AD073E" w:rsidRDefault="00AD073E" w:rsidP="000F4A1C">
            <w:pPr>
              <w:autoSpaceDE w:val="0"/>
              <w:autoSpaceDN w:val="0"/>
              <w:adjustRightInd w:val="0"/>
              <w:jc w:val="center"/>
              <w:rPr>
                <w:rFonts w:asciiTheme="majorHAnsi" w:hAnsiTheme="majorHAnsi" w:cstheme="majorHAnsi"/>
                <w:i/>
                <w:iCs/>
                <w:sz w:val="18"/>
                <w:szCs w:val="18"/>
              </w:rPr>
            </w:pPr>
            <w:r w:rsidRPr="00AD073E">
              <w:rPr>
                <w:rFonts w:asciiTheme="majorHAnsi" w:hAnsiTheme="majorHAnsi" w:cstheme="majorHAnsi"/>
                <w:i/>
                <w:iCs/>
                <w:sz w:val="18"/>
                <w:szCs w:val="18"/>
              </w:rPr>
              <w:t>Název</w:t>
            </w:r>
          </w:p>
        </w:tc>
      </w:tr>
      <w:tr w:rsidR="00AD073E" w:rsidRPr="00AD073E" w14:paraId="43CE8E5F" w14:textId="77777777" w:rsidTr="006C3A75">
        <w:trPr>
          <w:trHeight w:val="227"/>
          <w:jc w:val="center"/>
        </w:trPr>
        <w:tc>
          <w:tcPr>
            <w:tcW w:w="2835" w:type="dxa"/>
            <w:vAlign w:val="center"/>
          </w:tcPr>
          <w:p w14:paraId="72AAFD96" w14:textId="5246D754" w:rsidR="00AD073E" w:rsidRPr="00AD073E" w:rsidRDefault="00AD073E" w:rsidP="000F4A1C">
            <w:pPr>
              <w:autoSpaceDE w:val="0"/>
              <w:autoSpaceDN w:val="0"/>
              <w:adjustRightInd w:val="0"/>
              <w:jc w:val="center"/>
              <w:rPr>
                <w:rFonts w:asciiTheme="majorHAnsi" w:hAnsiTheme="majorHAnsi" w:cstheme="majorHAnsi"/>
                <w:i/>
                <w:iCs/>
                <w:sz w:val="18"/>
                <w:szCs w:val="18"/>
              </w:rPr>
            </w:pPr>
            <w:r>
              <w:rPr>
                <w:rFonts w:asciiTheme="majorHAnsi" w:hAnsiTheme="majorHAnsi" w:cstheme="majorHAnsi"/>
                <w:i/>
                <w:iCs/>
                <w:sz w:val="18"/>
                <w:szCs w:val="18"/>
              </w:rPr>
              <w:t>10</w:t>
            </w:r>
          </w:p>
        </w:tc>
        <w:tc>
          <w:tcPr>
            <w:tcW w:w="3756" w:type="dxa"/>
            <w:vAlign w:val="center"/>
          </w:tcPr>
          <w:p w14:paraId="24CF67D1" w14:textId="1A0A818B" w:rsidR="00AD073E" w:rsidRPr="00AD073E" w:rsidRDefault="006C3A75" w:rsidP="000F4A1C">
            <w:pPr>
              <w:autoSpaceDE w:val="0"/>
              <w:autoSpaceDN w:val="0"/>
              <w:adjustRightInd w:val="0"/>
              <w:jc w:val="center"/>
              <w:rPr>
                <w:rFonts w:asciiTheme="majorHAnsi" w:hAnsiTheme="majorHAnsi" w:cstheme="majorHAnsi"/>
                <w:i/>
                <w:iCs/>
                <w:sz w:val="18"/>
                <w:szCs w:val="18"/>
              </w:rPr>
            </w:pPr>
            <w:r>
              <w:rPr>
                <w:rFonts w:asciiTheme="majorHAnsi" w:hAnsiTheme="majorHAnsi" w:cstheme="majorHAnsi"/>
                <w:i/>
                <w:iCs/>
                <w:sz w:val="18"/>
                <w:szCs w:val="18"/>
              </w:rPr>
              <w:t>Stříbrný roh – Polabský luh (vodní, nivní, borový)</w:t>
            </w:r>
          </w:p>
        </w:tc>
      </w:tr>
    </w:tbl>
    <w:p w14:paraId="630B4706" w14:textId="5C7F136D" w:rsidR="00AD073E" w:rsidRPr="00AD073E" w:rsidRDefault="00AD073E" w:rsidP="00AD073E">
      <w:pPr>
        <w:pStyle w:val="Mra2-reakceern"/>
        <w:spacing w:before="40" w:after="40"/>
        <w:ind w:left="142"/>
        <w:rPr>
          <w:rFonts w:asciiTheme="majorHAnsi" w:hAnsiTheme="majorHAnsi" w:cstheme="majorHAnsi"/>
          <w:color w:val="auto"/>
        </w:rPr>
      </w:pPr>
      <w:bookmarkStart w:id="68" w:name="_Hlk71566479"/>
      <w:r w:rsidRPr="00AD073E">
        <w:rPr>
          <w:rFonts w:asciiTheme="majorHAnsi" w:hAnsiTheme="majorHAnsi" w:cstheme="majorHAnsi"/>
          <w:color w:val="auto"/>
        </w:rPr>
        <w:t xml:space="preserve">Územní plán v řešeném území vymezuje a územně zpřesňuje nadregionální </w:t>
      </w:r>
      <w:r w:rsidR="00F432B3">
        <w:rPr>
          <w:rFonts w:asciiTheme="majorHAnsi" w:hAnsiTheme="majorHAnsi" w:cstheme="majorHAnsi"/>
          <w:color w:val="auto"/>
        </w:rPr>
        <w:t>biokoridor</w:t>
      </w:r>
      <w:r w:rsidRPr="00AD073E">
        <w:rPr>
          <w:rFonts w:asciiTheme="majorHAnsi" w:hAnsiTheme="majorHAnsi" w:cstheme="majorHAnsi"/>
          <w:color w:val="auto"/>
        </w:rPr>
        <w:t xml:space="preserve"> </w:t>
      </w:r>
      <w:r w:rsidR="00F432B3">
        <w:rPr>
          <w:rFonts w:asciiTheme="majorHAnsi" w:hAnsiTheme="majorHAnsi" w:cstheme="majorHAnsi"/>
          <w:color w:val="auto"/>
        </w:rPr>
        <w:t>NRBK.10 Stříbrný roh – Polabský Luh</w:t>
      </w:r>
      <w:r w:rsidRPr="00AD073E">
        <w:rPr>
          <w:rFonts w:asciiTheme="majorHAnsi" w:hAnsiTheme="majorHAnsi" w:cstheme="majorHAnsi"/>
          <w:color w:val="auto"/>
        </w:rPr>
        <w:t>. Je</w:t>
      </w:r>
      <w:r w:rsidR="00F432B3">
        <w:rPr>
          <w:rFonts w:asciiTheme="majorHAnsi" w:hAnsiTheme="majorHAnsi" w:cstheme="majorHAnsi"/>
          <w:color w:val="auto"/>
        </w:rPr>
        <w:t>ho</w:t>
      </w:r>
      <w:r w:rsidRPr="00AD073E">
        <w:rPr>
          <w:rFonts w:asciiTheme="majorHAnsi" w:hAnsiTheme="majorHAnsi" w:cstheme="majorHAnsi"/>
          <w:color w:val="auto"/>
        </w:rPr>
        <w:t xml:space="preserve"> vymezení je současně koordinováno s platnou ÚPD sousedních dotčených obcí. </w:t>
      </w:r>
      <w:r w:rsidR="00F432B3">
        <w:rPr>
          <w:rFonts w:asciiTheme="majorHAnsi" w:hAnsiTheme="majorHAnsi" w:cstheme="majorHAnsi"/>
          <w:color w:val="auto"/>
        </w:rPr>
        <w:t>Biokoridor je vymezen na plochách ekologicky stabilních bez nutnosti vymezení ploch změn a VPO pro zajištění funkčnosti skladebné části ÚSES</w:t>
      </w:r>
      <w:r w:rsidRPr="00AD073E">
        <w:rPr>
          <w:rFonts w:asciiTheme="majorHAnsi" w:hAnsiTheme="majorHAnsi" w:cstheme="majorHAnsi"/>
          <w:color w:val="auto"/>
        </w:rPr>
        <w:t>.</w:t>
      </w:r>
      <w:bookmarkEnd w:id="68"/>
    </w:p>
    <w:p w14:paraId="42B08CBE" w14:textId="77777777" w:rsidR="00AD073E" w:rsidRPr="00AD073E" w:rsidRDefault="00AD073E" w:rsidP="00AD073E">
      <w:pPr>
        <w:spacing w:before="120" w:after="60"/>
        <w:ind w:left="709" w:hanging="709"/>
        <w:jc w:val="both"/>
        <w:rPr>
          <w:rFonts w:asciiTheme="majorHAnsi" w:eastAsia="Calibri" w:hAnsiTheme="majorHAnsi" w:cstheme="majorHAnsi"/>
          <w:i/>
          <w:sz w:val="18"/>
          <w:szCs w:val="18"/>
        </w:rPr>
      </w:pPr>
      <w:r w:rsidRPr="00F432B3">
        <w:rPr>
          <w:rFonts w:asciiTheme="majorHAnsi" w:eastAsia="Calibri" w:hAnsiTheme="majorHAnsi" w:cstheme="majorHAnsi"/>
          <w:iCs/>
          <w:sz w:val="18"/>
          <w:szCs w:val="18"/>
        </w:rPr>
        <w:t>(193)</w:t>
      </w:r>
      <w:r w:rsidRPr="00AD073E">
        <w:rPr>
          <w:rFonts w:asciiTheme="majorHAnsi" w:eastAsia="Calibri" w:hAnsiTheme="majorHAnsi" w:cstheme="majorHAnsi"/>
          <w:i/>
          <w:sz w:val="18"/>
          <w:szCs w:val="18"/>
        </w:rPr>
        <w:tab/>
        <w:t xml:space="preserve">ZÚR vymezují na REGIONÁLNÍ úrovni: </w:t>
      </w:r>
    </w:p>
    <w:p w14:paraId="0A142D84" w14:textId="77777777" w:rsidR="00AD073E" w:rsidRPr="00AD073E" w:rsidRDefault="00AD073E" w:rsidP="00AD073E">
      <w:pPr>
        <w:spacing w:before="60" w:after="60"/>
        <w:ind w:left="851"/>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a) biocentra</w:t>
      </w:r>
    </w:p>
    <w:tbl>
      <w:tblPr>
        <w:tblStyle w:val="Mkatabulky"/>
        <w:tblW w:w="0" w:type="auto"/>
        <w:jc w:val="center"/>
        <w:tblLayout w:type="fixed"/>
        <w:tblLook w:val="04A0" w:firstRow="1" w:lastRow="0" w:firstColumn="1" w:lastColumn="0" w:noHBand="0" w:noVBand="1"/>
      </w:tblPr>
      <w:tblGrid>
        <w:gridCol w:w="2835"/>
        <w:gridCol w:w="2835"/>
      </w:tblGrid>
      <w:tr w:rsidR="00AD073E" w:rsidRPr="00AD073E" w14:paraId="0DF82A45" w14:textId="77777777" w:rsidTr="000F4A1C">
        <w:trPr>
          <w:trHeight w:val="227"/>
          <w:jc w:val="center"/>
        </w:trPr>
        <w:tc>
          <w:tcPr>
            <w:tcW w:w="2835" w:type="dxa"/>
            <w:vAlign w:val="center"/>
          </w:tcPr>
          <w:p w14:paraId="4322E849" w14:textId="77777777" w:rsidR="00AD073E" w:rsidRPr="00AD073E" w:rsidRDefault="00AD073E" w:rsidP="000F4A1C">
            <w:pPr>
              <w:autoSpaceDE w:val="0"/>
              <w:autoSpaceDN w:val="0"/>
              <w:adjustRightInd w:val="0"/>
              <w:jc w:val="center"/>
              <w:rPr>
                <w:rFonts w:asciiTheme="majorHAnsi" w:hAnsiTheme="majorHAnsi" w:cstheme="majorHAnsi"/>
                <w:i/>
                <w:iCs/>
                <w:sz w:val="18"/>
                <w:szCs w:val="18"/>
              </w:rPr>
            </w:pPr>
            <w:r w:rsidRPr="00AD073E">
              <w:rPr>
                <w:rFonts w:asciiTheme="majorHAnsi" w:hAnsiTheme="majorHAnsi" w:cstheme="majorHAnsi"/>
                <w:i/>
                <w:iCs/>
                <w:sz w:val="18"/>
                <w:szCs w:val="18"/>
              </w:rPr>
              <w:t>NKOD</w:t>
            </w:r>
          </w:p>
        </w:tc>
        <w:tc>
          <w:tcPr>
            <w:tcW w:w="2835" w:type="dxa"/>
            <w:vAlign w:val="center"/>
          </w:tcPr>
          <w:p w14:paraId="2D360F5D" w14:textId="77777777" w:rsidR="00AD073E" w:rsidRPr="00AD073E" w:rsidRDefault="00AD073E" w:rsidP="000F4A1C">
            <w:pPr>
              <w:autoSpaceDE w:val="0"/>
              <w:autoSpaceDN w:val="0"/>
              <w:adjustRightInd w:val="0"/>
              <w:jc w:val="center"/>
              <w:rPr>
                <w:rFonts w:asciiTheme="majorHAnsi" w:hAnsiTheme="majorHAnsi" w:cstheme="majorHAnsi"/>
                <w:i/>
                <w:iCs/>
                <w:sz w:val="18"/>
                <w:szCs w:val="18"/>
              </w:rPr>
            </w:pPr>
            <w:r w:rsidRPr="00AD073E">
              <w:rPr>
                <w:rFonts w:asciiTheme="majorHAnsi" w:hAnsiTheme="majorHAnsi" w:cstheme="majorHAnsi"/>
                <w:i/>
                <w:iCs/>
                <w:sz w:val="18"/>
                <w:szCs w:val="18"/>
              </w:rPr>
              <w:t>Název</w:t>
            </w:r>
          </w:p>
        </w:tc>
      </w:tr>
      <w:tr w:rsidR="00AD073E" w:rsidRPr="00AD073E" w14:paraId="5B3AA90C" w14:textId="77777777" w:rsidTr="000F4A1C">
        <w:trPr>
          <w:trHeight w:val="227"/>
          <w:jc w:val="center"/>
        </w:trPr>
        <w:tc>
          <w:tcPr>
            <w:tcW w:w="2835" w:type="dxa"/>
            <w:vAlign w:val="center"/>
          </w:tcPr>
          <w:p w14:paraId="047A577C" w14:textId="4611BE45" w:rsidR="00AD073E" w:rsidRPr="00AD073E" w:rsidRDefault="006C3A75" w:rsidP="000F4A1C">
            <w:pPr>
              <w:autoSpaceDE w:val="0"/>
              <w:autoSpaceDN w:val="0"/>
              <w:adjustRightInd w:val="0"/>
              <w:jc w:val="center"/>
              <w:rPr>
                <w:rFonts w:asciiTheme="majorHAnsi" w:hAnsiTheme="majorHAnsi" w:cstheme="majorHAnsi"/>
                <w:i/>
                <w:iCs/>
                <w:sz w:val="18"/>
                <w:szCs w:val="18"/>
              </w:rPr>
            </w:pPr>
            <w:r>
              <w:rPr>
                <w:rFonts w:asciiTheme="majorHAnsi" w:hAnsiTheme="majorHAnsi" w:cstheme="majorHAnsi"/>
                <w:i/>
                <w:iCs/>
                <w:sz w:val="18"/>
                <w:szCs w:val="18"/>
              </w:rPr>
              <w:t>349</w:t>
            </w:r>
          </w:p>
        </w:tc>
        <w:tc>
          <w:tcPr>
            <w:tcW w:w="2835" w:type="dxa"/>
            <w:vAlign w:val="center"/>
          </w:tcPr>
          <w:p w14:paraId="647AEF49" w14:textId="3A35BB4D" w:rsidR="00AD073E" w:rsidRPr="00AD073E" w:rsidRDefault="00F432B3" w:rsidP="000F4A1C">
            <w:pPr>
              <w:autoSpaceDE w:val="0"/>
              <w:autoSpaceDN w:val="0"/>
              <w:adjustRightInd w:val="0"/>
              <w:jc w:val="center"/>
              <w:rPr>
                <w:rFonts w:asciiTheme="majorHAnsi" w:hAnsiTheme="majorHAnsi" w:cstheme="majorHAnsi"/>
                <w:i/>
                <w:iCs/>
                <w:sz w:val="18"/>
                <w:szCs w:val="18"/>
              </w:rPr>
            </w:pPr>
            <w:r>
              <w:rPr>
                <w:rFonts w:asciiTheme="majorHAnsi" w:hAnsiTheme="majorHAnsi" w:cstheme="majorHAnsi"/>
                <w:i/>
                <w:iCs/>
                <w:sz w:val="18"/>
                <w:szCs w:val="18"/>
              </w:rPr>
              <w:t>Niva Labe u Lysé nad Labem</w:t>
            </w:r>
          </w:p>
        </w:tc>
      </w:tr>
    </w:tbl>
    <w:p w14:paraId="202518F1" w14:textId="6C763263" w:rsidR="00AD073E" w:rsidRPr="00AD073E" w:rsidRDefault="00AD073E" w:rsidP="00AD073E">
      <w:pPr>
        <w:pStyle w:val="Mra2-reakceern"/>
        <w:spacing w:before="40" w:after="40"/>
        <w:ind w:left="142"/>
        <w:rPr>
          <w:rFonts w:asciiTheme="majorHAnsi" w:hAnsiTheme="majorHAnsi" w:cstheme="majorHAnsi"/>
          <w:color w:val="auto"/>
        </w:rPr>
      </w:pPr>
      <w:bookmarkStart w:id="69" w:name="_Hlk71567182"/>
      <w:r w:rsidRPr="00AD073E">
        <w:rPr>
          <w:rFonts w:asciiTheme="majorHAnsi" w:hAnsiTheme="majorHAnsi" w:cstheme="majorHAnsi"/>
          <w:color w:val="auto"/>
        </w:rPr>
        <w:t xml:space="preserve">Územní plán v řešeném území vymezuje a územně zpřesňuje </w:t>
      </w:r>
      <w:r w:rsidR="00F432B3">
        <w:rPr>
          <w:rFonts w:asciiTheme="majorHAnsi" w:hAnsiTheme="majorHAnsi" w:cstheme="majorHAnsi"/>
          <w:color w:val="auto"/>
        </w:rPr>
        <w:t xml:space="preserve">část </w:t>
      </w:r>
      <w:r w:rsidRPr="00AD073E">
        <w:rPr>
          <w:rFonts w:asciiTheme="majorHAnsi" w:hAnsiTheme="majorHAnsi" w:cstheme="majorHAnsi"/>
          <w:color w:val="auto"/>
        </w:rPr>
        <w:t>regionální</w:t>
      </w:r>
      <w:r w:rsidR="00F432B3">
        <w:rPr>
          <w:rFonts w:asciiTheme="majorHAnsi" w:hAnsiTheme="majorHAnsi" w:cstheme="majorHAnsi"/>
          <w:color w:val="auto"/>
        </w:rPr>
        <w:t>ho</w:t>
      </w:r>
      <w:r w:rsidRPr="00AD073E">
        <w:rPr>
          <w:rFonts w:asciiTheme="majorHAnsi" w:hAnsiTheme="majorHAnsi" w:cstheme="majorHAnsi"/>
          <w:color w:val="auto"/>
        </w:rPr>
        <w:t xml:space="preserve"> biocentr</w:t>
      </w:r>
      <w:r w:rsidR="00F432B3">
        <w:rPr>
          <w:rFonts w:asciiTheme="majorHAnsi" w:hAnsiTheme="majorHAnsi" w:cstheme="majorHAnsi"/>
          <w:color w:val="auto"/>
        </w:rPr>
        <w:t>a</w:t>
      </w:r>
      <w:r w:rsidRPr="00AD073E">
        <w:rPr>
          <w:rFonts w:asciiTheme="majorHAnsi" w:hAnsiTheme="majorHAnsi" w:cstheme="majorHAnsi"/>
          <w:color w:val="auto"/>
        </w:rPr>
        <w:t xml:space="preserve"> RC </w:t>
      </w:r>
      <w:r w:rsidR="00F432B3">
        <w:rPr>
          <w:rFonts w:asciiTheme="majorHAnsi" w:hAnsiTheme="majorHAnsi" w:cstheme="majorHAnsi"/>
          <w:color w:val="auto"/>
        </w:rPr>
        <w:t>349 Niva Labe u Lysé nad Labem</w:t>
      </w:r>
      <w:r w:rsidRPr="00AD073E">
        <w:rPr>
          <w:rFonts w:asciiTheme="majorHAnsi" w:hAnsiTheme="majorHAnsi" w:cstheme="majorHAnsi"/>
          <w:color w:val="auto"/>
        </w:rPr>
        <w:t xml:space="preserve">. </w:t>
      </w:r>
      <w:r w:rsidR="00F432B3" w:rsidRPr="00AD073E">
        <w:rPr>
          <w:rFonts w:asciiTheme="majorHAnsi" w:hAnsiTheme="majorHAnsi" w:cstheme="majorHAnsi"/>
          <w:color w:val="auto"/>
        </w:rPr>
        <w:t>Je</w:t>
      </w:r>
      <w:r w:rsidR="00F432B3">
        <w:rPr>
          <w:rFonts w:asciiTheme="majorHAnsi" w:hAnsiTheme="majorHAnsi" w:cstheme="majorHAnsi"/>
          <w:color w:val="auto"/>
        </w:rPr>
        <w:t>ho</w:t>
      </w:r>
      <w:r w:rsidR="00F432B3" w:rsidRPr="00AD073E">
        <w:rPr>
          <w:rFonts w:asciiTheme="majorHAnsi" w:hAnsiTheme="majorHAnsi" w:cstheme="majorHAnsi"/>
          <w:color w:val="auto"/>
        </w:rPr>
        <w:t xml:space="preserve"> vymezení je současně koordinováno s platnou ÚPD sousedních dotčených obcí. </w:t>
      </w:r>
      <w:r w:rsidR="00F432B3">
        <w:rPr>
          <w:rFonts w:asciiTheme="majorHAnsi" w:hAnsiTheme="majorHAnsi" w:cstheme="majorHAnsi"/>
          <w:color w:val="auto"/>
        </w:rPr>
        <w:t>Biocentrum je vymezen na plochách ekologicky stabilních bez nutnosti vymezení ploch změn a VPO pro zajištění funkčnosti skladebné části ÚSES</w:t>
      </w:r>
      <w:r w:rsidRPr="00AD073E">
        <w:rPr>
          <w:rFonts w:asciiTheme="majorHAnsi" w:hAnsiTheme="majorHAnsi" w:cstheme="majorHAnsi"/>
          <w:color w:val="auto"/>
        </w:rPr>
        <w:t xml:space="preserve">. </w:t>
      </w:r>
      <w:bookmarkEnd w:id="69"/>
    </w:p>
    <w:p w14:paraId="4A3A9A2F" w14:textId="77777777" w:rsidR="00AD073E" w:rsidRPr="00AD073E" w:rsidRDefault="00AD073E" w:rsidP="00AD073E">
      <w:pPr>
        <w:keepNext/>
        <w:spacing w:before="120" w:after="60"/>
        <w:ind w:left="709" w:hanging="709"/>
        <w:jc w:val="both"/>
        <w:rPr>
          <w:rFonts w:asciiTheme="majorHAnsi" w:eastAsia="Calibri" w:hAnsiTheme="majorHAnsi" w:cstheme="majorHAnsi"/>
          <w:i/>
          <w:sz w:val="18"/>
          <w:szCs w:val="18"/>
        </w:rPr>
      </w:pPr>
      <w:r w:rsidRPr="00F432B3">
        <w:rPr>
          <w:rFonts w:asciiTheme="majorHAnsi" w:eastAsia="Calibri" w:hAnsiTheme="majorHAnsi" w:cstheme="majorHAnsi"/>
          <w:iCs/>
          <w:sz w:val="18"/>
          <w:szCs w:val="18"/>
        </w:rPr>
        <w:t>(194)</w:t>
      </w:r>
      <w:r w:rsidRPr="00AD073E">
        <w:rPr>
          <w:rFonts w:asciiTheme="majorHAnsi" w:eastAsia="Calibri" w:hAnsiTheme="majorHAnsi" w:cstheme="majorHAnsi"/>
          <w:i/>
          <w:sz w:val="18"/>
          <w:szCs w:val="18"/>
        </w:rPr>
        <w:tab/>
        <w:t xml:space="preserve">ZÚR stanovují tyto zásady pro usměrňování územního rozvoje a rozhodování o změnách v území: </w:t>
      </w:r>
    </w:p>
    <w:p w14:paraId="4539E599"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a) chránit vymezené plochy a koridory pro ÚSES před změnami ve využití území, jejichž důsledkem je:</w:t>
      </w:r>
    </w:p>
    <w:p w14:paraId="592A0755" w14:textId="77777777" w:rsidR="00AD073E" w:rsidRPr="00AD073E" w:rsidRDefault="00AD073E" w:rsidP="00AD073E">
      <w:pPr>
        <w:pStyle w:val="Odstavecseseznamem"/>
        <w:numPr>
          <w:ilvl w:val="0"/>
          <w:numId w:val="47"/>
        </w:numPr>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snížení stupně ekologické stability těchto ploch;</w:t>
      </w:r>
    </w:p>
    <w:p w14:paraId="3C681F2C" w14:textId="77777777" w:rsidR="00AD073E" w:rsidRPr="00AD073E" w:rsidRDefault="00AD073E" w:rsidP="00AD073E">
      <w:pPr>
        <w:pStyle w:val="Odstavecseseznamem"/>
        <w:numPr>
          <w:ilvl w:val="0"/>
          <w:numId w:val="47"/>
        </w:numPr>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znemožnění budoucího založení vymezené skladebné části ÚSES nebo narušení kontinuity ÚSES v požadovaných prostorových parametrech;</w:t>
      </w:r>
    </w:p>
    <w:p w14:paraId="0180A5EB" w14:textId="77777777" w:rsidR="00AD073E" w:rsidRPr="00AD073E" w:rsidRDefault="00AD073E" w:rsidP="00AD073E">
      <w:pPr>
        <w:pStyle w:val="Odstavecseseznamem"/>
        <w:numPr>
          <w:ilvl w:val="0"/>
          <w:numId w:val="47"/>
        </w:numPr>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zánik skladebné části ÚSES.</w:t>
      </w:r>
    </w:p>
    <w:p w14:paraId="3F69CE0F"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b) při řešení střetů skladebných částí ÚSES s ochranou a využíváním ložisek nerostných surovin uplatňovat tyto zásady:</w:t>
      </w:r>
    </w:p>
    <w:p w14:paraId="5912FD4D" w14:textId="77777777" w:rsidR="00AD073E" w:rsidRPr="00AD073E" w:rsidRDefault="00AD073E" w:rsidP="00AD073E">
      <w:pPr>
        <w:pStyle w:val="Odstavecseseznamem"/>
        <w:numPr>
          <w:ilvl w:val="0"/>
          <w:numId w:val="47"/>
        </w:numPr>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skladebné části ÚSES přednostně upřesňovat mimo plochy zjištěných a předpokládaných ložisek nerostů,</w:t>
      </w:r>
    </w:p>
    <w:p w14:paraId="488C4ED6" w14:textId="77777777" w:rsidR="00AD073E" w:rsidRPr="00AD073E" w:rsidRDefault="00AD073E" w:rsidP="00AD073E">
      <w:pPr>
        <w:pStyle w:val="Odstavecseseznamem"/>
        <w:numPr>
          <w:ilvl w:val="0"/>
          <w:numId w:val="47"/>
        </w:numPr>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případné upřesnění biocentra nebo biokoridoru v ploše ložiska nerostné suroviny není překážkou využití ložiska za podmínky současného zajištění funkčnosti skladebných částí ÚSES během těžební činnosti nebo obnovení jejich funkčnosti v rámci rekultivace těžbou dotčených ploch;</w:t>
      </w:r>
    </w:p>
    <w:p w14:paraId="49B935BE" w14:textId="77777777" w:rsidR="00AD073E" w:rsidRPr="00AD073E" w:rsidRDefault="00AD073E" w:rsidP="00AD073E">
      <w:pPr>
        <w:keepNext/>
        <w:spacing w:before="120" w:after="60"/>
        <w:ind w:left="709" w:hanging="709"/>
        <w:jc w:val="both"/>
        <w:rPr>
          <w:rFonts w:asciiTheme="majorHAnsi" w:eastAsia="Calibri" w:hAnsiTheme="majorHAnsi" w:cstheme="majorHAnsi"/>
          <w:i/>
          <w:sz w:val="18"/>
          <w:szCs w:val="18"/>
        </w:rPr>
      </w:pPr>
      <w:r w:rsidRPr="00AD073E">
        <w:rPr>
          <w:rFonts w:asciiTheme="majorHAnsi" w:eastAsia="Calibri" w:hAnsiTheme="majorHAnsi" w:cstheme="majorHAnsi"/>
          <w:i/>
          <w:sz w:val="18"/>
          <w:szCs w:val="18"/>
        </w:rPr>
        <w:t xml:space="preserve">(195) </w:t>
      </w:r>
      <w:r w:rsidRPr="00AD073E">
        <w:rPr>
          <w:rFonts w:asciiTheme="majorHAnsi" w:eastAsia="Calibri" w:hAnsiTheme="majorHAnsi" w:cstheme="majorHAnsi"/>
          <w:i/>
          <w:sz w:val="18"/>
          <w:szCs w:val="18"/>
        </w:rPr>
        <w:tab/>
        <w:t>ZÚR stanovují tyto úkoly pro územní plánování:</w:t>
      </w:r>
    </w:p>
    <w:p w14:paraId="614F973C"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a) v plochách a koridorech ÚSES vymezovat konkrétní biocentra, včetně vložených lokálních biocenter, a biokoridory; při upřesňování vymezení biocenter a biokoridorů ÚSES v rámci ÚP dotčených obcí zajistit prostorové parametry biocenter a biokoridorů tak, aby byla zachována funkčnost systému;</w:t>
      </w:r>
    </w:p>
    <w:p w14:paraId="4569B123" w14:textId="4FAF02A9"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b) vymezení biocenter a biokoridorů ÚSES koordinovat s vymezením ÚSES na navazujícím území sousedních obcí i</w:t>
      </w:r>
      <w:r w:rsidR="004C536A">
        <w:rPr>
          <w:rFonts w:asciiTheme="majorHAnsi" w:hAnsiTheme="majorHAnsi" w:cstheme="majorHAnsi"/>
          <w:i/>
          <w:iCs/>
          <w:sz w:val="18"/>
          <w:szCs w:val="18"/>
          <w:lang w:eastAsia="cs-CZ"/>
        </w:rPr>
        <w:t> </w:t>
      </w:r>
      <w:r w:rsidRPr="00AD073E">
        <w:rPr>
          <w:rFonts w:asciiTheme="majorHAnsi" w:hAnsiTheme="majorHAnsi" w:cstheme="majorHAnsi"/>
          <w:i/>
          <w:iCs/>
          <w:sz w:val="18"/>
          <w:szCs w:val="18"/>
          <w:lang w:eastAsia="cs-CZ"/>
        </w:rPr>
        <w:t>krajů;</w:t>
      </w:r>
    </w:p>
    <w:p w14:paraId="02BD6B7A"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c) zohledňovat reprezentativnost biocenter a biokoridorů ÚSES dle stanovených cílových ekosystémů;</w:t>
      </w:r>
    </w:p>
    <w:p w14:paraId="37D0E00B"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d) biocentra a biokoridory ÚSES přednostně vymezovat mimo zastavěná a zastavitelná území sídel je-li to vzhledem k charakteru příslušné skladebné části a jejímu cílovému ekosystému možné;</w:t>
      </w:r>
    </w:p>
    <w:p w14:paraId="632FCCBB"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e) při upřesňování vymezení biocenter a biokoridorů preferovat řešení, která budou minimalizovat střety s liniovými stavbami dopravní a technické infrastruktury; provádět vzájemnou koordinaci ÚSES a ploch či koridorů liniové dopravní a technické infrastruktury;</w:t>
      </w:r>
    </w:p>
    <w:p w14:paraId="3BCDFE65"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f) vymezování a stanovování podmínek pro využití ploch a koridorů v ÚP s překryvnou funkcí ÚSES koordinovat s podmínkami funkčnosti skladebných částí ÚSES; při vyloučení negativních vlivů na funkčnost biocenter a biokoridorů není využití území pro liniové stavby dopravní a technické infrastruktury důvodem pro nefunkčnost skladebné části ÚSES;</w:t>
      </w:r>
    </w:p>
    <w:p w14:paraId="68A54813"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lastRenderedPageBreak/>
        <w:t>g) v zastavěných území pro biokoridory a biocentra vyhledat maximu vhodných ploch pro zařazení do ÚSES a zajistit tak jeho kontinuitu a dle možností i prostorové parametry; v zastavěných území lze využít ploch sídelní zeleně;</w:t>
      </w:r>
    </w:p>
    <w:p w14:paraId="27CAE383" w14:textId="77777777" w:rsidR="00AD073E" w:rsidRPr="00AD073E" w:rsidRDefault="00AD073E" w:rsidP="004C536A">
      <w:pPr>
        <w:spacing w:after="60"/>
        <w:ind w:left="709"/>
        <w:jc w:val="both"/>
        <w:rPr>
          <w:rFonts w:asciiTheme="majorHAnsi" w:hAnsiTheme="majorHAnsi" w:cstheme="majorHAnsi"/>
          <w:i/>
          <w:iCs/>
          <w:sz w:val="18"/>
          <w:szCs w:val="18"/>
          <w:lang w:eastAsia="cs-CZ"/>
        </w:rPr>
      </w:pPr>
      <w:r w:rsidRPr="00AD073E">
        <w:rPr>
          <w:rFonts w:asciiTheme="majorHAnsi" w:hAnsiTheme="majorHAnsi" w:cstheme="majorHAnsi"/>
          <w:i/>
          <w:iCs/>
          <w:sz w:val="18"/>
          <w:szCs w:val="18"/>
          <w:lang w:eastAsia="cs-CZ"/>
        </w:rPr>
        <w:t>h) při zpřesňování ÚSES v nezastavěném území zohledňovat přírodní i antropogenní hrany a linie v krajině.</w:t>
      </w:r>
    </w:p>
    <w:p w14:paraId="2D86CD91" w14:textId="0805F6D3" w:rsidR="00AD073E" w:rsidRPr="00AD073E" w:rsidRDefault="00AD073E" w:rsidP="00AD073E">
      <w:pPr>
        <w:pStyle w:val="Mra2-reakceern"/>
        <w:spacing w:before="40" w:after="40"/>
        <w:ind w:left="142"/>
        <w:rPr>
          <w:rFonts w:asciiTheme="majorHAnsi" w:hAnsiTheme="majorHAnsi" w:cstheme="majorHAnsi"/>
          <w:color w:val="auto"/>
        </w:rPr>
      </w:pPr>
      <w:r w:rsidRPr="00AD073E">
        <w:rPr>
          <w:rFonts w:asciiTheme="majorHAnsi" w:hAnsiTheme="majorHAnsi" w:cstheme="majorHAnsi"/>
          <w:color w:val="auto"/>
        </w:rPr>
        <w:t xml:space="preserve">Skladebné části ÚSES regionální a nadregionální úrovně jsou územním plánem v řešeném území stabilizovány a územně zpřesněny a respektovány jako nezastavitelné. V rámci koncepce uspořádání krajiny jsou pro plochy skladebných částí ÚSES stanoveny zásady zajišťující zvýšení biodiverzity a ekologické stability krajiny. Územní systém ekologické stability je v řešeném území vymezen v souladu s platnými metodickými pokyny a doporučeními ze souvisejících oborových podkladů. </w:t>
      </w:r>
    </w:p>
    <w:p w14:paraId="1E63A0E6" w14:textId="4AAC538C" w:rsidR="0068493C" w:rsidRPr="00225BD6" w:rsidRDefault="0068493C" w:rsidP="00225BD6">
      <w:pPr>
        <w:pStyle w:val="Odstavecseseznamem"/>
        <w:numPr>
          <w:ilvl w:val="0"/>
          <w:numId w:val="45"/>
        </w:numPr>
        <w:pBdr>
          <w:bottom w:val="single" w:sz="4" w:space="1" w:color="auto"/>
        </w:pBdr>
        <w:spacing w:before="120" w:after="0" w:line="240" w:lineRule="auto"/>
        <w:ind w:left="284" w:hanging="284"/>
        <w:jc w:val="both"/>
        <w:rPr>
          <w:rFonts w:asciiTheme="majorHAnsi" w:hAnsiTheme="majorHAnsi" w:cstheme="majorHAnsi"/>
          <w:b/>
          <w:sz w:val="18"/>
          <w:szCs w:val="18"/>
        </w:rPr>
      </w:pPr>
      <w:r w:rsidRPr="00225BD6">
        <w:rPr>
          <w:rFonts w:asciiTheme="majorHAnsi" w:hAnsiTheme="majorHAnsi" w:cstheme="majorHAnsi"/>
          <w:b/>
          <w:sz w:val="18"/>
          <w:szCs w:val="18"/>
        </w:rPr>
        <w:t>UPŘESNĚNÍ ÚZEMNÍCH PODMÍNEK KONCEPCE OCHRANY A ROZVOJE PŘÍRODNÍCH, KULTURNÍCH A CIVILIZAČNÍCH HODNOT ÚZEMÍ</w:t>
      </w:r>
    </w:p>
    <w:p w14:paraId="6F206541" w14:textId="77777777" w:rsidR="0068493C" w:rsidRPr="006070EA" w:rsidRDefault="0068493C" w:rsidP="0068493C">
      <w:pPr>
        <w:spacing w:before="120" w:after="120"/>
        <w:ind w:left="709" w:hanging="709"/>
        <w:jc w:val="both"/>
        <w:rPr>
          <w:rFonts w:asciiTheme="majorHAnsi" w:hAnsiTheme="majorHAnsi" w:cstheme="majorHAnsi"/>
          <w:bCs/>
          <w:i/>
          <w:iCs/>
          <w:sz w:val="18"/>
          <w:szCs w:val="18"/>
        </w:rPr>
      </w:pPr>
      <w:r w:rsidRPr="006070EA">
        <w:rPr>
          <w:rFonts w:asciiTheme="majorHAnsi" w:eastAsia="Calibri" w:hAnsiTheme="majorHAnsi" w:cstheme="majorHAnsi"/>
          <w:iCs/>
          <w:sz w:val="18"/>
          <w:szCs w:val="18"/>
        </w:rPr>
        <w:t>(196)</w:t>
      </w:r>
      <w:r w:rsidRPr="006070EA">
        <w:rPr>
          <w:rFonts w:asciiTheme="majorHAnsi" w:eastAsia="Calibri" w:hAnsiTheme="majorHAnsi" w:cstheme="majorHAnsi"/>
          <w:i/>
          <w:sz w:val="18"/>
          <w:szCs w:val="18"/>
        </w:rPr>
        <w:t xml:space="preserve"> </w:t>
      </w:r>
      <w:r w:rsidRPr="006070EA">
        <w:rPr>
          <w:rFonts w:asciiTheme="majorHAnsi" w:eastAsia="Calibri" w:hAnsiTheme="majorHAnsi" w:cstheme="majorHAnsi"/>
          <w:i/>
          <w:sz w:val="18"/>
          <w:szCs w:val="18"/>
        </w:rPr>
        <w:tab/>
        <w:t>ZÚR stanovují zásady pro zajištění ochrany a možný rozvoj v územích s přírodními, kulturními a civilizačními hodnotami, které svým rozsahem ovlivňují významné území kraje nebo mají národní či regionální význam.</w:t>
      </w:r>
    </w:p>
    <w:p w14:paraId="48D95650" w14:textId="405DF509" w:rsidR="0068493C" w:rsidRPr="006070EA" w:rsidRDefault="00225BD6" w:rsidP="0068493C">
      <w:pPr>
        <w:autoSpaceDE w:val="0"/>
        <w:autoSpaceDN w:val="0"/>
        <w:adjustRightInd w:val="0"/>
        <w:spacing w:before="120" w:after="120" w:line="240" w:lineRule="auto"/>
        <w:ind w:left="567" w:hanging="567"/>
        <w:jc w:val="both"/>
        <w:rPr>
          <w:rFonts w:asciiTheme="majorHAnsi" w:hAnsiTheme="majorHAnsi" w:cstheme="majorHAnsi"/>
          <w:b/>
          <w:bCs/>
          <w:iCs/>
          <w:sz w:val="18"/>
          <w:szCs w:val="18"/>
        </w:rPr>
      </w:pPr>
      <w:r>
        <w:rPr>
          <w:rFonts w:asciiTheme="majorHAnsi" w:hAnsiTheme="majorHAnsi" w:cstheme="majorHAnsi"/>
          <w:b/>
          <w:bCs/>
          <w:iCs/>
          <w:sz w:val="18"/>
          <w:szCs w:val="18"/>
        </w:rPr>
        <w:t>E</w:t>
      </w:r>
      <w:r w:rsidR="0068493C" w:rsidRPr="006070EA">
        <w:rPr>
          <w:rFonts w:asciiTheme="majorHAnsi" w:hAnsiTheme="majorHAnsi" w:cstheme="majorHAnsi"/>
          <w:b/>
          <w:bCs/>
          <w:iCs/>
          <w:sz w:val="18"/>
          <w:szCs w:val="18"/>
        </w:rPr>
        <w:t>.1.</w:t>
      </w:r>
      <w:r w:rsidR="0068493C" w:rsidRPr="006070EA">
        <w:rPr>
          <w:rFonts w:asciiTheme="majorHAnsi" w:hAnsiTheme="majorHAnsi" w:cstheme="majorHAnsi"/>
          <w:b/>
          <w:bCs/>
          <w:iCs/>
          <w:sz w:val="18"/>
          <w:szCs w:val="18"/>
        </w:rPr>
        <w:tab/>
        <w:t>Přírodní hodnoty kraje</w:t>
      </w:r>
    </w:p>
    <w:p w14:paraId="54D123E3" w14:textId="77777777" w:rsidR="0068493C" w:rsidRPr="006070EA" w:rsidRDefault="0068493C" w:rsidP="0068493C">
      <w:pPr>
        <w:autoSpaceDE w:val="0"/>
        <w:autoSpaceDN w:val="0"/>
        <w:adjustRightInd w:val="0"/>
        <w:spacing w:before="120" w:after="120" w:line="240" w:lineRule="auto"/>
        <w:jc w:val="both"/>
        <w:rPr>
          <w:rFonts w:asciiTheme="majorHAnsi" w:hAnsiTheme="majorHAnsi" w:cstheme="majorHAnsi"/>
          <w:bCs/>
          <w:iCs/>
          <w:sz w:val="18"/>
          <w:szCs w:val="18"/>
        </w:rPr>
      </w:pPr>
      <w:r w:rsidRPr="006070EA">
        <w:rPr>
          <w:rFonts w:asciiTheme="majorHAnsi" w:hAnsiTheme="majorHAnsi" w:cstheme="majorHAnsi"/>
          <w:bCs/>
          <w:iCs/>
          <w:sz w:val="18"/>
          <w:szCs w:val="18"/>
        </w:rPr>
        <w:t xml:space="preserve">V řešeném území se nacházejí přírodní hodnoty, pro které ze ZÚR SK vyplývají následující body koncepce. </w:t>
      </w:r>
    </w:p>
    <w:p w14:paraId="765A99B9" w14:textId="77777777" w:rsidR="0068493C" w:rsidRPr="006070EA" w:rsidRDefault="0068493C" w:rsidP="0068493C">
      <w:pPr>
        <w:keepNext/>
        <w:spacing w:before="120" w:after="60"/>
        <w:ind w:left="709" w:hanging="709"/>
        <w:jc w:val="both"/>
        <w:rPr>
          <w:rFonts w:asciiTheme="majorHAnsi" w:eastAsia="Calibri" w:hAnsiTheme="majorHAnsi" w:cstheme="majorHAnsi"/>
          <w:i/>
          <w:sz w:val="18"/>
          <w:szCs w:val="18"/>
        </w:rPr>
      </w:pPr>
      <w:r w:rsidRPr="006070EA">
        <w:rPr>
          <w:rFonts w:asciiTheme="majorHAnsi" w:eastAsia="Calibri" w:hAnsiTheme="majorHAnsi" w:cstheme="majorHAnsi"/>
          <w:iCs/>
          <w:sz w:val="18"/>
          <w:szCs w:val="18"/>
        </w:rPr>
        <w:t>(197)</w:t>
      </w:r>
      <w:r w:rsidRPr="006070EA">
        <w:rPr>
          <w:rFonts w:asciiTheme="majorHAnsi" w:eastAsia="Calibri" w:hAnsiTheme="majorHAnsi" w:cstheme="majorHAnsi"/>
          <w:i/>
          <w:sz w:val="18"/>
          <w:szCs w:val="18"/>
        </w:rPr>
        <w:t xml:space="preserve"> </w:t>
      </w:r>
      <w:r w:rsidRPr="006070EA">
        <w:rPr>
          <w:rFonts w:asciiTheme="majorHAnsi" w:eastAsia="Calibri" w:hAnsiTheme="majorHAnsi" w:cstheme="majorHAnsi"/>
          <w:i/>
          <w:sz w:val="18"/>
          <w:szCs w:val="18"/>
        </w:rPr>
        <w:tab/>
        <w:t>Přírodními hodnotami území kraje se rozumí:</w:t>
      </w:r>
    </w:p>
    <w:p w14:paraId="0CC83B62" w14:textId="77777777"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a) zvláště chráněná území ochrany přírody a krajiny:</w:t>
      </w:r>
    </w:p>
    <w:p w14:paraId="789AC4BD" w14:textId="77777777" w:rsidR="0068493C" w:rsidRPr="006070EA" w:rsidRDefault="0068493C" w:rsidP="00040B6A">
      <w:pPr>
        <w:spacing w:before="60" w:after="60"/>
        <w:ind w:left="851"/>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a.5) přírodní památky;</w:t>
      </w:r>
    </w:p>
    <w:p w14:paraId="647A71F5" w14:textId="77777777"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b) lokality soustavy NATURA 2000 – evropsky významné lokality (celkem 125 lokalit) a ptačí oblasti Českolipsko-Dokeské pískovce a mokřady, Křivoklátsko, Rožďalovické rybníky, Údolí Otavy a Vltavy, Žehuňský rybník – Obora Kněžičky;</w:t>
      </w:r>
    </w:p>
    <w:p w14:paraId="4872A20A" w14:textId="2F7AAC55"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d) plochy pro těžbu nerostných surovi</w:t>
      </w:r>
      <w:r w:rsidR="00225BD6">
        <w:rPr>
          <w:rFonts w:asciiTheme="majorHAnsi" w:hAnsiTheme="majorHAnsi" w:cstheme="majorHAnsi"/>
          <w:i/>
          <w:iCs/>
          <w:sz w:val="18"/>
          <w:szCs w:val="18"/>
          <w:lang w:eastAsia="cs-CZ"/>
        </w:rPr>
        <w:t>n</w:t>
      </w:r>
      <w:r w:rsidRPr="006070EA">
        <w:rPr>
          <w:rFonts w:asciiTheme="majorHAnsi" w:hAnsiTheme="majorHAnsi" w:cstheme="majorHAnsi"/>
          <w:i/>
          <w:iCs/>
          <w:sz w:val="18"/>
          <w:szCs w:val="18"/>
          <w:lang w:eastAsia="cs-CZ"/>
        </w:rPr>
        <w:t>, tedy:</w:t>
      </w:r>
    </w:p>
    <w:p w14:paraId="70BF31E5" w14:textId="77777777" w:rsidR="0068493C" w:rsidRPr="006070EA" w:rsidRDefault="0068493C" w:rsidP="00040B6A">
      <w:pPr>
        <w:spacing w:before="60" w:after="60"/>
        <w:ind w:left="851"/>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d.1) využívaná výhradní ložiska s dobývacími prostory;</w:t>
      </w:r>
    </w:p>
    <w:p w14:paraId="71EA1D58" w14:textId="77777777" w:rsidR="0068493C" w:rsidRPr="006070EA" w:rsidRDefault="0068493C" w:rsidP="00040B6A">
      <w:pPr>
        <w:spacing w:before="60" w:after="60"/>
        <w:ind w:left="851"/>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d. 2) nevyužívaná výhradní ložiska s dobývacími prostory, popř. dobýv. prostory s ukončenou těžbou;</w:t>
      </w:r>
    </w:p>
    <w:p w14:paraId="3D749C40" w14:textId="77777777" w:rsidR="0068493C" w:rsidRPr="006070EA" w:rsidRDefault="0068493C" w:rsidP="00040B6A">
      <w:pPr>
        <w:spacing w:before="60" w:after="60"/>
        <w:ind w:left="851"/>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d.3) nevyužívaná výhradní ložiska s chráněným ložiskovým územím;</w:t>
      </w:r>
    </w:p>
    <w:p w14:paraId="3D9B10A7" w14:textId="77777777" w:rsidR="0068493C" w:rsidRPr="006070EA" w:rsidRDefault="0068493C" w:rsidP="00040B6A">
      <w:pPr>
        <w:spacing w:before="60" w:after="60"/>
        <w:ind w:left="851"/>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d.4) nevyužívaná výhradní ložiska bez stanovené ochrany chráněného ložiskového území;</w:t>
      </w:r>
    </w:p>
    <w:p w14:paraId="00DAA280" w14:textId="77777777" w:rsidR="0068493C" w:rsidRPr="006070EA" w:rsidRDefault="0068493C" w:rsidP="00040B6A">
      <w:pPr>
        <w:spacing w:before="60" w:after="60"/>
        <w:ind w:left="851"/>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d.5) využívaná ložiska nevyhrazených nerostů, která jsou součástí pozemku, a u kterých byla povolena těžba na základě územ. rozhodnutí a příslušného obvodního báňského úřadu;</w:t>
      </w:r>
    </w:p>
    <w:p w14:paraId="5E98B515" w14:textId="77777777" w:rsidR="0068493C" w:rsidRPr="006070EA" w:rsidRDefault="0068493C" w:rsidP="00040B6A">
      <w:pPr>
        <w:spacing w:before="60" w:after="60"/>
        <w:ind w:left="851"/>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d.6) nevyužívaná ložiska nevyhrazených nerostů, která jsou součástí pozemku;</w:t>
      </w:r>
    </w:p>
    <w:p w14:paraId="2367C365" w14:textId="77777777" w:rsidR="0068493C" w:rsidRPr="006070EA" w:rsidRDefault="0068493C" w:rsidP="00040B6A">
      <w:pPr>
        <w:spacing w:before="60" w:after="60"/>
        <w:ind w:left="851"/>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d.7) registrované a evidované prognózní zdroje vyhrazených a nevyhrazených nerostů.</w:t>
      </w:r>
    </w:p>
    <w:p w14:paraId="5EBFB3AF" w14:textId="77777777"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e) vodohospodářsky významná území s velkými podzemními i povrchovými zdroji pitné vody;</w:t>
      </w:r>
    </w:p>
    <w:p w14:paraId="7B5D310A" w14:textId="77777777"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 xml:space="preserve">g) krajinářsky hodnotná </w:t>
      </w:r>
      <w:proofErr w:type="gramStart"/>
      <w:r w:rsidRPr="006070EA">
        <w:rPr>
          <w:rFonts w:asciiTheme="majorHAnsi" w:hAnsiTheme="majorHAnsi" w:cstheme="majorHAnsi"/>
          <w:i/>
          <w:iCs/>
          <w:sz w:val="18"/>
          <w:szCs w:val="18"/>
          <w:lang w:eastAsia="cs-CZ"/>
        </w:rPr>
        <w:t>území - krajinné</w:t>
      </w:r>
      <w:proofErr w:type="gramEnd"/>
      <w:r w:rsidRPr="006070EA">
        <w:rPr>
          <w:rFonts w:asciiTheme="majorHAnsi" w:hAnsiTheme="majorHAnsi" w:cstheme="majorHAnsi"/>
          <w:i/>
          <w:iCs/>
          <w:sz w:val="18"/>
          <w:szCs w:val="18"/>
          <w:lang w:eastAsia="cs-CZ"/>
        </w:rPr>
        <w:t xml:space="preserve"> památkové zóny Osovsko a Žehušicko; přírodní parky a území se zvýšenou hodnotou krajinného rázu;</w:t>
      </w:r>
    </w:p>
    <w:p w14:paraId="412F3F20" w14:textId="77777777"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h) významné krajinné prvky mimo území CHKO;</w:t>
      </w:r>
    </w:p>
    <w:p w14:paraId="4C957715" w14:textId="77777777"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i) skladebné části ÚSES.</w:t>
      </w:r>
    </w:p>
    <w:p w14:paraId="1D062CE9" w14:textId="77777777" w:rsidR="0068493C" w:rsidRPr="006070EA" w:rsidRDefault="0068493C" w:rsidP="00040B6A">
      <w:pPr>
        <w:keepNext/>
        <w:spacing w:before="60" w:after="60"/>
        <w:ind w:left="709" w:hanging="709"/>
        <w:jc w:val="both"/>
        <w:rPr>
          <w:rFonts w:asciiTheme="majorHAnsi" w:eastAsia="Calibri" w:hAnsiTheme="majorHAnsi" w:cstheme="majorHAnsi"/>
          <w:i/>
          <w:sz w:val="18"/>
          <w:szCs w:val="18"/>
        </w:rPr>
      </w:pPr>
      <w:r w:rsidRPr="006070EA">
        <w:rPr>
          <w:rFonts w:asciiTheme="majorHAnsi" w:eastAsia="Calibri" w:hAnsiTheme="majorHAnsi" w:cstheme="majorHAnsi"/>
          <w:iCs/>
          <w:sz w:val="18"/>
          <w:szCs w:val="18"/>
        </w:rPr>
        <w:t>(198)</w:t>
      </w:r>
      <w:r w:rsidRPr="006070EA">
        <w:rPr>
          <w:rFonts w:asciiTheme="majorHAnsi" w:eastAsia="Calibri" w:hAnsiTheme="majorHAnsi" w:cstheme="majorHAnsi"/>
          <w:i/>
          <w:sz w:val="18"/>
          <w:szCs w:val="18"/>
        </w:rPr>
        <w:t xml:space="preserve"> </w:t>
      </w:r>
      <w:r w:rsidRPr="006070EA">
        <w:rPr>
          <w:rFonts w:asciiTheme="majorHAnsi" w:eastAsia="Calibri" w:hAnsiTheme="majorHAnsi" w:cstheme="majorHAnsi"/>
          <w:i/>
          <w:sz w:val="18"/>
          <w:szCs w:val="18"/>
        </w:rPr>
        <w:tab/>
        <w:t>ZÚR stanovují tyto zásady pro zajištění ochrany území s přírodními hodnotami a možného rozvoje těchto území:</w:t>
      </w:r>
    </w:p>
    <w:p w14:paraId="10F596AD" w14:textId="77777777"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a) respektovat ochranu výše uvedených přírodních hodnot;</w:t>
      </w:r>
    </w:p>
    <w:p w14:paraId="38A22EE2" w14:textId="77777777"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 xml:space="preserve">b) chránit a podporovat plnění krajinných funkcí souvisejících s přírodními hodnotami (ochrana biodiverzity a pozitivních charakteristik krajinného rázu, ekostabilizační a retenční funkce, trvale udržitelné využívání vodních zdrojů, ochrana nerostného </w:t>
      </w:r>
      <w:proofErr w:type="gramStart"/>
      <w:r w:rsidRPr="006070EA">
        <w:rPr>
          <w:rFonts w:asciiTheme="majorHAnsi" w:hAnsiTheme="majorHAnsi" w:cstheme="majorHAnsi"/>
          <w:i/>
          <w:iCs/>
          <w:sz w:val="18"/>
          <w:szCs w:val="18"/>
          <w:lang w:eastAsia="cs-CZ"/>
        </w:rPr>
        <w:t>bohatství,</w:t>
      </w:r>
      <w:proofErr w:type="gramEnd"/>
      <w:r w:rsidRPr="006070EA">
        <w:rPr>
          <w:rFonts w:asciiTheme="majorHAnsi" w:hAnsiTheme="majorHAnsi" w:cstheme="majorHAnsi"/>
          <w:i/>
          <w:iCs/>
          <w:sz w:val="18"/>
          <w:szCs w:val="18"/>
          <w:lang w:eastAsia="cs-CZ"/>
        </w:rPr>
        <w:t xml:space="preserve"> apod.);</w:t>
      </w:r>
    </w:p>
    <w:p w14:paraId="40ED6B3E" w14:textId="3B4720CE" w:rsidR="0068493C" w:rsidRPr="006070EA" w:rsidRDefault="00225BD6"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c</w:t>
      </w:r>
      <w:r w:rsidR="0068493C" w:rsidRPr="006070EA">
        <w:rPr>
          <w:rFonts w:asciiTheme="majorHAnsi" w:hAnsiTheme="majorHAnsi" w:cstheme="majorHAnsi"/>
          <w:i/>
          <w:iCs/>
          <w:sz w:val="18"/>
          <w:szCs w:val="18"/>
          <w:lang w:eastAsia="cs-CZ"/>
        </w:rPr>
        <w:t>) při rozvoji sídel a návrhu nových dopravních staveb v krajinářsky hodnotných územích zabezpečit ochranu krajinného rázu;</w:t>
      </w:r>
    </w:p>
    <w:p w14:paraId="6F380CE0" w14:textId="633888E2" w:rsidR="0068493C" w:rsidRPr="006070EA" w:rsidRDefault="00225BD6"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d</w:t>
      </w:r>
      <w:r w:rsidR="0068493C" w:rsidRPr="006070EA">
        <w:rPr>
          <w:rFonts w:asciiTheme="majorHAnsi" w:hAnsiTheme="majorHAnsi" w:cstheme="majorHAnsi"/>
          <w:i/>
          <w:iCs/>
          <w:sz w:val="18"/>
          <w:szCs w:val="18"/>
          <w:lang w:eastAsia="cs-CZ"/>
        </w:rPr>
        <w:t>) výškové stavby (větrné elektrárny apod.) umisťovat v souladu s ochranou krajinného rázu. Při umisťování ostatních staveb a zařízení, které mohou díky svým plošným parametrům narušit pozitivní charakteristiky krajinného rázu5 tento vliv hodnotit studií krajinného rázu a negativní dopady eliminovat;</w:t>
      </w:r>
    </w:p>
    <w:p w14:paraId="5452E808" w14:textId="0782A231" w:rsidR="0068493C" w:rsidRPr="006070EA" w:rsidRDefault="00225BD6"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e</w:t>
      </w:r>
      <w:r w:rsidR="0068493C" w:rsidRPr="006070EA">
        <w:rPr>
          <w:rFonts w:asciiTheme="majorHAnsi" w:hAnsiTheme="majorHAnsi" w:cstheme="majorHAnsi"/>
          <w:i/>
          <w:iCs/>
          <w:sz w:val="18"/>
          <w:szCs w:val="18"/>
          <w:lang w:eastAsia="cs-CZ"/>
        </w:rPr>
        <w:t>) vedení nových dopravních staveb ve volné krajině navrhovat přednostně mimo zvláště chráněná území, lokality soustavy NATURA 2000, mokřadní ekosystémy a v případě střetu posoudit vliv navrhovaných staveb a přijmout náležitá kompenzační a eliminační opatření;</w:t>
      </w:r>
    </w:p>
    <w:p w14:paraId="096B9E0B" w14:textId="4DEDEDA4" w:rsidR="0068493C" w:rsidRPr="006070EA" w:rsidRDefault="00225BD6"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f</w:t>
      </w:r>
      <w:r w:rsidR="0068493C" w:rsidRPr="006070EA">
        <w:rPr>
          <w:rFonts w:asciiTheme="majorHAnsi" w:hAnsiTheme="majorHAnsi" w:cstheme="majorHAnsi"/>
          <w:i/>
          <w:iCs/>
          <w:sz w:val="18"/>
          <w:szCs w:val="18"/>
          <w:lang w:eastAsia="cs-CZ"/>
        </w:rPr>
        <w:t>) ve zvláště chráněných a krajinářsky hodnotných územích podporovat rozvoj šetrných forem turismu, zamezit plošné výstavbě rekreačních objektů mimo zastavěná území a navrhnout rekreační využití vesnických sídel. Podporovat ekologicky únosné využití vodních toků k rekreační a sportovní plavbě a zabezpečit související zázemí (veřejná tábořiště,</w:t>
      </w:r>
      <w:r>
        <w:rPr>
          <w:rFonts w:asciiTheme="majorHAnsi" w:hAnsiTheme="majorHAnsi" w:cstheme="majorHAnsi"/>
          <w:i/>
          <w:iCs/>
          <w:sz w:val="18"/>
          <w:szCs w:val="18"/>
          <w:lang w:eastAsia="cs-CZ"/>
        </w:rPr>
        <w:t xml:space="preserve"> </w:t>
      </w:r>
      <w:r w:rsidR="0068493C" w:rsidRPr="006070EA">
        <w:rPr>
          <w:rFonts w:asciiTheme="majorHAnsi" w:hAnsiTheme="majorHAnsi" w:cstheme="majorHAnsi"/>
          <w:i/>
          <w:iCs/>
          <w:sz w:val="18"/>
          <w:szCs w:val="18"/>
          <w:lang w:eastAsia="cs-CZ"/>
        </w:rPr>
        <w:t xml:space="preserve">parkoviště apod.) s ohledem na ochranu přírody, podporovat rozvoj </w:t>
      </w:r>
      <w:proofErr w:type="gramStart"/>
      <w:r w:rsidR="0068493C" w:rsidRPr="006070EA">
        <w:rPr>
          <w:rFonts w:asciiTheme="majorHAnsi" w:hAnsiTheme="majorHAnsi" w:cstheme="majorHAnsi"/>
          <w:i/>
          <w:iCs/>
          <w:sz w:val="18"/>
          <w:szCs w:val="18"/>
          <w:lang w:eastAsia="cs-CZ"/>
        </w:rPr>
        <w:t>eko- a</w:t>
      </w:r>
      <w:proofErr w:type="gramEnd"/>
      <w:r w:rsidR="0068493C" w:rsidRPr="006070EA">
        <w:rPr>
          <w:rFonts w:asciiTheme="majorHAnsi" w:hAnsiTheme="majorHAnsi" w:cstheme="majorHAnsi"/>
          <w:i/>
          <w:iCs/>
          <w:sz w:val="18"/>
          <w:szCs w:val="18"/>
          <w:lang w:eastAsia="cs-CZ"/>
        </w:rPr>
        <w:t xml:space="preserve"> agroturistiky;</w:t>
      </w:r>
    </w:p>
    <w:p w14:paraId="4AECDF6C" w14:textId="2FFF104E" w:rsidR="0068493C" w:rsidRPr="006070EA" w:rsidRDefault="00225BD6"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lastRenderedPageBreak/>
        <w:t>i</w:t>
      </w:r>
      <w:r w:rsidR="0068493C" w:rsidRPr="006070EA">
        <w:rPr>
          <w:rFonts w:asciiTheme="majorHAnsi" w:hAnsiTheme="majorHAnsi" w:cstheme="majorHAnsi"/>
          <w:i/>
          <w:iCs/>
          <w:sz w:val="18"/>
          <w:szCs w:val="18"/>
          <w:lang w:eastAsia="cs-CZ"/>
        </w:rPr>
        <w:t>) při vytváření lokální úrovně ÚSES respektovat ochranu a šetrné využití přírodních zdrojů;</w:t>
      </w:r>
    </w:p>
    <w:p w14:paraId="7C44174F" w14:textId="2B669EEA" w:rsidR="0068493C" w:rsidRPr="006070EA" w:rsidRDefault="00225BD6"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j</w:t>
      </w:r>
      <w:r w:rsidR="0068493C" w:rsidRPr="006070EA">
        <w:rPr>
          <w:rFonts w:asciiTheme="majorHAnsi" w:hAnsiTheme="majorHAnsi" w:cstheme="majorHAnsi"/>
          <w:i/>
          <w:iCs/>
          <w:sz w:val="18"/>
          <w:szCs w:val="18"/>
          <w:lang w:eastAsia="cs-CZ"/>
        </w:rPr>
        <w:t xml:space="preserve">) při řešení změn využití území a upřesňování tras liniových staveb minimalizovat vlivy na území přírodních hodnot. </w:t>
      </w:r>
    </w:p>
    <w:p w14:paraId="5B3F3EA3" w14:textId="4FC3266E" w:rsidR="0068493C" w:rsidRPr="006070EA" w:rsidRDefault="00225BD6"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k</w:t>
      </w:r>
      <w:r w:rsidR="0068493C" w:rsidRPr="006070EA">
        <w:rPr>
          <w:rFonts w:asciiTheme="majorHAnsi" w:hAnsiTheme="majorHAnsi" w:cstheme="majorHAnsi"/>
          <w:i/>
          <w:iCs/>
          <w:sz w:val="18"/>
          <w:szCs w:val="18"/>
          <w:lang w:eastAsia="cs-CZ"/>
        </w:rPr>
        <w:t>) řešit střety dopravní a technické infrastruktury s územním systémem ekologické stability;</w:t>
      </w:r>
    </w:p>
    <w:p w14:paraId="2452E6AE" w14:textId="5DA9B648" w:rsidR="0068493C" w:rsidRPr="006070EA" w:rsidRDefault="00225BD6"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l</w:t>
      </w:r>
      <w:r w:rsidR="0068493C" w:rsidRPr="006070EA">
        <w:rPr>
          <w:rFonts w:asciiTheme="majorHAnsi" w:hAnsiTheme="majorHAnsi" w:cstheme="majorHAnsi"/>
          <w:i/>
          <w:iCs/>
          <w:sz w:val="18"/>
          <w:szCs w:val="18"/>
          <w:lang w:eastAsia="cs-CZ"/>
        </w:rPr>
        <w:t>) chránit říční nivy; zabránit je třeba vodohospodářským úpravám regulujícím vodní toky, odvodňování a zastavování údolních niv a likvidaci přírodě blízkých společenstev (slepá ramena, mokřady, lužní lesy, břehové porosty, louky).</w:t>
      </w:r>
    </w:p>
    <w:p w14:paraId="1B687788" w14:textId="77777777" w:rsidR="0068493C" w:rsidRPr="006070EA" w:rsidRDefault="0068493C" w:rsidP="0068493C">
      <w:pPr>
        <w:pStyle w:val="Mra2-reakceern"/>
        <w:rPr>
          <w:rFonts w:asciiTheme="majorHAnsi" w:hAnsiTheme="majorHAnsi" w:cstheme="majorHAnsi"/>
          <w:color w:val="auto"/>
        </w:rPr>
      </w:pPr>
      <w:r w:rsidRPr="006070EA">
        <w:rPr>
          <w:rFonts w:asciiTheme="majorHAnsi" w:hAnsiTheme="majorHAnsi" w:cstheme="majorHAnsi"/>
          <w:color w:val="auto"/>
        </w:rPr>
        <w:t>Územní plán respektuje přírodní hodnoty území a v rámci koncepce rozvoje území včetně ochrany jeho hodnot stanovuje zásady pro jejich ochranu. V tomto smyslu je zvláštní důraz kladen na přírodní hodnoty evidované v území dle zvláštních právních předpisů (přírodní památka, EVL, VKP, památné stromy), volnou krajinu, ÚSES, krajinnou zeleň, vodní plochy a toky, PUPFL a ZPF. Při stanovování urbanistické koncepce, vymezování rozvojových ploch a koridorů byly zohledněny přírodní hodnoty v území ve snaze o vyloučení kolize a negativního ovlivnění těchto hodnot. Územní plán nevymezuje nové plochy pro těžbu nerostů, chrání krajinný ráz (například stanovením podmínek prostorového uspořádání včetně základních podmínek ochrany krajinného rázu) a zvláště chrání významné vodní osy v území, přičemž podél nich vymezuje území přednostně určené k ochraně vodních toků.</w:t>
      </w:r>
    </w:p>
    <w:p w14:paraId="11BE597A" w14:textId="146567A4" w:rsidR="0068493C" w:rsidRPr="006070EA" w:rsidRDefault="00225BD6" w:rsidP="0068493C">
      <w:pPr>
        <w:autoSpaceDE w:val="0"/>
        <w:autoSpaceDN w:val="0"/>
        <w:adjustRightInd w:val="0"/>
        <w:spacing w:before="120" w:after="120" w:line="240" w:lineRule="auto"/>
        <w:ind w:left="567" w:hanging="567"/>
        <w:jc w:val="both"/>
        <w:rPr>
          <w:rFonts w:asciiTheme="majorHAnsi" w:hAnsiTheme="majorHAnsi" w:cstheme="majorHAnsi"/>
          <w:b/>
          <w:bCs/>
          <w:iCs/>
          <w:sz w:val="18"/>
          <w:szCs w:val="18"/>
        </w:rPr>
      </w:pPr>
      <w:r>
        <w:rPr>
          <w:rFonts w:asciiTheme="majorHAnsi" w:hAnsiTheme="majorHAnsi" w:cstheme="majorHAnsi"/>
          <w:b/>
          <w:bCs/>
          <w:iCs/>
          <w:sz w:val="18"/>
          <w:szCs w:val="18"/>
        </w:rPr>
        <w:t>E</w:t>
      </w:r>
      <w:r w:rsidR="0068493C" w:rsidRPr="006070EA">
        <w:rPr>
          <w:rFonts w:asciiTheme="majorHAnsi" w:hAnsiTheme="majorHAnsi" w:cstheme="majorHAnsi"/>
          <w:b/>
          <w:bCs/>
          <w:iCs/>
          <w:sz w:val="18"/>
          <w:szCs w:val="18"/>
        </w:rPr>
        <w:t>.2.</w:t>
      </w:r>
      <w:r w:rsidR="0068493C" w:rsidRPr="006070EA">
        <w:rPr>
          <w:rFonts w:asciiTheme="majorHAnsi" w:hAnsiTheme="majorHAnsi" w:cstheme="majorHAnsi"/>
          <w:b/>
          <w:bCs/>
          <w:iCs/>
          <w:sz w:val="18"/>
          <w:szCs w:val="18"/>
        </w:rPr>
        <w:tab/>
        <w:t>Kulturní hodnoty území kraje</w:t>
      </w:r>
    </w:p>
    <w:p w14:paraId="4E7B5238" w14:textId="77777777" w:rsidR="0068493C" w:rsidRPr="006070EA" w:rsidRDefault="0068493C" w:rsidP="00040B6A">
      <w:pPr>
        <w:pStyle w:val="vrok"/>
        <w:numPr>
          <w:ilvl w:val="0"/>
          <w:numId w:val="0"/>
        </w:numPr>
        <w:ind w:firstLine="709"/>
        <w:rPr>
          <w:rFonts w:asciiTheme="majorHAnsi" w:hAnsiTheme="majorHAnsi" w:cstheme="majorHAnsi"/>
          <w:b/>
          <w:bCs/>
          <w:iCs/>
          <w:szCs w:val="18"/>
        </w:rPr>
      </w:pPr>
      <w:r w:rsidRPr="006070EA">
        <w:rPr>
          <w:rFonts w:asciiTheme="majorHAnsi" w:hAnsiTheme="majorHAnsi" w:cstheme="majorHAnsi"/>
          <w:szCs w:val="18"/>
        </w:rPr>
        <w:t>V řešeném území se nenacházejí kulturní hodnoty krajského významu definované v ZÚR SK. Z tohoto důvodu nevyplývají pro ÚP Kostomlaty nad Labem žádné požadavky definované v ZÚR SK.</w:t>
      </w:r>
    </w:p>
    <w:p w14:paraId="6C0E1152" w14:textId="395999EE" w:rsidR="0068493C" w:rsidRPr="006070EA" w:rsidRDefault="00225BD6" w:rsidP="00F90B15">
      <w:pPr>
        <w:keepNext/>
        <w:autoSpaceDE w:val="0"/>
        <w:autoSpaceDN w:val="0"/>
        <w:adjustRightInd w:val="0"/>
        <w:spacing w:before="120" w:after="120" w:line="240" w:lineRule="auto"/>
        <w:ind w:left="567" w:hanging="567"/>
        <w:jc w:val="both"/>
        <w:rPr>
          <w:rFonts w:asciiTheme="majorHAnsi" w:hAnsiTheme="majorHAnsi" w:cstheme="majorHAnsi"/>
          <w:b/>
          <w:bCs/>
          <w:iCs/>
          <w:sz w:val="18"/>
          <w:szCs w:val="18"/>
        </w:rPr>
      </w:pPr>
      <w:r>
        <w:rPr>
          <w:rFonts w:asciiTheme="majorHAnsi" w:hAnsiTheme="majorHAnsi" w:cstheme="majorHAnsi"/>
          <w:b/>
          <w:bCs/>
          <w:iCs/>
          <w:sz w:val="18"/>
          <w:szCs w:val="18"/>
        </w:rPr>
        <w:t>E</w:t>
      </w:r>
      <w:r w:rsidR="0068493C" w:rsidRPr="006070EA">
        <w:rPr>
          <w:rFonts w:asciiTheme="majorHAnsi" w:hAnsiTheme="majorHAnsi" w:cstheme="majorHAnsi"/>
          <w:b/>
          <w:bCs/>
          <w:iCs/>
          <w:sz w:val="18"/>
          <w:szCs w:val="18"/>
        </w:rPr>
        <w:t>.3.</w:t>
      </w:r>
      <w:r w:rsidR="0068493C" w:rsidRPr="006070EA">
        <w:rPr>
          <w:rFonts w:asciiTheme="majorHAnsi" w:hAnsiTheme="majorHAnsi" w:cstheme="majorHAnsi"/>
          <w:b/>
          <w:bCs/>
          <w:iCs/>
          <w:sz w:val="18"/>
          <w:szCs w:val="18"/>
        </w:rPr>
        <w:tab/>
        <w:t>Civilizační hodnoty území kraje</w:t>
      </w:r>
    </w:p>
    <w:p w14:paraId="72BB74F7" w14:textId="77777777" w:rsidR="0068493C" w:rsidRPr="006070EA" w:rsidRDefault="0068493C" w:rsidP="00040B6A">
      <w:pPr>
        <w:pStyle w:val="vrok"/>
        <w:numPr>
          <w:ilvl w:val="0"/>
          <w:numId w:val="0"/>
        </w:numPr>
        <w:ind w:firstLine="709"/>
        <w:rPr>
          <w:rFonts w:asciiTheme="majorHAnsi" w:hAnsiTheme="majorHAnsi" w:cstheme="majorHAnsi"/>
          <w:b/>
          <w:bCs/>
          <w:iCs/>
          <w:szCs w:val="18"/>
        </w:rPr>
      </w:pPr>
      <w:r w:rsidRPr="006070EA">
        <w:rPr>
          <w:rFonts w:asciiTheme="majorHAnsi" w:hAnsiTheme="majorHAnsi" w:cstheme="majorHAnsi"/>
          <w:szCs w:val="18"/>
        </w:rPr>
        <w:t>V řešeném území se nenacházejí kulturní hodnoty krajského významu definované v ZÚR SK. Z tohoto důvodu nevyplývají pro ÚP Kostomlaty nad Labem žádné požadavky definované v ZÚR SK.</w:t>
      </w:r>
    </w:p>
    <w:p w14:paraId="1C832371" w14:textId="77777777" w:rsidR="0068493C" w:rsidRPr="00225BD6" w:rsidRDefault="0068493C" w:rsidP="00225BD6">
      <w:pPr>
        <w:pStyle w:val="Odstavecseseznamem"/>
        <w:numPr>
          <w:ilvl w:val="0"/>
          <w:numId w:val="45"/>
        </w:numPr>
        <w:pBdr>
          <w:bottom w:val="single" w:sz="4" w:space="1" w:color="auto"/>
        </w:pBdr>
        <w:spacing w:before="120" w:after="0" w:line="240" w:lineRule="auto"/>
        <w:ind w:left="284" w:hanging="284"/>
        <w:jc w:val="both"/>
        <w:rPr>
          <w:rFonts w:asciiTheme="majorHAnsi" w:hAnsiTheme="majorHAnsi" w:cstheme="majorHAnsi"/>
          <w:b/>
          <w:sz w:val="18"/>
          <w:szCs w:val="18"/>
        </w:rPr>
      </w:pPr>
      <w:r w:rsidRPr="00225BD6">
        <w:rPr>
          <w:rFonts w:asciiTheme="majorHAnsi" w:hAnsiTheme="majorHAnsi" w:cstheme="majorHAnsi"/>
          <w:b/>
          <w:sz w:val="18"/>
          <w:szCs w:val="18"/>
        </w:rPr>
        <w:t>VYMEZENÍ CÍLOVÝCH CHARAKTERISTIK KRAJINY</w:t>
      </w:r>
    </w:p>
    <w:p w14:paraId="6DF35554" w14:textId="77777777" w:rsidR="0068493C" w:rsidRPr="006070EA" w:rsidRDefault="0068493C" w:rsidP="0068493C">
      <w:pPr>
        <w:pStyle w:val="vrok"/>
        <w:numPr>
          <w:ilvl w:val="0"/>
          <w:numId w:val="0"/>
        </w:numPr>
        <w:rPr>
          <w:rFonts w:asciiTheme="majorHAnsi" w:hAnsiTheme="majorHAnsi" w:cstheme="majorHAnsi"/>
          <w:bCs/>
          <w:iCs/>
          <w:szCs w:val="18"/>
        </w:rPr>
      </w:pPr>
      <w:r w:rsidRPr="006070EA">
        <w:rPr>
          <w:rFonts w:asciiTheme="majorHAnsi" w:hAnsiTheme="majorHAnsi" w:cstheme="majorHAnsi"/>
          <w:szCs w:val="18"/>
        </w:rPr>
        <w:t xml:space="preserve">Krajina řešeného území je dle ZÚR SK zařazena do krajinného typu </w:t>
      </w:r>
      <w:r w:rsidRPr="006070EA">
        <w:rPr>
          <w:rFonts w:asciiTheme="majorHAnsi" w:hAnsiTheme="majorHAnsi" w:cstheme="majorHAnsi"/>
          <w:b/>
          <w:bCs/>
          <w:szCs w:val="18"/>
        </w:rPr>
        <w:t>krajiny s komparativními předpoklady zemědělské produkce – krajina polní O04</w:t>
      </w:r>
      <w:r w:rsidRPr="006070EA">
        <w:rPr>
          <w:rFonts w:asciiTheme="majorHAnsi" w:hAnsiTheme="majorHAnsi" w:cstheme="majorHAnsi"/>
          <w:szCs w:val="18"/>
        </w:rPr>
        <w:t>.</w:t>
      </w:r>
    </w:p>
    <w:p w14:paraId="2B1D68F5" w14:textId="77777777" w:rsidR="0068493C" w:rsidRPr="006070EA" w:rsidRDefault="0068493C" w:rsidP="0068493C">
      <w:pPr>
        <w:autoSpaceDE w:val="0"/>
        <w:autoSpaceDN w:val="0"/>
        <w:adjustRightInd w:val="0"/>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Cs/>
          <w:sz w:val="18"/>
          <w:szCs w:val="18"/>
        </w:rPr>
        <w:t xml:space="preserve">(215) </w:t>
      </w:r>
      <w:r w:rsidRPr="006070EA">
        <w:rPr>
          <w:rFonts w:asciiTheme="majorHAnsi" w:hAnsiTheme="majorHAnsi" w:cstheme="majorHAnsi"/>
          <w:bCs/>
          <w:iCs/>
          <w:sz w:val="18"/>
          <w:szCs w:val="18"/>
        </w:rPr>
        <w:tab/>
      </w:r>
      <w:r w:rsidRPr="006070EA">
        <w:rPr>
          <w:rFonts w:asciiTheme="majorHAnsi" w:hAnsiTheme="majorHAnsi" w:cstheme="majorHAnsi"/>
          <w:bCs/>
          <w:i/>
          <w:sz w:val="18"/>
          <w:szCs w:val="18"/>
        </w:rPr>
        <w:t>ZÚR stanovují tyto zásady pro činnost v území a rozhodování o změnách v území:</w:t>
      </w:r>
    </w:p>
    <w:p w14:paraId="22505925" w14:textId="5EF122D1" w:rsidR="0068493C" w:rsidRPr="006070EA"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 xml:space="preserve">a) </w:t>
      </w:r>
      <w:r w:rsidR="00544F30" w:rsidRPr="00544F30">
        <w:rPr>
          <w:rFonts w:asciiTheme="majorHAnsi" w:hAnsiTheme="majorHAnsi" w:cstheme="majorHAnsi"/>
          <w:i/>
          <w:iCs/>
          <w:sz w:val="18"/>
          <w:szCs w:val="18"/>
          <w:lang w:eastAsia="cs-CZ"/>
        </w:rPr>
        <w:t>zachování komparativních výhod pro zemědělské hospodaření, zejména preferencí ochrany zemědělského půdního fondu a vytvářením podmínek pro realizaci protierozních opatření</w:t>
      </w:r>
      <w:r w:rsidRPr="006070EA">
        <w:rPr>
          <w:rFonts w:asciiTheme="majorHAnsi" w:hAnsiTheme="majorHAnsi" w:cstheme="majorHAnsi"/>
          <w:i/>
          <w:iCs/>
          <w:sz w:val="18"/>
          <w:szCs w:val="18"/>
          <w:lang w:eastAsia="cs-CZ"/>
        </w:rPr>
        <w:t>;</w:t>
      </w:r>
    </w:p>
    <w:p w14:paraId="396C9CA8" w14:textId="77777777" w:rsidR="00544F30" w:rsidRDefault="0068493C" w:rsidP="00040B6A">
      <w:pPr>
        <w:spacing w:before="60" w:after="60"/>
        <w:ind w:left="709"/>
        <w:jc w:val="both"/>
        <w:rPr>
          <w:rFonts w:asciiTheme="majorHAnsi" w:hAnsiTheme="majorHAnsi" w:cstheme="majorHAnsi"/>
          <w:i/>
          <w:iCs/>
          <w:sz w:val="18"/>
          <w:szCs w:val="18"/>
          <w:lang w:eastAsia="cs-CZ"/>
        </w:rPr>
      </w:pPr>
      <w:r w:rsidRPr="006070EA">
        <w:rPr>
          <w:rFonts w:asciiTheme="majorHAnsi" w:hAnsiTheme="majorHAnsi" w:cstheme="majorHAnsi"/>
          <w:i/>
          <w:iCs/>
          <w:sz w:val="18"/>
          <w:szCs w:val="18"/>
          <w:lang w:eastAsia="cs-CZ"/>
        </w:rPr>
        <w:t xml:space="preserve">b) </w:t>
      </w:r>
      <w:r w:rsidR="00544F30" w:rsidRPr="00544F30">
        <w:rPr>
          <w:rFonts w:asciiTheme="majorHAnsi" w:hAnsiTheme="majorHAnsi" w:cstheme="majorHAnsi"/>
          <w:i/>
          <w:iCs/>
          <w:sz w:val="18"/>
          <w:szCs w:val="18"/>
          <w:lang w:eastAsia="cs-CZ"/>
        </w:rPr>
        <w:t>vytvářet podmínky pro specifické zemědělské funkce</w:t>
      </w:r>
      <w:r w:rsidR="00544F30">
        <w:rPr>
          <w:rFonts w:asciiTheme="majorHAnsi" w:hAnsiTheme="majorHAnsi" w:cstheme="majorHAnsi"/>
          <w:i/>
          <w:iCs/>
          <w:sz w:val="18"/>
          <w:szCs w:val="18"/>
          <w:lang w:eastAsia="cs-CZ"/>
        </w:rPr>
        <w:t>;</w:t>
      </w:r>
    </w:p>
    <w:p w14:paraId="7F78A79F" w14:textId="3F59DD40" w:rsidR="0068493C" w:rsidRDefault="00544F30"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 xml:space="preserve">c) </w:t>
      </w:r>
      <w:r w:rsidRPr="00544F30">
        <w:rPr>
          <w:rFonts w:asciiTheme="majorHAnsi" w:hAnsiTheme="majorHAnsi" w:cstheme="majorHAnsi"/>
          <w:i/>
          <w:iCs/>
          <w:sz w:val="18"/>
          <w:szCs w:val="18"/>
          <w:lang w:eastAsia="cs-CZ"/>
        </w:rPr>
        <w:t>obnovit a funkčně posílit prvky nelesní rozptýlené zeleně jako struktur prostorového členění krajiny zejména s funkcí skladebné části ÚSES a protierozní ochrany</w:t>
      </w:r>
      <w:r>
        <w:rPr>
          <w:rFonts w:asciiTheme="majorHAnsi" w:hAnsiTheme="majorHAnsi" w:cstheme="majorHAnsi"/>
          <w:i/>
          <w:iCs/>
          <w:sz w:val="18"/>
          <w:szCs w:val="18"/>
          <w:lang w:eastAsia="cs-CZ"/>
        </w:rPr>
        <w:t>;</w:t>
      </w:r>
    </w:p>
    <w:p w14:paraId="3FC61540" w14:textId="36E0D48B" w:rsidR="00544F30" w:rsidRDefault="00544F30"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 xml:space="preserve">d) </w:t>
      </w:r>
      <w:r w:rsidRPr="00544F30">
        <w:rPr>
          <w:rFonts w:asciiTheme="majorHAnsi" w:hAnsiTheme="majorHAnsi" w:cstheme="majorHAnsi"/>
          <w:i/>
          <w:iCs/>
          <w:sz w:val="18"/>
          <w:szCs w:val="18"/>
          <w:lang w:eastAsia="cs-CZ"/>
        </w:rPr>
        <w:t>posilovat vizuální a funkční význam vodních toků společně s ochranou nebo obnovou přirozených odtokových poměrů v údolních nivách</w:t>
      </w:r>
      <w:r>
        <w:rPr>
          <w:rFonts w:asciiTheme="majorHAnsi" w:hAnsiTheme="majorHAnsi" w:cstheme="majorHAnsi"/>
          <w:i/>
          <w:iCs/>
          <w:sz w:val="18"/>
          <w:szCs w:val="18"/>
          <w:lang w:eastAsia="cs-CZ"/>
        </w:rPr>
        <w:t>;</w:t>
      </w:r>
    </w:p>
    <w:p w14:paraId="34290AF1" w14:textId="6A7F92C4" w:rsidR="00544F30" w:rsidRDefault="00544F30"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 xml:space="preserve">g) </w:t>
      </w:r>
      <w:r w:rsidRPr="00544F30">
        <w:rPr>
          <w:rFonts w:asciiTheme="majorHAnsi" w:hAnsiTheme="majorHAnsi" w:cstheme="majorHAnsi"/>
          <w:i/>
          <w:iCs/>
          <w:sz w:val="18"/>
          <w:szCs w:val="18"/>
          <w:lang w:eastAsia="cs-CZ"/>
        </w:rPr>
        <w:t>vytvářet podmínky pro zvýšení prostupnosti území pro pěší a nemotorovou dopravu</w:t>
      </w:r>
      <w:r>
        <w:rPr>
          <w:rFonts w:asciiTheme="majorHAnsi" w:hAnsiTheme="majorHAnsi" w:cstheme="majorHAnsi"/>
          <w:i/>
          <w:iCs/>
          <w:sz w:val="18"/>
          <w:szCs w:val="18"/>
          <w:lang w:eastAsia="cs-CZ"/>
        </w:rPr>
        <w:t>;</w:t>
      </w:r>
    </w:p>
    <w:p w14:paraId="7DD3B4DB" w14:textId="4B96A799" w:rsidR="00544F30" w:rsidRPr="006070EA" w:rsidRDefault="00544F30" w:rsidP="00040B6A">
      <w:pPr>
        <w:spacing w:before="60" w:after="60"/>
        <w:ind w:left="709"/>
        <w:jc w:val="both"/>
        <w:rPr>
          <w:rFonts w:asciiTheme="majorHAnsi" w:hAnsiTheme="majorHAnsi" w:cstheme="majorHAnsi"/>
          <w:i/>
          <w:iCs/>
          <w:sz w:val="18"/>
          <w:szCs w:val="18"/>
          <w:lang w:eastAsia="cs-CZ"/>
        </w:rPr>
      </w:pPr>
      <w:r>
        <w:rPr>
          <w:rFonts w:asciiTheme="majorHAnsi" w:hAnsiTheme="majorHAnsi" w:cstheme="majorHAnsi"/>
          <w:i/>
          <w:iCs/>
          <w:sz w:val="18"/>
          <w:szCs w:val="18"/>
          <w:lang w:eastAsia="cs-CZ"/>
        </w:rPr>
        <w:t xml:space="preserve">h) </w:t>
      </w:r>
      <w:r w:rsidRPr="00544F30">
        <w:rPr>
          <w:rFonts w:asciiTheme="majorHAnsi" w:hAnsiTheme="majorHAnsi" w:cstheme="majorHAnsi"/>
          <w:i/>
          <w:iCs/>
          <w:sz w:val="18"/>
          <w:szCs w:val="18"/>
          <w:lang w:eastAsia="cs-CZ"/>
        </w:rPr>
        <w:t>vytvářet územní podmínky pro ochranu a pro prostorové a funkční posilování prvků lesní a nelesní krajinné zeleně</w:t>
      </w:r>
      <w:r>
        <w:rPr>
          <w:rFonts w:asciiTheme="majorHAnsi" w:hAnsiTheme="majorHAnsi" w:cstheme="majorHAnsi"/>
          <w:i/>
          <w:iCs/>
          <w:sz w:val="18"/>
          <w:szCs w:val="18"/>
          <w:lang w:eastAsia="cs-CZ"/>
        </w:rPr>
        <w:t>.</w:t>
      </w:r>
    </w:p>
    <w:p w14:paraId="52C36E08" w14:textId="77777777" w:rsidR="0068493C" w:rsidRPr="006070EA" w:rsidRDefault="0068493C" w:rsidP="0068493C">
      <w:pPr>
        <w:pStyle w:val="Mra2-reakceern"/>
        <w:rPr>
          <w:rFonts w:asciiTheme="majorHAnsi" w:hAnsiTheme="majorHAnsi" w:cstheme="majorHAnsi"/>
          <w:color w:val="auto"/>
        </w:rPr>
      </w:pPr>
      <w:bookmarkStart w:id="70" w:name="_Hlk71566678"/>
      <w:r w:rsidRPr="006070EA">
        <w:rPr>
          <w:rFonts w:asciiTheme="majorHAnsi" w:hAnsiTheme="majorHAnsi" w:cstheme="majorHAnsi"/>
          <w:color w:val="auto"/>
        </w:rPr>
        <w:t>Územní plán respektuje kategorizaci řešeného území dle cílových charakteristik krajiny. Zemědělská funkce území zůstává zachována, vzhledem k přirozeně vhodným podmínkám pro zemědělskou činnost. V rámci dílčích koncepcí jsou chráněny a dále rozvíjeny hodnotné charakteristické rysy krajinného rázu. V rámci stanovených podmínek využití jednotlivých ploch s rozdílným způsobem využití, na něž je řešené území územním plánem bezvýhradně členěno, jsou stanoveny podmínky prostorového uspořádání, obsahující současně základní podmínky ochrany krajinného rázu – výškovou regulaci zástavby (stanovení maximální výšky zástavby), charakter a strukturu zástavby, stanovení rozmezí výměry pro vymezování stavebních pozemků a intenzity jejich využití (stanovení koeficientu maximálního zastavění pozemku, stanovení koeficientu minimálního podílu zeleně na pozemku, stanovení velikosti maximální velikosti zastavěné plochy objektu).</w:t>
      </w:r>
    </w:p>
    <w:bookmarkEnd w:id="70"/>
    <w:p w14:paraId="2E60F8B5" w14:textId="0E93CDCE" w:rsidR="0068493C" w:rsidRDefault="0068493C" w:rsidP="0068493C">
      <w:pPr>
        <w:pStyle w:val="Mra2-reakceern"/>
        <w:ind w:firstLine="709"/>
        <w:rPr>
          <w:rFonts w:asciiTheme="majorHAnsi" w:hAnsiTheme="majorHAnsi" w:cstheme="majorHAnsi"/>
          <w:color w:val="auto"/>
        </w:rPr>
      </w:pPr>
      <w:r w:rsidRPr="006070EA">
        <w:rPr>
          <w:rFonts w:asciiTheme="majorHAnsi" w:hAnsiTheme="majorHAnsi" w:cstheme="majorHAnsi"/>
          <w:color w:val="auto"/>
        </w:rPr>
        <w:t>Územní plán stabilizuje zemědělskou výrobu v rámci ploch VZ jako nedílnou součást hospodaření v oblasti. Územním plánem jsou zachovány podmínky pro intenzivní zemědělskou činnost – zejména plochami zemědělskými (</w:t>
      </w:r>
      <w:r w:rsidR="00E6279E" w:rsidRPr="006070EA">
        <w:rPr>
          <w:rFonts w:asciiTheme="majorHAnsi" w:hAnsiTheme="majorHAnsi" w:cstheme="majorHAnsi"/>
          <w:color w:val="auto"/>
        </w:rPr>
        <w:t>AU</w:t>
      </w:r>
      <w:r w:rsidRPr="006070EA">
        <w:rPr>
          <w:rFonts w:asciiTheme="majorHAnsi" w:hAnsiTheme="majorHAnsi" w:cstheme="majorHAnsi"/>
          <w:color w:val="auto"/>
        </w:rPr>
        <w:t>), které představují dominantní krajinnou matrici území. Současně jsou územním plánem stanovena opatření pro zvýšení ekologické stability území</w:t>
      </w:r>
      <w:r w:rsidR="00040B6A" w:rsidRPr="006070EA">
        <w:rPr>
          <w:rFonts w:asciiTheme="majorHAnsi" w:hAnsiTheme="majorHAnsi" w:cstheme="majorHAnsi"/>
          <w:color w:val="auto"/>
        </w:rPr>
        <w:t>,</w:t>
      </w:r>
      <w:r w:rsidRPr="006070EA">
        <w:rPr>
          <w:rFonts w:asciiTheme="majorHAnsi" w:hAnsiTheme="majorHAnsi" w:cstheme="majorHAnsi"/>
          <w:color w:val="auto"/>
        </w:rPr>
        <w:t xml:space="preserve"> a tedy zachování výjimečných podmínek pro zemědělskou prvovýrobu.</w:t>
      </w:r>
    </w:p>
    <w:p w14:paraId="710C987C" w14:textId="224BBF83" w:rsidR="00544F30" w:rsidRDefault="00544F30" w:rsidP="0068493C">
      <w:pPr>
        <w:pStyle w:val="Mra2-reakceern"/>
        <w:ind w:firstLine="709"/>
        <w:rPr>
          <w:rFonts w:asciiTheme="majorHAnsi" w:hAnsiTheme="majorHAnsi" w:cstheme="majorHAnsi"/>
          <w:color w:val="auto"/>
        </w:rPr>
      </w:pPr>
      <w:r>
        <w:rPr>
          <w:rFonts w:asciiTheme="majorHAnsi" w:hAnsiTheme="majorHAnsi" w:cstheme="majorHAnsi"/>
          <w:color w:val="auto"/>
        </w:rPr>
        <w:t>Obnova a funkční posílení prvků nelesní rozptýlené zeleně je zajištěna mimo vymezení souvislého a provázaného územního systému ekologické stability také stabilizací ekologicky stabilnějších fragmentů krajiny v rámci specifických ploch s rozdílným způsobem využití, zajišťující jejich ochranu a doplnění. Tímto jsou současně vytvořeny podmínky pro posílení prvků lesní a nelesní krajinné zeleně.</w:t>
      </w:r>
    </w:p>
    <w:p w14:paraId="72A3A023" w14:textId="455094E2" w:rsidR="00544F30" w:rsidRDefault="00544F30" w:rsidP="0068493C">
      <w:pPr>
        <w:pStyle w:val="Mra2-reakceern"/>
        <w:ind w:firstLine="709"/>
        <w:rPr>
          <w:rFonts w:asciiTheme="majorHAnsi" w:hAnsiTheme="majorHAnsi" w:cstheme="majorHAnsi"/>
          <w:color w:val="auto"/>
        </w:rPr>
      </w:pPr>
      <w:r>
        <w:rPr>
          <w:rFonts w:asciiTheme="majorHAnsi" w:hAnsiTheme="majorHAnsi" w:cstheme="majorHAnsi"/>
          <w:color w:val="auto"/>
        </w:rPr>
        <w:t>Funkční a vizuální význam vodních toků a ochrana či obnova přirozených odtokových poměrů je zajištěna v obecné rovině koncepčními zásadami a konkrétním způsobem následně například vymezením veřejně prospěšného opatření VU.5 vytvářejícího podmínky pro revitalizaci a renaturaci Hronětického náhonu jakožto jednoho z významnějších vodních toků v území.</w:t>
      </w:r>
    </w:p>
    <w:p w14:paraId="417F4B57" w14:textId="09A48903" w:rsidR="00544F30" w:rsidRPr="006070EA" w:rsidRDefault="00544F30" w:rsidP="0068493C">
      <w:pPr>
        <w:pStyle w:val="Mra2-reakceern"/>
        <w:ind w:firstLine="709"/>
        <w:rPr>
          <w:rFonts w:asciiTheme="majorHAnsi" w:hAnsiTheme="majorHAnsi" w:cstheme="majorHAnsi"/>
          <w:color w:val="auto"/>
        </w:rPr>
      </w:pPr>
      <w:r>
        <w:rPr>
          <w:rFonts w:asciiTheme="majorHAnsi" w:hAnsiTheme="majorHAnsi" w:cstheme="majorHAnsi"/>
          <w:color w:val="auto"/>
        </w:rPr>
        <w:t xml:space="preserve">Podmínky pro zvýšení prostupnosti území pro pěší a nemotorovou dopravu jsou vytvořeny vyjma stabilizace významných komunikací v plochách PU dále také například vymezení koncepčních směrů prostupnosti. </w:t>
      </w:r>
    </w:p>
    <w:p w14:paraId="5931FC63" w14:textId="75CA0180" w:rsidR="0068493C" w:rsidRPr="00544F30" w:rsidRDefault="0068493C" w:rsidP="00544F30">
      <w:pPr>
        <w:pStyle w:val="Odstavecseseznamem"/>
        <w:numPr>
          <w:ilvl w:val="0"/>
          <w:numId w:val="45"/>
        </w:numPr>
        <w:pBdr>
          <w:bottom w:val="single" w:sz="4" w:space="1" w:color="auto"/>
        </w:pBdr>
        <w:spacing w:before="120" w:after="0" w:line="240" w:lineRule="auto"/>
        <w:ind w:left="284" w:hanging="284"/>
        <w:jc w:val="both"/>
        <w:rPr>
          <w:rFonts w:asciiTheme="majorHAnsi" w:hAnsiTheme="majorHAnsi" w:cstheme="majorHAnsi"/>
          <w:b/>
          <w:sz w:val="18"/>
          <w:szCs w:val="18"/>
        </w:rPr>
      </w:pPr>
      <w:r w:rsidRPr="00544F30">
        <w:rPr>
          <w:rFonts w:asciiTheme="majorHAnsi" w:hAnsiTheme="majorHAnsi" w:cstheme="majorHAnsi"/>
          <w:b/>
          <w:sz w:val="18"/>
          <w:szCs w:val="18"/>
        </w:rPr>
        <w:lastRenderedPageBreak/>
        <w:t>VYMEZENÍ VEŘEJNĚ PROSPĚŠNÝCH STAVEB A OPATŘENÍ, STAVEB A OPATŘENÍ K ZAJIŠŤOVÁNÍ OBRANY A</w:t>
      </w:r>
      <w:r w:rsidR="00040B6A" w:rsidRPr="00544F30">
        <w:rPr>
          <w:rFonts w:asciiTheme="majorHAnsi" w:hAnsiTheme="majorHAnsi" w:cstheme="majorHAnsi"/>
          <w:b/>
          <w:sz w:val="18"/>
          <w:szCs w:val="18"/>
        </w:rPr>
        <w:t> </w:t>
      </w:r>
      <w:r w:rsidRPr="00544F30">
        <w:rPr>
          <w:rFonts w:asciiTheme="majorHAnsi" w:hAnsiTheme="majorHAnsi" w:cstheme="majorHAnsi"/>
          <w:b/>
          <w:sz w:val="18"/>
          <w:szCs w:val="18"/>
        </w:rPr>
        <w:t>BEZPEČNOSTI STÁTU A ASANAČNÍCH ÚZEMÍ NADMÍSTNÍHO VÝZNAMU, PRO KTERÉ LZE PRÁVA K POZEMKŮM A</w:t>
      </w:r>
      <w:r w:rsidR="00040B6A" w:rsidRPr="00544F30">
        <w:rPr>
          <w:rFonts w:asciiTheme="majorHAnsi" w:hAnsiTheme="majorHAnsi" w:cstheme="majorHAnsi"/>
          <w:b/>
          <w:sz w:val="18"/>
          <w:szCs w:val="18"/>
        </w:rPr>
        <w:t> </w:t>
      </w:r>
      <w:r w:rsidRPr="00544F30">
        <w:rPr>
          <w:rFonts w:asciiTheme="majorHAnsi" w:hAnsiTheme="majorHAnsi" w:cstheme="majorHAnsi"/>
          <w:b/>
          <w:sz w:val="18"/>
          <w:szCs w:val="18"/>
        </w:rPr>
        <w:t>STAVBÁM VYVLASTNIT</w:t>
      </w:r>
    </w:p>
    <w:p w14:paraId="0D83E45B" w14:textId="5476E504" w:rsidR="00544F30" w:rsidRPr="009402D8" w:rsidRDefault="00544F30" w:rsidP="00544F30">
      <w:pPr>
        <w:autoSpaceDE w:val="0"/>
        <w:autoSpaceDN w:val="0"/>
        <w:adjustRightInd w:val="0"/>
        <w:spacing w:before="120" w:after="120" w:line="240" w:lineRule="auto"/>
        <w:ind w:left="567" w:hanging="567"/>
        <w:jc w:val="both"/>
        <w:rPr>
          <w:rFonts w:asciiTheme="majorHAnsi" w:hAnsiTheme="majorHAnsi" w:cstheme="majorHAnsi"/>
          <w:bCs/>
          <w:i/>
          <w:sz w:val="18"/>
          <w:szCs w:val="18"/>
        </w:rPr>
      </w:pPr>
      <w:r w:rsidRPr="009402D8">
        <w:rPr>
          <w:rFonts w:asciiTheme="majorHAnsi" w:hAnsiTheme="majorHAnsi" w:cstheme="majorHAnsi"/>
          <w:bCs/>
          <w:iCs/>
          <w:sz w:val="18"/>
          <w:szCs w:val="18"/>
        </w:rPr>
        <w:t xml:space="preserve">(230) </w:t>
      </w:r>
      <w:r w:rsidRPr="009402D8">
        <w:rPr>
          <w:rFonts w:asciiTheme="majorHAnsi" w:hAnsiTheme="majorHAnsi" w:cstheme="majorHAnsi"/>
          <w:bCs/>
          <w:iCs/>
          <w:sz w:val="18"/>
          <w:szCs w:val="18"/>
        </w:rPr>
        <w:tab/>
      </w:r>
      <w:r w:rsidRPr="009402D8">
        <w:rPr>
          <w:rFonts w:asciiTheme="majorHAnsi" w:hAnsiTheme="majorHAnsi" w:cstheme="majorHAnsi"/>
          <w:bCs/>
          <w:i/>
          <w:sz w:val="18"/>
          <w:szCs w:val="18"/>
        </w:rPr>
        <w:t>ZÚR vymezují tyto koridory pro umístění veřejně prospěšných staveb dopravní infrastruktury:</w:t>
      </w:r>
    </w:p>
    <w:tbl>
      <w:tblPr>
        <w:tblW w:w="5000" w:type="pct"/>
        <w:tblBorders>
          <w:insideH w:val="single" w:sz="6" w:space="0" w:color="000000"/>
          <w:insideV w:val="single" w:sz="6" w:space="0" w:color="000000"/>
        </w:tblBorders>
        <w:tblLook w:val="04A0" w:firstRow="1" w:lastRow="0" w:firstColumn="1" w:lastColumn="0" w:noHBand="0" w:noVBand="1"/>
      </w:tblPr>
      <w:tblGrid>
        <w:gridCol w:w="958"/>
        <w:gridCol w:w="2944"/>
        <w:gridCol w:w="934"/>
        <w:gridCol w:w="1979"/>
        <w:gridCol w:w="2255"/>
      </w:tblGrid>
      <w:tr w:rsidR="00544F30" w:rsidRPr="009402D8" w14:paraId="3D69DF91" w14:textId="77777777" w:rsidTr="00544F30">
        <w:tc>
          <w:tcPr>
            <w:tcW w:w="528" w:type="pct"/>
            <w:vAlign w:val="center"/>
          </w:tcPr>
          <w:p w14:paraId="17DC2A50" w14:textId="601332F4" w:rsidR="00544F30" w:rsidRPr="009402D8" w:rsidRDefault="00544F30" w:rsidP="00B34F0B">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číslo VPS</w:t>
            </w:r>
          </w:p>
        </w:tc>
        <w:tc>
          <w:tcPr>
            <w:tcW w:w="1623" w:type="pct"/>
            <w:vAlign w:val="center"/>
          </w:tcPr>
          <w:p w14:paraId="3B7CD9C5" w14:textId="5C2CEFDC" w:rsidR="00544F30" w:rsidRPr="009402D8" w:rsidRDefault="00544F30" w:rsidP="00B34F0B">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popis VPS</w:t>
            </w:r>
          </w:p>
        </w:tc>
        <w:tc>
          <w:tcPr>
            <w:tcW w:w="515" w:type="pct"/>
            <w:vAlign w:val="center"/>
          </w:tcPr>
          <w:p w14:paraId="3FBB27D1" w14:textId="77777777" w:rsidR="00544F30" w:rsidRPr="009402D8" w:rsidRDefault="00544F30" w:rsidP="00B34F0B">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ORP</w:t>
            </w:r>
          </w:p>
        </w:tc>
        <w:tc>
          <w:tcPr>
            <w:tcW w:w="1091" w:type="pct"/>
            <w:vAlign w:val="center"/>
          </w:tcPr>
          <w:p w14:paraId="09F3612F" w14:textId="77777777" w:rsidR="00544F30" w:rsidRPr="009402D8" w:rsidRDefault="00544F30" w:rsidP="00B34F0B">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dotčená obec</w:t>
            </w:r>
          </w:p>
        </w:tc>
        <w:tc>
          <w:tcPr>
            <w:tcW w:w="1243" w:type="pct"/>
            <w:vAlign w:val="center"/>
          </w:tcPr>
          <w:p w14:paraId="58E3FCE6" w14:textId="77777777" w:rsidR="00544F30" w:rsidRPr="009402D8" w:rsidRDefault="00544F30" w:rsidP="00B34F0B">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dotčené katastrální území</w:t>
            </w:r>
          </w:p>
        </w:tc>
      </w:tr>
      <w:tr w:rsidR="00544F30" w:rsidRPr="009402D8" w14:paraId="6F3AF854" w14:textId="77777777" w:rsidTr="00544F30">
        <w:tc>
          <w:tcPr>
            <w:tcW w:w="528" w:type="pct"/>
            <w:vAlign w:val="center"/>
          </w:tcPr>
          <w:p w14:paraId="21B2999D" w14:textId="425FC682" w:rsidR="00544F30" w:rsidRPr="009402D8" w:rsidRDefault="00544F30" w:rsidP="00B34F0B">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D322</w:t>
            </w:r>
          </w:p>
        </w:tc>
        <w:tc>
          <w:tcPr>
            <w:tcW w:w="1623" w:type="pct"/>
            <w:vAlign w:val="center"/>
          </w:tcPr>
          <w:p w14:paraId="54198C74" w14:textId="4B5044E1" w:rsidR="00544F30" w:rsidRPr="009402D8" w:rsidRDefault="00544F30" w:rsidP="00B34F0B">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Koridor železniční tratě č. 231, 082: Kolín – Liběchov (- Děčín), včetně Libické spojky, modernizace</w:t>
            </w:r>
          </w:p>
        </w:tc>
        <w:tc>
          <w:tcPr>
            <w:tcW w:w="515" w:type="pct"/>
            <w:vAlign w:val="center"/>
          </w:tcPr>
          <w:p w14:paraId="732E16DA" w14:textId="77777777" w:rsidR="00544F30" w:rsidRPr="009402D8" w:rsidRDefault="00544F30" w:rsidP="00B34F0B">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Nymburk</w:t>
            </w:r>
          </w:p>
        </w:tc>
        <w:tc>
          <w:tcPr>
            <w:tcW w:w="1091" w:type="pct"/>
            <w:vAlign w:val="center"/>
          </w:tcPr>
          <w:p w14:paraId="4A2FABCC" w14:textId="77777777" w:rsidR="00544F30" w:rsidRPr="009402D8" w:rsidRDefault="00544F30" w:rsidP="00B34F0B">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c>
          <w:tcPr>
            <w:tcW w:w="1243" w:type="pct"/>
            <w:vAlign w:val="center"/>
          </w:tcPr>
          <w:p w14:paraId="21DE7BAA" w14:textId="1B8FAED1" w:rsidR="00544F30" w:rsidRPr="009402D8" w:rsidRDefault="00544F30" w:rsidP="00B34F0B">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 Lány u Kostomlat nad Labem</w:t>
            </w:r>
          </w:p>
        </w:tc>
      </w:tr>
      <w:tr w:rsidR="00544F30" w:rsidRPr="009402D8" w14:paraId="6F6BDEAF" w14:textId="77777777" w:rsidTr="00544F30">
        <w:tc>
          <w:tcPr>
            <w:tcW w:w="528" w:type="pct"/>
            <w:vAlign w:val="center"/>
          </w:tcPr>
          <w:p w14:paraId="101F244F" w14:textId="1AA532A3" w:rsidR="00544F30" w:rsidRPr="009402D8" w:rsidRDefault="00544F30" w:rsidP="00544F30">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VD1</w:t>
            </w:r>
          </w:p>
        </w:tc>
        <w:tc>
          <w:tcPr>
            <w:tcW w:w="1623" w:type="pct"/>
            <w:vAlign w:val="center"/>
          </w:tcPr>
          <w:p w14:paraId="15C0B0E9" w14:textId="3DD06E1B" w:rsidR="00544F30" w:rsidRPr="009402D8" w:rsidRDefault="00544F30" w:rsidP="00544F30">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Koridor vodní cesty Labe, Horní Počáply – Týnec nad Labem</w:t>
            </w:r>
          </w:p>
        </w:tc>
        <w:tc>
          <w:tcPr>
            <w:tcW w:w="515" w:type="pct"/>
            <w:vAlign w:val="center"/>
          </w:tcPr>
          <w:p w14:paraId="1C4F95B1" w14:textId="03C02633" w:rsidR="00544F30" w:rsidRPr="009402D8" w:rsidRDefault="00544F30" w:rsidP="00544F30">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Nymburk</w:t>
            </w:r>
          </w:p>
        </w:tc>
        <w:tc>
          <w:tcPr>
            <w:tcW w:w="1091" w:type="pct"/>
            <w:vAlign w:val="center"/>
          </w:tcPr>
          <w:p w14:paraId="342E5FDF" w14:textId="5433B066" w:rsidR="00544F30" w:rsidRPr="009402D8" w:rsidRDefault="00544F30" w:rsidP="00544F30">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c>
          <w:tcPr>
            <w:tcW w:w="1243" w:type="pct"/>
            <w:vAlign w:val="center"/>
          </w:tcPr>
          <w:p w14:paraId="7220CD2B" w14:textId="2A404E6E" w:rsidR="00544F30" w:rsidRPr="009402D8" w:rsidRDefault="00544F30" w:rsidP="00544F30">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r>
    </w:tbl>
    <w:p w14:paraId="1580E953" w14:textId="0FD8B248" w:rsidR="00544F30" w:rsidRPr="009402D8" w:rsidRDefault="00544F30" w:rsidP="000172E3">
      <w:pPr>
        <w:pStyle w:val="Mra2-reakceern"/>
        <w:spacing w:before="120"/>
        <w:rPr>
          <w:rFonts w:asciiTheme="majorHAnsi" w:hAnsiTheme="majorHAnsi" w:cstheme="majorHAnsi"/>
          <w:bCs w:val="0"/>
          <w:iCs w:val="0"/>
        </w:rPr>
      </w:pPr>
      <w:r w:rsidRPr="009402D8">
        <w:rPr>
          <w:rFonts w:asciiTheme="majorHAnsi" w:hAnsiTheme="majorHAnsi" w:cstheme="majorHAnsi"/>
          <w:color w:val="auto"/>
        </w:rPr>
        <w:t xml:space="preserve">Územní plán vymezuje veřejně prospěšné </w:t>
      </w:r>
      <w:r w:rsidR="000172E3" w:rsidRPr="009402D8">
        <w:rPr>
          <w:rFonts w:asciiTheme="majorHAnsi" w:hAnsiTheme="majorHAnsi" w:cstheme="majorHAnsi"/>
          <w:color w:val="auto"/>
        </w:rPr>
        <w:t>stavby</w:t>
      </w:r>
      <w:r w:rsidRPr="009402D8">
        <w:rPr>
          <w:rFonts w:asciiTheme="majorHAnsi" w:hAnsiTheme="majorHAnsi" w:cstheme="majorHAnsi"/>
          <w:color w:val="auto"/>
        </w:rPr>
        <w:t xml:space="preserve"> s možností vyvlastnění pro </w:t>
      </w:r>
      <w:r w:rsidR="000172E3" w:rsidRPr="009402D8">
        <w:rPr>
          <w:rFonts w:asciiTheme="majorHAnsi" w:hAnsiTheme="majorHAnsi" w:cstheme="majorHAnsi"/>
          <w:color w:val="auto"/>
        </w:rPr>
        <w:t>záměry dopravní infrastruktury ze ZÚR SK</w:t>
      </w:r>
      <w:r w:rsidRPr="009402D8">
        <w:rPr>
          <w:rFonts w:asciiTheme="majorHAnsi" w:hAnsiTheme="majorHAnsi" w:cstheme="majorHAnsi"/>
          <w:color w:val="auto"/>
        </w:rPr>
        <w:t xml:space="preserve"> v</w:t>
      </w:r>
      <w:r w:rsidR="000172E3" w:rsidRPr="009402D8">
        <w:rPr>
          <w:rFonts w:asciiTheme="majorHAnsi" w:hAnsiTheme="majorHAnsi" w:cstheme="majorHAnsi"/>
          <w:color w:val="auto"/>
        </w:rPr>
        <w:t> </w:t>
      </w:r>
      <w:r w:rsidRPr="009402D8">
        <w:rPr>
          <w:rFonts w:asciiTheme="majorHAnsi" w:hAnsiTheme="majorHAnsi" w:cstheme="majorHAnsi"/>
          <w:color w:val="auto"/>
        </w:rPr>
        <w:t>rozsahu</w:t>
      </w:r>
      <w:r w:rsidR="000172E3" w:rsidRPr="009402D8">
        <w:rPr>
          <w:rFonts w:asciiTheme="majorHAnsi" w:hAnsiTheme="majorHAnsi" w:cstheme="majorHAnsi"/>
          <w:color w:val="auto"/>
        </w:rPr>
        <w:t xml:space="preserve"> koridorů pro výše uvedené záměry: VPS D322 je vymezena jako VPS VD.3; VPS VD1 je vymezena jako VD.8</w:t>
      </w:r>
      <w:r w:rsidRPr="009402D8">
        <w:rPr>
          <w:rFonts w:asciiTheme="majorHAnsi" w:hAnsiTheme="majorHAnsi" w:cstheme="majorHAnsi"/>
          <w:color w:val="auto"/>
        </w:rPr>
        <w:t xml:space="preserve">. </w:t>
      </w:r>
    </w:p>
    <w:p w14:paraId="6DAC4A7D" w14:textId="2A04CEDE" w:rsidR="0068493C" w:rsidRPr="009402D8" w:rsidRDefault="0068493C" w:rsidP="00040B6A">
      <w:pPr>
        <w:autoSpaceDE w:val="0"/>
        <w:autoSpaceDN w:val="0"/>
        <w:adjustRightInd w:val="0"/>
        <w:spacing w:before="120" w:after="120" w:line="240" w:lineRule="auto"/>
        <w:ind w:left="567" w:hanging="567"/>
        <w:jc w:val="both"/>
        <w:rPr>
          <w:rFonts w:asciiTheme="majorHAnsi" w:hAnsiTheme="majorHAnsi" w:cstheme="majorHAnsi"/>
          <w:bCs/>
          <w:i/>
          <w:sz w:val="18"/>
          <w:szCs w:val="18"/>
        </w:rPr>
      </w:pPr>
      <w:r w:rsidRPr="009402D8">
        <w:rPr>
          <w:rFonts w:asciiTheme="majorHAnsi" w:hAnsiTheme="majorHAnsi" w:cstheme="majorHAnsi"/>
          <w:bCs/>
          <w:iCs/>
          <w:sz w:val="18"/>
          <w:szCs w:val="18"/>
        </w:rPr>
        <w:t xml:space="preserve">(237) </w:t>
      </w:r>
      <w:r w:rsidRPr="009402D8">
        <w:rPr>
          <w:rFonts w:asciiTheme="majorHAnsi" w:hAnsiTheme="majorHAnsi" w:cstheme="majorHAnsi"/>
          <w:bCs/>
          <w:iCs/>
          <w:sz w:val="18"/>
          <w:szCs w:val="18"/>
        </w:rPr>
        <w:tab/>
      </w:r>
      <w:r w:rsidRPr="009402D8">
        <w:rPr>
          <w:rFonts w:asciiTheme="majorHAnsi" w:hAnsiTheme="majorHAnsi" w:cstheme="majorHAnsi"/>
          <w:bCs/>
          <w:i/>
          <w:sz w:val="18"/>
          <w:szCs w:val="18"/>
        </w:rPr>
        <w:t>ZÚR vymezují jako veřejně prospěšná opatření tyto plochy a koridory biocenter a biokoridorů</w:t>
      </w:r>
    </w:p>
    <w:tbl>
      <w:tblPr>
        <w:tblW w:w="5000" w:type="pct"/>
        <w:tblBorders>
          <w:insideH w:val="single" w:sz="6" w:space="0" w:color="000000"/>
          <w:insideV w:val="single" w:sz="6" w:space="0" w:color="000000"/>
        </w:tblBorders>
        <w:tblLook w:val="04A0" w:firstRow="1" w:lastRow="0" w:firstColumn="1" w:lastColumn="0" w:noHBand="0" w:noVBand="1"/>
      </w:tblPr>
      <w:tblGrid>
        <w:gridCol w:w="958"/>
        <w:gridCol w:w="702"/>
        <w:gridCol w:w="2242"/>
        <w:gridCol w:w="934"/>
        <w:gridCol w:w="1979"/>
        <w:gridCol w:w="2255"/>
      </w:tblGrid>
      <w:tr w:rsidR="0068493C" w:rsidRPr="009402D8" w14:paraId="522A9E18" w14:textId="77777777" w:rsidTr="00040B6A">
        <w:tc>
          <w:tcPr>
            <w:tcW w:w="528" w:type="pct"/>
            <w:vAlign w:val="center"/>
          </w:tcPr>
          <w:p w14:paraId="2CD1AA56"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číslo VPO</w:t>
            </w:r>
          </w:p>
        </w:tc>
        <w:tc>
          <w:tcPr>
            <w:tcW w:w="387" w:type="pct"/>
            <w:vAlign w:val="center"/>
          </w:tcPr>
          <w:p w14:paraId="02807E1C"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NKOD</w:t>
            </w:r>
          </w:p>
        </w:tc>
        <w:tc>
          <w:tcPr>
            <w:tcW w:w="1236" w:type="pct"/>
            <w:vAlign w:val="center"/>
          </w:tcPr>
          <w:p w14:paraId="1672BBFC"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VPO</w:t>
            </w:r>
          </w:p>
        </w:tc>
        <w:tc>
          <w:tcPr>
            <w:tcW w:w="515" w:type="pct"/>
            <w:vAlign w:val="center"/>
          </w:tcPr>
          <w:p w14:paraId="4AA274C9"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ORP</w:t>
            </w:r>
          </w:p>
        </w:tc>
        <w:tc>
          <w:tcPr>
            <w:tcW w:w="1091" w:type="pct"/>
            <w:vAlign w:val="center"/>
          </w:tcPr>
          <w:p w14:paraId="55672360"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dotčená obec</w:t>
            </w:r>
          </w:p>
        </w:tc>
        <w:tc>
          <w:tcPr>
            <w:tcW w:w="1244" w:type="pct"/>
            <w:vAlign w:val="center"/>
          </w:tcPr>
          <w:p w14:paraId="70C50A57"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dotčené katastrální území</w:t>
            </w:r>
          </w:p>
        </w:tc>
      </w:tr>
      <w:tr w:rsidR="0068493C" w:rsidRPr="009402D8" w14:paraId="28C36955" w14:textId="77777777" w:rsidTr="00040B6A">
        <w:tc>
          <w:tcPr>
            <w:tcW w:w="528" w:type="pct"/>
            <w:vAlign w:val="center"/>
          </w:tcPr>
          <w:p w14:paraId="47FFED8A"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NK 10</w:t>
            </w:r>
          </w:p>
        </w:tc>
        <w:tc>
          <w:tcPr>
            <w:tcW w:w="387" w:type="pct"/>
            <w:vAlign w:val="center"/>
          </w:tcPr>
          <w:p w14:paraId="40489369"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10</w:t>
            </w:r>
          </w:p>
        </w:tc>
        <w:tc>
          <w:tcPr>
            <w:tcW w:w="1236" w:type="pct"/>
            <w:vAlign w:val="center"/>
          </w:tcPr>
          <w:p w14:paraId="3B4BF98A" w14:textId="083F0949"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 xml:space="preserve">Stříbrný roh </w:t>
            </w:r>
            <w:r w:rsidR="00040B6A" w:rsidRPr="009402D8">
              <w:rPr>
                <w:rFonts w:asciiTheme="majorHAnsi" w:hAnsiTheme="majorHAnsi" w:cstheme="majorHAnsi"/>
                <w:color w:val="000000"/>
                <w:sz w:val="18"/>
                <w:szCs w:val="18"/>
              </w:rPr>
              <w:t>–</w:t>
            </w:r>
            <w:r w:rsidRPr="009402D8">
              <w:rPr>
                <w:rFonts w:asciiTheme="majorHAnsi" w:hAnsiTheme="majorHAnsi" w:cstheme="majorHAnsi"/>
                <w:color w:val="000000"/>
                <w:sz w:val="18"/>
                <w:szCs w:val="18"/>
              </w:rPr>
              <w:t xml:space="preserve"> Polabský luh</w:t>
            </w:r>
          </w:p>
        </w:tc>
        <w:tc>
          <w:tcPr>
            <w:tcW w:w="515" w:type="pct"/>
            <w:vAlign w:val="center"/>
          </w:tcPr>
          <w:p w14:paraId="6CB0E72A"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Nymburk</w:t>
            </w:r>
          </w:p>
        </w:tc>
        <w:tc>
          <w:tcPr>
            <w:tcW w:w="1091" w:type="pct"/>
            <w:vAlign w:val="center"/>
          </w:tcPr>
          <w:p w14:paraId="59A133C3"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c>
          <w:tcPr>
            <w:tcW w:w="1244" w:type="pct"/>
            <w:vAlign w:val="center"/>
          </w:tcPr>
          <w:p w14:paraId="184BA346"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r>
      <w:tr w:rsidR="0068493C" w:rsidRPr="009402D8" w14:paraId="2D3220FB" w14:textId="77777777" w:rsidTr="00040B6A">
        <w:tc>
          <w:tcPr>
            <w:tcW w:w="528" w:type="pct"/>
            <w:vAlign w:val="center"/>
          </w:tcPr>
          <w:p w14:paraId="6BAC9E7E"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RC 349</w:t>
            </w:r>
          </w:p>
        </w:tc>
        <w:tc>
          <w:tcPr>
            <w:tcW w:w="387" w:type="pct"/>
            <w:vAlign w:val="center"/>
          </w:tcPr>
          <w:p w14:paraId="584945F4"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349</w:t>
            </w:r>
          </w:p>
        </w:tc>
        <w:tc>
          <w:tcPr>
            <w:tcW w:w="1236" w:type="pct"/>
            <w:vAlign w:val="center"/>
          </w:tcPr>
          <w:p w14:paraId="0E0D76FD" w14:textId="66319F2E"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 xml:space="preserve">Niva Labe u </w:t>
            </w:r>
            <w:r w:rsidR="004C536A" w:rsidRPr="009402D8">
              <w:rPr>
                <w:rFonts w:asciiTheme="majorHAnsi" w:hAnsiTheme="majorHAnsi" w:cstheme="majorHAnsi"/>
                <w:color w:val="000000"/>
                <w:sz w:val="18"/>
                <w:szCs w:val="18"/>
              </w:rPr>
              <w:t>Lysé nad Labem</w:t>
            </w:r>
          </w:p>
        </w:tc>
        <w:tc>
          <w:tcPr>
            <w:tcW w:w="515" w:type="pct"/>
            <w:vAlign w:val="center"/>
          </w:tcPr>
          <w:p w14:paraId="359A771E"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Nymburk</w:t>
            </w:r>
          </w:p>
        </w:tc>
        <w:tc>
          <w:tcPr>
            <w:tcW w:w="1091" w:type="pct"/>
            <w:vAlign w:val="center"/>
          </w:tcPr>
          <w:p w14:paraId="01D87E03"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c>
          <w:tcPr>
            <w:tcW w:w="1244" w:type="pct"/>
            <w:vAlign w:val="center"/>
          </w:tcPr>
          <w:p w14:paraId="6966F0D6"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r>
    </w:tbl>
    <w:p w14:paraId="7728027D" w14:textId="07177F44" w:rsidR="0068493C" w:rsidRPr="009402D8" w:rsidRDefault="0068493C" w:rsidP="00040B6A">
      <w:pPr>
        <w:pStyle w:val="Mra2-reakceern"/>
        <w:spacing w:before="120"/>
        <w:rPr>
          <w:rFonts w:asciiTheme="majorHAnsi" w:hAnsiTheme="majorHAnsi" w:cstheme="majorHAnsi"/>
          <w:color w:val="auto"/>
        </w:rPr>
      </w:pPr>
      <w:r w:rsidRPr="009402D8">
        <w:rPr>
          <w:rFonts w:asciiTheme="majorHAnsi" w:hAnsiTheme="majorHAnsi" w:cstheme="majorHAnsi"/>
          <w:color w:val="auto"/>
        </w:rPr>
        <w:t xml:space="preserve">Územní plán vymezuje veřejně prospěšné prospěšná opatření s možností vyvlastnění pro zajištění funkčnosti ÚSES v rozsahu ekologicky méně stabilních částí jednotlivých skladebných částí ÚSES. V této souvislosti jsou části nadregionálního biocentra RC 349 i nadregionálního biokoridoru NK10 v rámci řešeného území vyhodnoceny jako ekologicky stabilní, a tedy bez potřeby vymezení VPO pro zajištění jejich funkčnosti. Části těchto skladebných částí jsou vedeny částečně po lesních pozemcích a vodních tocích, případně po dalších ekologicky stabilnějších lokalitách, vymezených v rámci ploch s rozdílným způsobem využití, které reflektují ekologickou funkci těchto ploch. </w:t>
      </w:r>
      <w:r w:rsidR="004C536A" w:rsidRPr="009402D8">
        <w:rPr>
          <w:rFonts w:asciiTheme="majorHAnsi" w:hAnsiTheme="majorHAnsi" w:cstheme="majorHAnsi"/>
          <w:color w:val="auto"/>
        </w:rPr>
        <w:t>Jako VPO pro zajištění funkčnosti ÚSES je vymezen také lokální biokoridor LBK.2 na Hronětickém potoce, mj. za účelem vytvoření podmínek pro revitalizaci a renaturalizaci tohoto vodního toku.</w:t>
      </w:r>
    </w:p>
    <w:p w14:paraId="416AB88B" w14:textId="77777777" w:rsidR="0068493C" w:rsidRPr="009402D8" w:rsidRDefault="0068493C" w:rsidP="000172E3">
      <w:pPr>
        <w:pStyle w:val="Odstavecseseznamem"/>
        <w:numPr>
          <w:ilvl w:val="0"/>
          <w:numId w:val="45"/>
        </w:numPr>
        <w:pBdr>
          <w:bottom w:val="single" w:sz="4" w:space="1" w:color="auto"/>
        </w:pBdr>
        <w:spacing w:before="120" w:after="0" w:line="240" w:lineRule="auto"/>
        <w:ind w:left="284" w:hanging="284"/>
        <w:jc w:val="both"/>
        <w:rPr>
          <w:rFonts w:asciiTheme="majorHAnsi" w:hAnsiTheme="majorHAnsi" w:cstheme="majorHAnsi"/>
          <w:b/>
          <w:sz w:val="18"/>
          <w:szCs w:val="18"/>
        </w:rPr>
      </w:pPr>
      <w:r w:rsidRPr="009402D8">
        <w:rPr>
          <w:rFonts w:asciiTheme="majorHAnsi" w:hAnsiTheme="majorHAnsi" w:cstheme="majorHAnsi"/>
          <w:b/>
          <w:sz w:val="18"/>
          <w:szCs w:val="18"/>
        </w:rPr>
        <w:t>STANOVENÍ POŽADAVKŮ NADMÍSTNÍHO VÝZNAMU NA KOORDINACI ÚZEMNĚ PLÁNOVACÍ ČINNOSTI OBCÍ</w:t>
      </w:r>
    </w:p>
    <w:p w14:paraId="3E8D07B6" w14:textId="62E2D5E4" w:rsidR="004C536A" w:rsidRPr="009402D8" w:rsidRDefault="004C536A" w:rsidP="004C536A">
      <w:pPr>
        <w:keepNext/>
        <w:autoSpaceDE w:val="0"/>
        <w:autoSpaceDN w:val="0"/>
        <w:adjustRightInd w:val="0"/>
        <w:spacing w:before="120" w:after="120" w:line="240" w:lineRule="auto"/>
        <w:ind w:left="567" w:hanging="567"/>
        <w:jc w:val="both"/>
        <w:rPr>
          <w:rFonts w:asciiTheme="majorHAnsi" w:hAnsiTheme="majorHAnsi" w:cstheme="majorHAnsi"/>
          <w:b/>
          <w:bCs/>
          <w:iCs/>
          <w:sz w:val="18"/>
          <w:szCs w:val="18"/>
        </w:rPr>
      </w:pPr>
      <w:r w:rsidRPr="009402D8">
        <w:rPr>
          <w:rFonts w:asciiTheme="majorHAnsi" w:hAnsiTheme="majorHAnsi" w:cstheme="majorHAnsi"/>
          <w:b/>
          <w:bCs/>
          <w:iCs/>
          <w:sz w:val="18"/>
          <w:szCs w:val="18"/>
        </w:rPr>
        <w:t>H.1.</w:t>
      </w:r>
      <w:r w:rsidRPr="009402D8">
        <w:rPr>
          <w:rFonts w:asciiTheme="majorHAnsi" w:hAnsiTheme="majorHAnsi" w:cstheme="majorHAnsi"/>
          <w:b/>
          <w:bCs/>
          <w:iCs/>
          <w:sz w:val="18"/>
          <w:szCs w:val="18"/>
        </w:rPr>
        <w:tab/>
        <w:t>Upřesnění vymezení ploch a koridorů nadmístního významu</w:t>
      </w:r>
    </w:p>
    <w:p w14:paraId="36368729" w14:textId="6C65EF8F" w:rsidR="0068493C" w:rsidRPr="009402D8" w:rsidRDefault="0068493C" w:rsidP="00040B6A">
      <w:pPr>
        <w:autoSpaceDE w:val="0"/>
        <w:autoSpaceDN w:val="0"/>
        <w:adjustRightInd w:val="0"/>
        <w:spacing w:before="120" w:after="120" w:line="240" w:lineRule="auto"/>
        <w:ind w:left="567" w:hanging="567"/>
        <w:jc w:val="both"/>
        <w:rPr>
          <w:rFonts w:asciiTheme="majorHAnsi" w:hAnsiTheme="majorHAnsi" w:cstheme="majorHAnsi"/>
          <w:bCs/>
          <w:i/>
          <w:sz w:val="18"/>
          <w:szCs w:val="18"/>
        </w:rPr>
      </w:pPr>
      <w:r w:rsidRPr="009402D8">
        <w:rPr>
          <w:rFonts w:asciiTheme="majorHAnsi" w:hAnsiTheme="majorHAnsi" w:cstheme="majorHAnsi"/>
          <w:bCs/>
          <w:iCs/>
          <w:sz w:val="18"/>
          <w:szCs w:val="18"/>
        </w:rPr>
        <w:t>(238)</w:t>
      </w:r>
      <w:r w:rsidRPr="009402D8">
        <w:rPr>
          <w:rFonts w:asciiTheme="majorHAnsi" w:hAnsiTheme="majorHAnsi" w:cstheme="majorHAnsi"/>
          <w:bCs/>
          <w:iCs/>
          <w:sz w:val="18"/>
          <w:szCs w:val="18"/>
        </w:rPr>
        <w:tab/>
      </w:r>
      <w:r w:rsidR="000172E3" w:rsidRPr="009402D8">
        <w:rPr>
          <w:rFonts w:asciiTheme="majorHAnsi" w:hAnsiTheme="majorHAnsi" w:cstheme="majorHAnsi"/>
          <w:bCs/>
          <w:i/>
          <w:sz w:val="18"/>
          <w:szCs w:val="18"/>
        </w:rPr>
        <w:t>ZÚR stanovují požadavky na koordinaci územně plánovací činnosti obcí při upřesňování vymezení ploch a koridorů republikového a nadmístního významu (včetně ÚSES a územních rezerv) uvedených v kap. D. textové části a zobrazených ve výkresu A.2 grafické části ZÚR. Koordinace při vymezování jednotlivých ploch a koridorů je úkolem pro řešení v ÚPD dotčených obcí:</w:t>
      </w:r>
    </w:p>
    <w:tbl>
      <w:tblPr>
        <w:tblW w:w="0" w:type="auto"/>
        <w:jc w:val="center"/>
        <w:tblBorders>
          <w:insideH w:val="single" w:sz="6" w:space="0" w:color="000000"/>
          <w:insideV w:val="single" w:sz="6" w:space="0" w:color="000000"/>
        </w:tblBorders>
        <w:tblLook w:val="04A0" w:firstRow="1" w:lastRow="0" w:firstColumn="1" w:lastColumn="0" w:noHBand="0" w:noVBand="1"/>
      </w:tblPr>
      <w:tblGrid>
        <w:gridCol w:w="882"/>
        <w:gridCol w:w="1867"/>
        <w:gridCol w:w="984"/>
        <w:gridCol w:w="1237"/>
      </w:tblGrid>
      <w:tr w:rsidR="0068493C" w:rsidRPr="009402D8" w14:paraId="59565A97" w14:textId="77777777" w:rsidTr="00765F24">
        <w:trPr>
          <w:jc w:val="center"/>
        </w:trPr>
        <w:tc>
          <w:tcPr>
            <w:tcW w:w="0" w:type="auto"/>
            <w:vAlign w:val="center"/>
          </w:tcPr>
          <w:p w14:paraId="64EC017D"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ORP</w:t>
            </w:r>
          </w:p>
        </w:tc>
        <w:tc>
          <w:tcPr>
            <w:tcW w:w="0" w:type="auto"/>
            <w:vAlign w:val="center"/>
          </w:tcPr>
          <w:p w14:paraId="4D021132"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OBEC</w:t>
            </w:r>
          </w:p>
        </w:tc>
        <w:tc>
          <w:tcPr>
            <w:tcW w:w="0" w:type="auto"/>
            <w:vAlign w:val="center"/>
          </w:tcPr>
          <w:p w14:paraId="635A7D82"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VPS</w:t>
            </w:r>
          </w:p>
        </w:tc>
        <w:tc>
          <w:tcPr>
            <w:tcW w:w="0" w:type="auto"/>
            <w:vAlign w:val="center"/>
          </w:tcPr>
          <w:p w14:paraId="218DD5F8" w14:textId="77777777" w:rsidR="0068493C" w:rsidRPr="009402D8" w:rsidRDefault="0068493C" w:rsidP="00040B6A">
            <w:pPr>
              <w:spacing w:after="0"/>
              <w:jc w:val="center"/>
              <w:rPr>
                <w:rFonts w:asciiTheme="majorHAnsi" w:hAnsiTheme="majorHAnsi" w:cstheme="majorHAnsi"/>
                <w:b/>
                <w:bCs/>
                <w:color w:val="000000"/>
                <w:sz w:val="18"/>
                <w:szCs w:val="18"/>
              </w:rPr>
            </w:pPr>
            <w:proofErr w:type="gramStart"/>
            <w:r w:rsidRPr="009402D8">
              <w:rPr>
                <w:rFonts w:asciiTheme="majorHAnsi" w:hAnsiTheme="majorHAnsi" w:cstheme="majorHAnsi"/>
                <w:b/>
                <w:bCs/>
                <w:color w:val="000000"/>
                <w:sz w:val="18"/>
                <w:szCs w:val="18"/>
              </w:rPr>
              <w:t>VPO - ÚSES</w:t>
            </w:r>
            <w:proofErr w:type="gramEnd"/>
          </w:p>
        </w:tc>
      </w:tr>
      <w:tr w:rsidR="0068493C" w:rsidRPr="009402D8" w14:paraId="46C8D92D" w14:textId="77777777" w:rsidTr="00765F24">
        <w:trPr>
          <w:jc w:val="center"/>
        </w:trPr>
        <w:tc>
          <w:tcPr>
            <w:tcW w:w="0" w:type="auto"/>
            <w:vAlign w:val="center"/>
          </w:tcPr>
          <w:p w14:paraId="60DE4857" w14:textId="77777777" w:rsidR="0068493C" w:rsidRPr="009402D8" w:rsidRDefault="0068493C" w:rsidP="00040B6A">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Nymburk</w:t>
            </w:r>
          </w:p>
        </w:tc>
        <w:tc>
          <w:tcPr>
            <w:tcW w:w="0" w:type="auto"/>
            <w:vAlign w:val="center"/>
          </w:tcPr>
          <w:p w14:paraId="4A8A2A9D"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c>
          <w:tcPr>
            <w:tcW w:w="0" w:type="auto"/>
            <w:vAlign w:val="center"/>
          </w:tcPr>
          <w:p w14:paraId="3191B04A" w14:textId="34D122B3" w:rsidR="0068493C" w:rsidRPr="009402D8" w:rsidRDefault="000172E3"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D322, VD1</w:t>
            </w:r>
          </w:p>
        </w:tc>
        <w:tc>
          <w:tcPr>
            <w:tcW w:w="0" w:type="auto"/>
            <w:vAlign w:val="center"/>
          </w:tcPr>
          <w:p w14:paraId="3D24C5E6" w14:textId="77777777" w:rsidR="0068493C" w:rsidRPr="009402D8" w:rsidRDefault="0068493C" w:rsidP="00040B6A">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NK 10, RC 349</w:t>
            </w:r>
          </w:p>
        </w:tc>
      </w:tr>
    </w:tbl>
    <w:p w14:paraId="52B61828" w14:textId="419388B8" w:rsidR="0068493C" w:rsidRPr="009402D8" w:rsidRDefault="0068493C" w:rsidP="00040B6A">
      <w:pPr>
        <w:pStyle w:val="Mra2-reakceern"/>
        <w:spacing w:before="120"/>
        <w:rPr>
          <w:rFonts w:asciiTheme="majorHAnsi" w:hAnsiTheme="majorHAnsi" w:cstheme="majorHAnsi"/>
          <w:color w:val="auto"/>
        </w:rPr>
      </w:pPr>
      <w:r w:rsidRPr="009402D8">
        <w:rPr>
          <w:rFonts w:asciiTheme="majorHAnsi" w:hAnsiTheme="majorHAnsi" w:cstheme="majorHAnsi"/>
          <w:color w:val="auto"/>
        </w:rPr>
        <w:t>Územní plán zajišťuje koordinaci ploch a koridorů</w:t>
      </w:r>
      <w:r w:rsidR="004C536A" w:rsidRPr="009402D8">
        <w:rPr>
          <w:rFonts w:asciiTheme="majorHAnsi" w:hAnsiTheme="majorHAnsi" w:cstheme="majorHAnsi"/>
          <w:color w:val="auto"/>
        </w:rPr>
        <w:t>,</w:t>
      </w:r>
      <w:r w:rsidRPr="009402D8">
        <w:rPr>
          <w:rFonts w:asciiTheme="majorHAnsi" w:hAnsiTheme="majorHAnsi" w:cstheme="majorHAnsi"/>
          <w:color w:val="auto"/>
        </w:rPr>
        <w:t xml:space="preserve"> VPS a VPO </w:t>
      </w:r>
      <w:r w:rsidR="004C536A" w:rsidRPr="009402D8">
        <w:rPr>
          <w:rFonts w:asciiTheme="majorHAnsi" w:hAnsiTheme="majorHAnsi" w:cstheme="majorHAnsi"/>
          <w:color w:val="auto"/>
        </w:rPr>
        <w:t xml:space="preserve">vymezených v </w:t>
      </w:r>
      <w:r w:rsidRPr="009402D8">
        <w:rPr>
          <w:rFonts w:asciiTheme="majorHAnsi" w:hAnsiTheme="majorHAnsi" w:cstheme="majorHAnsi"/>
          <w:color w:val="auto"/>
        </w:rPr>
        <w:t>ZÚR SK s územně plánovací dokumentací sousedních obcí</w:t>
      </w:r>
      <w:r w:rsidR="004C536A" w:rsidRPr="009402D8">
        <w:rPr>
          <w:rFonts w:asciiTheme="majorHAnsi" w:hAnsiTheme="majorHAnsi" w:cstheme="majorHAnsi"/>
          <w:color w:val="auto"/>
        </w:rPr>
        <w:t xml:space="preserve"> (s vyhodnocením v oddílech výše)</w:t>
      </w:r>
      <w:r w:rsidRPr="009402D8">
        <w:rPr>
          <w:rFonts w:asciiTheme="majorHAnsi" w:hAnsiTheme="majorHAnsi" w:cstheme="majorHAnsi"/>
          <w:color w:val="auto"/>
        </w:rPr>
        <w:t>.</w:t>
      </w:r>
    </w:p>
    <w:p w14:paraId="71B6606F" w14:textId="56598955" w:rsidR="003F79C7" w:rsidRPr="009402D8" w:rsidRDefault="003F79C7" w:rsidP="003F79C7">
      <w:pPr>
        <w:keepNext/>
        <w:autoSpaceDE w:val="0"/>
        <w:autoSpaceDN w:val="0"/>
        <w:adjustRightInd w:val="0"/>
        <w:spacing w:before="120" w:after="120" w:line="240" w:lineRule="auto"/>
        <w:ind w:left="567" w:hanging="567"/>
        <w:jc w:val="both"/>
        <w:rPr>
          <w:rFonts w:asciiTheme="majorHAnsi" w:hAnsiTheme="majorHAnsi" w:cstheme="majorHAnsi"/>
          <w:b/>
          <w:bCs/>
          <w:iCs/>
          <w:sz w:val="18"/>
          <w:szCs w:val="18"/>
        </w:rPr>
      </w:pPr>
      <w:r w:rsidRPr="009402D8">
        <w:rPr>
          <w:rFonts w:asciiTheme="majorHAnsi" w:hAnsiTheme="majorHAnsi" w:cstheme="majorHAnsi"/>
          <w:b/>
          <w:bCs/>
          <w:iCs/>
          <w:sz w:val="18"/>
          <w:szCs w:val="18"/>
        </w:rPr>
        <w:t>H.2.</w:t>
      </w:r>
      <w:r w:rsidRPr="009402D8">
        <w:rPr>
          <w:rFonts w:asciiTheme="majorHAnsi" w:hAnsiTheme="majorHAnsi" w:cstheme="majorHAnsi"/>
          <w:b/>
          <w:bCs/>
          <w:iCs/>
          <w:sz w:val="18"/>
          <w:szCs w:val="18"/>
        </w:rPr>
        <w:tab/>
        <w:t>Požadavky na řešení v ÚPD obcí</w:t>
      </w:r>
    </w:p>
    <w:p w14:paraId="5DA7EDD3" w14:textId="3F800E58" w:rsidR="003F79C7" w:rsidRPr="009402D8" w:rsidRDefault="003F79C7" w:rsidP="003F79C7">
      <w:pPr>
        <w:keepNext/>
        <w:autoSpaceDE w:val="0"/>
        <w:autoSpaceDN w:val="0"/>
        <w:adjustRightInd w:val="0"/>
        <w:spacing w:before="120" w:after="120" w:line="240" w:lineRule="auto"/>
        <w:ind w:left="567" w:hanging="567"/>
        <w:jc w:val="both"/>
        <w:rPr>
          <w:rFonts w:asciiTheme="majorHAnsi" w:hAnsiTheme="majorHAnsi" w:cstheme="majorHAnsi"/>
          <w:b/>
          <w:bCs/>
          <w:iCs/>
          <w:sz w:val="18"/>
          <w:szCs w:val="18"/>
        </w:rPr>
      </w:pPr>
      <w:r w:rsidRPr="009402D8">
        <w:rPr>
          <w:rFonts w:asciiTheme="majorHAnsi" w:hAnsiTheme="majorHAnsi" w:cstheme="majorHAnsi"/>
          <w:b/>
          <w:bCs/>
          <w:iCs/>
          <w:sz w:val="18"/>
          <w:szCs w:val="18"/>
        </w:rPr>
        <w:t>Zelené pásy v krajině</w:t>
      </w:r>
    </w:p>
    <w:p w14:paraId="7C9E702B" w14:textId="713AF503" w:rsidR="003F79C7" w:rsidRPr="009402D8" w:rsidRDefault="003F79C7" w:rsidP="003F79C7">
      <w:pPr>
        <w:autoSpaceDE w:val="0"/>
        <w:autoSpaceDN w:val="0"/>
        <w:adjustRightInd w:val="0"/>
        <w:spacing w:before="120" w:after="120" w:line="240" w:lineRule="auto"/>
        <w:ind w:left="567" w:hanging="567"/>
        <w:jc w:val="both"/>
        <w:rPr>
          <w:rFonts w:asciiTheme="majorHAnsi" w:hAnsiTheme="majorHAnsi" w:cstheme="majorHAnsi"/>
          <w:bCs/>
          <w:i/>
          <w:sz w:val="18"/>
          <w:szCs w:val="18"/>
        </w:rPr>
      </w:pPr>
      <w:r w:rsidRPr="009402D8">
        <w:rPr>
          <w:rFonts w:asciiTheme="majorHAnsi" w:hAnsiTheme="majorHAnsi" w:cstheme="majorHAnsi"/>
          <w:bCs/>
          <w:iCs/>
          <w:sz w:val="18"/>
          <w:szCs w:val="18"/>
        </w:rPr>
        <w:t>(</w:t>
      </w:r>
      <w:proofErr w:type="gramStart"/>
      <w:r w:rsidRPr="009402D8">
        <w:rPr>
          <w:rFonts w:asciiTheme="majorHAnsi" w:hAnsiTheme="majorHAnsi" w:cstheme="majorHAnsi"/>
          <w:bCs/>
          <w:iCs/>
          <w:sz w:val="18"/>
          <w:szCs w:val="18"/>
        </w:rPr>
        <w:t>240a</w:t>
      </w:r>
      <w:proofErr w:type="gramEnd"/>
      <w:r w:rsidRPr="009402D8">
        <w:rPr>
          <w:rFonts w:asciiTheme="majorHAnsi" w:hAnsiTheme="majorHAnsi" w:cstheme="majorHAnsi"/>
          <w:bCs/>
          <w:iCs/>
          <w:sz w:val="18"/>
          <w:szCs w:val="18"/>
        </w:rPr>
        <w:t>)</w:t>
      </w:r>
      <w:r w:rsidRPr="009402D8">
        <w:rPr>
          <w:rFonts w:asciiTheme="majorHAnsi" w:hAnsiTheme="majorHAnsi" w:cstheme="majorHAnsi"/>
          <w:bCs/>
          <w:iCs/>
          <w:sz w:val="18"/>
          <w:szCs w:val="18"/>
        </w:rPr>
        <w:tab/>
      </w:r>
      <w:r w:rsidRPr="009402D8">
        <w:rPr>
          <w:rFonts w:asciiTheme="majorHAnsi" w:hAnsiTheme="majorHAnsi" w:cstheme="majorHAnsi"/>
          <w:bCs/>
          <w:i/>
          <w:sz w:val="18"/>
          <w:szCs w:val="18"/>
        </w:rPr>
        <w:t>Ve vzájemné koordinaci vytvářet územní podmínky včetně vymezování ploch pro vytváření zelených pásů v krajině na území obcí a ve vybraných katastrálních územích:</w:t>
      </w:r>
    </w:p>
    <w:tbl>
      <w:tblPr>
        <w:tblW w:w="0" w:type="auto"/>
        <w:jc w:val="center"/>
        <w:tblBorders>
          <w:insideH w:val="single" w:sz="6" w:space="0" w:color="000000"/>
          <w:insideV w:val="single" w:sz="6" w:space="0" w:color="000000"/>
        </w:tblBorders>
        <w:tblLook w:val="04A0" w:firstRow="1" w:lastRow="0" w:firstColumn="1" w:lastColumn="0" w:noHBand="0" w:noVBand="1"/>
      </w:tblPr>
      <w:tblGrid>
        <w:gridCol w:w="882"/>
        <w:gridCol w:w="1867"/>
        <w:gridCol w:w="1867"/>
      </w:tblGrid>
      <w:tr w:rsidR="003F79C7" w:rsidRPr="009402D8" w14:paraId="55A955C2" w14:textId="77777777" w:rsidTr="001A2CDF">
        <w:trPr>
          <w:jc w:val="center"/>
        </w:trPr>
        <w:tc>
          <w:tcPr>
            <w:tcW w:w="0" w:type="auto"/>
            <w:vAlign w:val="center"/>
          </w:tcPr>
          <w:p w14:paraId="65421D7A" w14:textId="0A601054" w:rsidR="003F79C7" w:rsidRPr="009402D8" w:rsidRDefault="003F79C7" w:rsidP="000F4A1C">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SO ORP</w:t>
            </w:r>
          </w:p>
        </w:tc>
        <w:tc>
          <w:tcPr>
            <w:tcW w:w="0" w:type="auto"/>
            <w:vAlign w:val="center"/>
          </w:tcPr>
          <w:p w14:paraId="3471B4E7" w14:textId="4F594536" w:rsidR="003F79C7" w:rsidRPr="009402D8" w:rsidRDefault="003F79C7" w:rsidP="000F4A1C">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Obce</w:t>
            </w:r>
          </w:p>
        </w:tc>
        <w:tc>
          <w:tcPr>
            <w:tcW w:w="0" w:type="auto"/>
            <w:vAlign w:val="center"/>
          </w:tcPr>
          <w:p w14:paraId="6EC9FAD9" w14:textId="37DDD1FD" w:rsidR="003F79C7" w:rsidRPr="009402D8" w:rsidRDefault="003F79C7" w:rsidP="000F4A1C">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Katastrální území</w:t>
            </w:r>
          </w:p>
        </w:tc>
      </w:tr>
      <w:tr w:rsidR="003F79C7" w:rsidRPr="009402D8" w14:paraId="36A161AB" w14:textId="77777777" w:rsidTr="0099598D">
        <w:trPr>
          <w:jc w:val="center"/>
        </w:trPr>
        <w:tc>
          <w:tcPr>
            <w:tcW w:w="0" w:type="auto"/>
            <w:vAlign w:val="center"/>
          </w:tcPr>
          <w:p w14:paraId="5C4BE84A" w14:textId="77777777" w:rsidR="003F79C7" w:rsidRPr="009402D8" w:rsidRDefault="003F79C7" w:rsidP="000F4A1C">
            <w:pPr>
              <w:spacing w:after="0"/>
              <w:jc w:val="center"/>
              <w:rPr>
                <w:rFonts w:asciiTheme="majorHAnsi" w:hAnsiTheme="majorHAnsi" w:cstheme="majorHAnsi"/>
                <w:b/>
                <w:bCs/>
                <w:color w:val="000000"/>
                <w:sz w:val="18"/>
                <w:szCs w:val="18"/>
              </w:rPr>
            </w:pPr>
            <w:r w:rsidRPr="009402D8">
              <w:rPr>
                <w:rFonts w:asciiTheme="majorHAnsi" w:hAnsiTheme="majorHAnsi" w:cstheme="majorHAnsi"/>
                <w:b/>
                <w:bCs/>
                <w:color w:val="000000"/>
                <w:sz w:val="18"/>
                <w:szCs w:val="18"/>
              </w:rPr>
              <w:t>Nymburk</w:t>
            </w:r>
          </w:p>
        </w:tc>
        <w:tc>
          <w:tcPr>
            <w:tcW w:w="0" w:type="auto"/>
            <w:vAlign w:val="center"/>
          </w:tcPr>
          <w:p w14:paraId="671B3F8A" w14:textId="77777777" w:rsidR="003F79C7" w:rsidRPr="009402D8" w:rsidRDefault="003F79C7" w:rsidP="000F4A1C">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c>
          <w:tcPr>
            <w:tcW w:w="0" w:type="auto"/>
            <w:vAlign w:val="center"/>
          </w:tcPr>
          <w:p w14:paraId="05234F2F" w14:textId="440ECA00" w:rsidR="003F79C7" w:rsidRPr="009402D8" w:rsidRDefault="003F79C7" w:rsidP="000F4A1C">
            <w:pPr>
              <w:spacing w:after="0"/>
              <w:jc w:val="center"/>
              <w:rPr>
                <w:rFonts w:asciiTheme="majorHAnsi" w:hAnsiTheme="majorHAnsi" w:cstheme="majorHAnsi"/>
                <w:color w:val="000000"/>
                <w:sz w:val="18"/>
                <w:szCs w:val="18"/>
              </w:rPr>
            </w:pPr>
            <w:r w:rsidRPr="009402D8">
              <w:rPr>
                <w:rFonts w:asciiTheme="majorHAnsi" w:hAnsiTheme="majorHAnsi" w:cstheme="majorHAnsi"/>
                <w:color w:val="000000"/>
                <w:sz w:val="18"/>
                <w:szCs w:val="18"/>
              </w:rPr>
              <w:t>Kostomlaty nad Labem</w:t>
            </w:r>
          </w:p>
        </w:tc>
      </w:tr>
    </w:tbl>
    <w:p w14:paraId="604CE595" w14:textId="27435803" w:rsidR="003F79C7" w:rsidRPr="006070EA" w:rsidRDefault="003F79C7" w:rsidP="003F79C7">
      <w:pPr>
        <w:pStyle w:val="Mra2-reakceern"/>
        <w:spacing w:before="120"/>
        <w:rPr>
          <w:rFonts w:asciiTheme="majorHAnsi" w:hAnsiTheme="majorHAnsi" w:cstheme="majorHAnsi"/>
          <w:color w:val="auto"/>
        </w:rPr>
      </w:pPr>
      <w:r w:rsidRPr="009402D8">
        <w:rPr>
          <w:rFonts w:asciiTheme="majorHAnsi" w:hAnsiTheme="majorHAnsi" w:cstheme="majorHAnsi"/>
          <w:color w:val="auto"/>
        </w:rPr>
        <w:t>Územní plán vytváří podmínky pro naplnění uvedeného úkolu zejména stabilizací ploch ve volné krajině. V k. ú. Kostomlaty nad Labem jde mimo zemědělsky intenzivně využívanou část krajiny stabilizovanou v rámci ploch zemědělských všeobecných (AU) a ekologicky stabilnějších ploch severně od Labe, stabilizovaných jako přírodní všeobecné (NU), lesní všeobecné (LU) a smíšené nezastavěného území – zemědělství extenzivní, přírodní priority, dále zejména vymezením ploch smíšených nezastavěného území – rekreace nepobytová (MU.r), které vytváří souvislý zelený pás bezprostředně obklopující urbanizované území Kostomlat nad Labem, využitelný pro každodenní rekreaci.</w:t>
      </w:r>
    </w:p>
    <w:p w14:paraId="0E81623B" w14:textId="77777777" w:rsidR="00A06407" w:rsidRPr="006070EA" w:rsidRDefault="00A06407" w:rsidP="004C536A">
      <w:pPr>
        <w:pStyle w:val="Odstavecseseznamem"/>
        <w:keepNext/>
        <w:pageBreakBefore/>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71" w:name="_Toc424119800"/>
      <w:bookmarkStart w:id="72" w:name="_Toc204678170"/>
      <w:bookmarkEnd w:id="64"/>
      <w:r w:rsidRPr="006070EA">
        <w:rPr>
          <w:rFonts w:asciiTheme="majorHAnsi" w:hAnsiTheme="majorHAnsi" w:cstheme="majorHAnsi"/>
          <w:b/>
          <w:sz w:val="24"/>
          <w:szCs w:val="28"/>
        </w:rPr>
        <w:lastRenderedPageBreak/>
        <w:t>VÝČET ZÁLEŽITOSTÍ NADMÍSTNÍHO VÝZNAMU, KTERÉ NEJSOU ŘEŠENY V ZÁSADÁCH ÚZEMNÍHO ROZVOJE (§ 43 ODST. 1 STAVEBNÍHO ZÁKONA), S ODŮVODNĚNÍM POTŘEBY JEJICH VYMEZENÍ</w:t>
      </w:r>
      <w:bookmarkEnd w:id="71"/>
      <w:bookmarkEnd w:id="72"/>
    </w:p>
    <w:p w14:paraId="14A22A15" w14:textId="77777777" w:rsidR="00A06407" w:rsidRPr="006070EA" w:rsidRDefault="00A06407" w:rsidP="00F90B15">
      <w:pPr>
        <w:keepNext/>
        <w:spacing w:after="120" w:line="240" w:lineRule="auto"/>
        <w:ind w:firstLine="709"/>
        <w:jc w:val="both"/>
        <w:rPr>
          <w:rFonts w:asciiTheme="majorHAnsi" w:hAnsiTheme="majorHAnsi" w:cstheme="majorHAnsi"/>
          <w:i/>
          <w:sz w:val="18"/>
          <w:szCs w:val="20"/>
        </w:rPr>
      </w:pPr>
      <w:r w:rsidRPr="006070EA">
        <w:rPr>
          <w:rFonts w:asciiTheme="majorHAnsi" w:hAnsiTheme="majorHAnsi" w:cstheme="majorHAnsi"/>
          <w:i/>
          <w:sz w:val="18"/>
          <w:szCs w:val="20"/>
        </w:rPr>
        <w:t xml:space="preserve">Vyhláška </w:t>
      </w:r>
      <w:r w:rsidR="00E45AAE" w:rsidRPr="006070EA">
        <w:rPr>
          <w:rFonts w:asciiTheme="majorHAnsi" w:hAnsiTheme="majorHAnsi" w:cstheme="majorHAnsi"/>
          <w:i/>
          <w:sz w:val="18"/>
          <w:szCs w:val="20"/>
        </w:rPr>
        <w:t xml:space="preserve">č. </w:t>
      </w:r>
      <w:r w:rsidRPr="006070EA">
        <w:rPr>
          <w:rFonts w:asciiTheme="majorHAnsi" w:hAnsiTheme="majorHAnsi" w:cstheme="majorHAnsi"/>
          <w:i/>
          <w:sz w:val="18"/>
          <w:szCs w:val="20"/>
        </w:rPr>
        <w:t>500/2006 Sb., příloha č. 7 část II, odst. 1 c)</w:t>
      </w:r>
    </w:p>
    <w:p w14:paraId="2C352765" w14:textId="77777777" w:rsidR="00A06407" w:rsidRPr="006070EA" w:rsidRDefault="00A06407" w:rsidP="00F90B15">
      <w:pPr>
        <w:keepNext/>
        <w:spacing w:after="120" w:line="240" w:lineRule="auto"/>
        <w:ind w:firstLine="709"/>
        <w:jc w:val="both"/>
        <w:rPr>
          <w:rFonts w:asciiTheme="majorHAnsi" w:hAnsiTheme="majorHAnsi" w:cstheme="majorHAnsi"/>
          <w:b/>
          <w:i/>
          <w:sz w:val="18"/>
          <w:szCs w:val="20"/>
        </w:rPr>
      </w:pPr>
      <w:r w:rsidRPr="006070EA">
        <w:rPr>
          <w:rFonts w:asciiTheme="majorHAnsi" w:hAnsiTheme="majorHAnsi" w:cstheme="majorHAnsi"/>
          <w:b/>
          <w:i/>
          <w:sz w:val="18"/>
          <w:szCs w:val="20"/>
        </w:rPr>
        <w:t>Zpracovává projektant.</w:t>
      </w:r>
    </w:p>
    <w:p w14:paraId="00DA68E5" w14:textId="2D85881E" w:rsidR="001E189B" w:rsidRDefault="001E189B" w:rsidP="00734811">
      <w:pPr>
        <w:ind w:firstLine="709"/>
        <w:jc w:val="both"/>
        <w:rPr>
          <w:rFonts w:asciiTheme="majorHAnsi" w:hAnsiTheme="majorHAnsi" w:cstheme="majorHAnsi"/>
          <w:snapToGrid w:val="0"/>
          <w:sz w:val="18"/>
          <w:szCs w:val="18"/>
        </w:rPr>
      </w:pPr>
      <w:r w:rsidRPr="009402D8">
        <w:rPr>
          <w:rFonts w:asciiTheme="majorHAnsi" w:hAnsiTheme="majorHAnsi" w:cstheme="majorHAnsi"/>
          <w:snapToGrid w:val="0"/>
          <w:sz w:val="18"/>
          <w:szCs w:val="18"/>
        </w:rPr>
        <w:t>Územní plán nevymezuje záležitosti nadmístního významu, které nejsou řešeny v ZÚR Středočeského kraje.</w:t>
      </w:r>
    </w:p>
    <w:p w14:paraId="25CA9A25" w14:textId="77777777" w:rsidR="00A06407" w:rsidRPr="006070EA" w:rsidRDefault="00A06407" w:rsidP="003F79C7">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73" w:name="_Toc424119801"/>
      <w:bookmarkStart w:id="74" w:name="_Toc204678171"/>
      <w:r w:rsidRPr="006070EA">
        <w:rPr>
          <w:rFonts w:asciiTheme="majorHAnsi" w:hAnsiTheme="majorHAnsi" w:cstheme="majorHAnsi"/>
          <w:b/>
          <w:sz w:val="24"/>
          <w:szCs w:val="28"/>
        </w:rPr>
        <w:t>VYHODNOCENÍ SOULADU S CÍLI A ÚKOLY ÚZEMNÍHO PLÁNOVÁNÍ, ZEJMÉNA S POŽADAVKY NA OCHRANU ARCHITEKTONICKÝCH A URBANISTICKÝCH HODNOT V ÚZEMÍ A POŽADAVKY NA OCHRANU NEZASTAVĚNÉHO ÚZEMÍ</w:t>
      </w:r>
      <w:bookmarkEnd w:id="73"/>
      <w:bookmarkEnd w:id="74"/>
    </w:p>
    <w:p w14:paraId="68883C61" w14:textId="77777777" w:rsidR="00A06407" w:rsidRPr="006070EA" w:rsidRDefault="00A06407" w:rsidP="005F01B8">
      <w:pPr>
        <w:keepNext/>
        <w:spacing w:after="120" w:line="240" w:lineRule="auto"/>
        <w:jc w:val="both"/>
        <w:rPr>
          <w:rFonts w:asciiTheme="majorHAnsi" w:hAnsiTheme="majorHAnsi" w:cstheme="majorHAnsi"/>
          <w:i/>
          <w:sz w:val="18"/>
          <w:szCs w:val="20"/>
        </w:rPr>
      </w:pPr>
      <w:r w:rsidRPr="006070EA">
        <w:rPr>
          <w:rFonts w:asciiTheme="majorHAnsi" w:hAnsiTheme="majorHAnsi" w:cstheme="majorHAnsi"/>
          <w:sz w:val="18"/>
          <w:szCs w:val="20"/>
        </w:rPr>
        <w:tab/>
      </w:r>
      <w:r w:rsidRPr="006070EA">
        <w:rPr>
          <w:rFonts w:asciiTheme="majorHAnsi" w:hAnsiTheme="majorHAnsi" w:cstheme="majorHAnsi"/>
          <w:i/>
          <w:sz w:val="18"/>
          <w:szCs w:val="20"/>
        </w:rPr>
        <w:t>Zákon č. 183/2006 Sb., § 53, odst. 4 b)</w:t>
      </w:r>
    </w:p>
    <w:p w14:paraId="4D814541" w14:textId="77777777" w:rsidR="00A06407" w:rsidRPr="006070EA" w:rsidRDefault="00A06407" w:rsidP="005F01B8">
      <w:pPr>
        <w:keepNext/>
        <w:spacing w:after="120" w:line="240" w:lineRule="auto"/>
        <w:jc w:val="both"/>
        <w:rPr>
          <w:rFonts w:asciiTheme="majorHAnsi" w:hAnsiTheme="majorHAnsi" w:cstheme="majorHAnsi"/>
          <w:b/>
          <w:i/>
          <w:sz w:val="18"/>
          <w:szCs w:val="20"/>
        </w:rPr>
      </w:pPr>
      <w:r w:rsidRPr="006070EA">
        <w:rPr>
          <w:rFonts w:asciiTheme="majorHAnsi" w:hAnsiTheme="majorHAnsi" w:cstheme="majorHAnsi"/>
          <w:i/>
          <w:sz w:val="18"/>
          <w:szCs w:val="20"/>
        </w:rPr>
        <w:tab/>
      </w:r>
      <w:r w:rsidRPr="006070EA">
        <w:rPr>
          <w:rFonts w:asciiTheme="majorHAnsi" w:hAnsiTheme="majorHAnsi" w:cstheme="majorHAnsi"/>
          <w:b/>
          <w:i/>
          <w:sz w:val="18"/>
          <w:szCs w:val="20"/>
        </w:rPr>
        <w:t>Zpracovává projektant.</w:t>
      </w:r>
    </w:p>
    <w:p w14:paraId="734ABDA7" w14:textId="509042D7" w:rsidR="0005599F" w:rsidRPr="006070EA" w:rsidRDefault="00A06407" w:rsidP="009E07E1">
      <w:pPr>
        <w:spacing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Soulad s cíli a úkoly územního plánování tak, jak je </w:t>
      </w:r>
      <w:r w:rsidR="0005599F" w:rsidRPr="006070EA">
        <w:rPr>
          <w:rFonts w:asciiTheme="majorHAnsi" w:hAnsiTheme="majorHAnsi" w:cstheme="majorHAnsi"/>
          <w:sz w:val="18"/>
          <w:szCs w:val="20"/>
        </w:rPr>
        <w:t>stanovují § 18 a 19 zákona č. 183/2006 Sb., o</w:t>
      </w:r>
      <w:r w:rsidR="00104F68" w:rsidRPr="006070EA">
        <w:rPr>
          <w:rFonts w:asciiTheme="majorHAnsi" w:hAnsiTheme="majorHAnsi" w:cstheme="majorHAnsi"/>
          <w:sz w:val="18"/>
          <w:szCs w:val="20"/>
        </w:rPr>
        <w:t> </w:t>
      </w:r>
      <w:r w:rsidR="0005599F" w:rsidRPr="006070EA">
        <w:rPr>
          <w:rFonts w:asciiTheme="majorHAnsi" w:hAnsiTheme="majorHAnsi" w:cstheme="majorHAnsi"/>
          <w:sz w:val="18"/>
          <w:szCs w:val="20"/>
        </w:rPr>
        <w:t>územním plánování a stavebním řádu (stavební zákon), ve znění pozdějších předpisů (dále jen „stavební zákon“). Pro ÚP </w:t>
      </w:r>
      <w:r w:rsidR="00327E92" w:rsidRPr="006070EA">
        <w:rPr>
          <w:rFonts w:asciiTheme="majorHAnsi" w:hAnsiTheme="majorHAnsi" w:cstheme="majorHAnsi"/>
          <w:sz w:val="18"/>
          <w:szCs w:val="20"/>
        </w:rPr>
        <w:t>Kostomlaty nad Labem</w:t>
      </w:r>
      <w:r w:rsidR="0005599F" w:rsidRPr="006070EA">
        <w:rPr>
          <w:rFonts w:asciiTheme="majorHAnsi" w:hAnsiTheme="majorHAnsi" w:cstheme="majorHAnsi"/>
          <w:sz w:val="18"/>
          <w:szCs w:val="20"/>
        </w:rPr>
        <w:t xml:space="preserve"> vyplývají zejména následující </w:t>
      </w:r>
      <w:r w:rsidR="00D926CA" w:rsidRPr="006070EA">
        <w:rPr>
          <w:rFonts w:asciiTheme="majorHAnsi" w:hAnsiTheme="majorHAnsi" w:cstheme="majorHAnsi"/>
          <w:sz w:val="18"/>
          <w:szCs w:val="20"/>
        </w:rPr>
        <w:t>cíle a úkoly územního plánování.</w:t>
      </w:r>
    </w:p>
    <w:p w14:paraId="155AB737" w14:textId="77777777" w:rsidR="00D926CA" w:rsidRPr="006070EA" w:rsidRDefault="00FC425E" w:rsidP="0036779E">
      <w:pPr>
        <w:pStyle w:val="Odstavecseseznamem"/>
        <w:numPr>
          <w:ilvl w:val="1"/>
          <w:numId w:val="21"/>
        </w:numPr>
        <w:spacing w:before="160" w:after="120" w:line="240" w:lineRule="auto"/>
        <w:ind w:left="709" w:hanging="709"/>
        <w:contextualSpacing w:val="0"/>
        <w:outlineLvl w:val="1"/>
        <w:rPr>
          <w:rFonts w:asciiTheme="majorHAnsi" w:hAnsiTheme="majorHAnsi" w:cstheme="majorHAnsi"/>
          <w:b/>
          <w:szCs w:val="20"/>
        </w:rPr>
      </w:pPr>
      <w:bookmarkStart w:id="75" w:name="_Toc415755946"/>
      <w:bookmarkStart w:id="76" w:name="_Toc415756312"/>
      <w:bookmarkStart w:id="77" w:name="_Toc415756671"/>
      <w:bookmarkStart w:id="78" w:name="_Toc415756921"/>
      <w:bookmarkStart w:id="79" w:name="_Toc415757171"/>
      <w:bookmarkStart w:id="80" w:name="_Toc415757420"/>
      <w:bookmarkStart w:id="81" w:name="_Toc415757578"/>
      <w:bookmarkStart w:id="82" w:name="_Toc424050104"/>
      <w:bookmarkStart w:id="83" w:name="_Toc424050278"/>
      <w:bookmarkStart w:id="84" w:name="_Toc424050436"/>
      <w:bookmarkStart w:id="85" w:name="_Toc424112298"/>
      <w:bookmarkStart w:id="86" w:name="_Toc424119322"/>
      <w:bookmarkStart w:id="87" w:name="_Toc424119802"/>
      <w:bookmarkStart w:id="88" w:name="_Toc424120058"/>
      <w:bookmarkStart w:id="89" w:name="_Toc424120484"/>
      <w:bookmarkStart w:id="90" w:name="_Toc424126190"/>
      <w:bookmarkStart w:id="91" w:name="_Toc424138771"/>
      <w:bookmarkStart w:id="92" w:name="_Toc445291885"/>
      <w:bookmarkStart w:id="93" w:name="_Toc445910398"/>
      <w:bookmarkStart w:id="94" w:name="_Toc448831877"/>
      <w:bookmarkStart w:id="95" w:name="_Toc448832067"/>
      <w:bookmarkStart w:id="96" w:name="_Toc450037727"/>
      <w:bookmarkStart w:id="97" w:name="_Toc450223021"/>
      <w:bookmarkStart w:id="98" w:name="_Toc424119804"/>
      <w:bookmarkStart w:id="99" w:name="_Toc204678172"/>
      <w:bookmarkEnd w:id="75"/>
      <w:bookmarkEnd w:id="76"/>
      <w:bookmarkEnd w:id="77"/>
      <w:bookmarkEnd w:id="78"/>
      <w:bookmarkEnd w:id="79"/>
      <w:bookmarkEnd w:id="80"/>
      <w:bookmarkEnd w:id="81"/>
      <w:bookmarkEnd w:id="82"/>
      <w:bookmarkEnd w:id="83"/>
      <w:bookmarkEnd w:id="84"/>
      <w:bookmarkEnd w:id="85"/>
      <w:bookmarkEnd w:id="86"/>
      <w:bookmarkEnd w:id="87"/>
      <w:bookmarkEnd w:id="88"/>
      <w:bookmarkEnd w:id="89"/>
      <w:bookmarkEnd w:id="90"/>
      <w:bookmarkEnd w:id="91"/>
      <w:bookmarkEnd w:id="92"/>
      <w:bookmarkEnd w:id="93"/>
      <w:bookmarkEnd w:id="94"/>
      <w:bookmarkEnd w:id="95"/>
      <w:bookmarkEnd w:id="96"/>
      <w:bookmarkEnd w:id="97"/>
      <w:r w:rsidRPr="006070EA">
        <w:rPr>
          <w:rFonts w:asciiTheme="majorHAnsi" w:hAnsiTheme="majorHAnsi" w:cstheme="majorHAnsi"/>
          <w:b/>
          <w:szCs w:val="20"/>
        </w:rPr>
        <w:t>Vyhodnocení s</w:t>
      </w:r>
      <w:r w:rsidR="00D926CA" w:rsidRPr="006070EA">
        <w:rPr>
          <w:rFonts w:asciiTheme="majorHAnsi" w:hAnsiTheme="majorHAnsi" w:cstheme="majorHAnsi"/>
          <w:b/>
          <w:szCs w:val="20"/>
        </w:rPr>
        <w:t>oulad</w:t>
      </w:r>
      <w:r w:rsidRPr="006070EA">
        <w:rPr>
          <w:rFonts w:asciiTheme="majorHAnsi" w:hAnsiTheme="majorHAnsi" w:cstheme="majorHAnsi"/>
          <w:b/>
          <w:szCs w:val="20"/>
        </w:rPr>
        <w:t>u</w:t>
      </w:r>
      <w:r w:rsidR="00D926CA" w:rsidRPr="006070EA">
        <w:rPr>
          <w:rFonts w:asciiTheme="majorHAnsi" w:hAnsiTheme="majorHAnsi" w:cstheme="majorHAnsi"/>
          <w:b/>
          <w:szCs w:val="20"/>
        </w:rPr>
        <w:t xml:space="preserve"> s cíli územního plánování</w:t>
      </w:r>
      <w:bookmarkEnd w:id="98"/>
      <w:bookmarkEnd w:id="99"/>
    </w:p>
    <w:p w14:paraId="3E082AD4" w14:textId="35E08D48" w:rsidR="00327E92" w:rsidRPr="006070EA" w:rsidRDefault="00327E92" w:rsidP="00327E92">
      <w:pPr>
        <w:pStyle w:val="Odstavecseseznamem"/>
        <w:numPr>
          <w:ilvl w:val="0"/>
          <w:numId w:val="5"/>
        </w:numPr>
        <w:spacing w:after="60" w:line="240" w:lineRule="auto"/>
        <w:ind w:left="567" w:hanging="567"/>
        <w:contextualSpacing w:val="0"/>
        <w:jc w:val="both"/>
        <w:rPr>
          <w:rFonts w:asciiTheme="majorHAnsi" w:hAnsiTheme="majorHAnsi" w:cstheme="majorHAnsi"/>
          <w:sz w:val="18"/>
          <w:szCs w:val="20"/>
        </w:rPr>
      </w:pPr>
      <w:r w:rsidRPr="006070EA">
        <w:rPr>
          <w:rFonts w:asciiTheme="majorHAnsi" w:hAnsiTheme="majorHAnsi" w:cstheme="majorHAnsi"/>
          <w:i/>
          <w:sz w:val="18"/>
          <w:szCs w:val="20"/>
        </w:rPr>
        <w:t>Cílem územního plánování je vytvářet předpoklady pro výstavbu a pro udržitelný rozvoj území, spočívající ve vyváženém vztahu podmínek pro příznivé životní prostředí, pro hospodářský rozvoj a pro soudržnost společenství obyvatel území a</w:t>
      </w:r>
      <w:r w:rsidR="00701754" w:rsidRPr="006070EA">
        <w:rPr>
          <w:rFonts w:asciiTheme="majorHAnsi" w:hAnsiTheme="majorHAnsi" w:cstheme="majorHAnsi"/>
          <w:i/>
          <w:sz w:val="18"/>
          <w:szCs w:val="20"/>
        </w:rPr>
        <w:t> </w:t>
      </w:r>
      <w:r w:rsidRPr="006070EA">
        <w:rPr>
          <w:rFonts w:asciiTheme="majorHAnsi" w:hAnsiTheme="majorHAnsi" w:cstheme="majorHAnsi"/>
          <w:i/>
          <w:sz w:val="18"/>
          <w:szCs w:val="20"/>
        </w:rPr>
        <w:t>uspokojující potřeby současné generace, aniž by ohrožoval podmínky života generací budoucích.</w:t>
      </w:r>
    </w:p>
    <w:p w14:paraId="5A5FDFA5" w14:textId="77777777" w:rsidR="00327E92" w:rsidRPr="006070EA" w:rsidRDefault="00327E92" w:rsidP="00327E92">
      <w:pPr>
        <w:pStyle w:val="Mra-Vyjden"/>
        <w:spacing w:before="0"/>
        <w:rPr>
          <w:rFonts w:asciiTheme="majorHAnsi" w:hAnsiTheme="majorHAnsi" w:cstheme="majorHAnsi"/>
          <w:color w:val="auto"/>
        </w:rPr>
      </w:pPr>
      <w:r w:rsidRPr="006070EA">
        <w:rPr>
          <w:rFonts w:asciiTheme="majorHAnsi" w:hAnsiTheme="majorHAnsi" w:cstheme="majorHAnsi"/>
          <w:color w:val="auto"/>
        </w:rPr>
        <w:t>Územní plán vytváří předpoklady pro výstavbu a pro udržitelný rozvoj území bezvýhradným členěním území obce na jednotlivé plochy s rozdílným způsobem využití, stanovením podmínek plošného a prostorového uspořádání a vymezením zastavěného území a zastavitelných ploch. Těmito kroky je rovněž podpořena rovnováha podmínek pro konsolidaci jednotlivých pilířů udržitelného rozvoje území.</w:t>
      </w:r>
    </w:p>
    <w:p w14:paraId="2B13A94A" w14:textId="77777777" w:rsidR="00327E92" w:rsidRPr="006070EA" w:rsidRDefault="00327E92" w:rsidP="00327E92">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 xml:space="preserve">V souladu s principy udržitelného rozvoje je Územním plánem Kostomlaty nad Labem navržen rozvoj, zajišťující efektivní využití stávající veřejné infrastruktury a podporující rozvoj bydlení v obci. Ochrana přírodních a krajinných hodnot je zajištěna jejich respektováním jakožto limitů využití území a vymezením ÚSES. Stanovením podmínek využití ploch v nezastavěném území jsou vytvořeny podmínky pro posilování environmentálního pilíře. </w:t>
      </w:r>
    </w:p>
    <w:p w14:paraId="2C524863" w14:textId="4876A7C2" w:rsidR="00327E92" w:rsidRPr="006070EA" w:rsidRDefault="00327E92" w:rsidP="00327E92">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 xml:space="preserve">Hospodářský rozvoj je podpořen zejména stabilizací stávajících výrobních areálů v rámci ploch s rozdílným způsobem využití </w:t>
      </w:r>
      <w:r w:rsidRPr="006070EA">
        <w:rPr>
          <w:rFonts w:asciiTheme="majorHAnsi" w:hAnsiTheme="majorHAnsi" w:cstheme="majorHAnsi"/>
          <w:i/>
          <w:color w:val="auto"/>
        </w:rPr>
        <w:t xml:space="preserve">výroba zemědělská </w:t>
      </w:r>
      <w:r w:rsidR="00967517" w:rsidRPr="006070EA">
        <w:rPr>
          <w:rFonts w:asciiTheme="majorHAnsi" w:hAnsiTheme="majorHAnsi" w:cstheme="majorHAnsi"/>
          <w:i/>
          <w:color w:val="auto"/>
        </w:rPr>
        <w:t xml:space="preserve">a lesnická </w:t>
      </w:r>
      <w:r w:rsidRPr="006070EA">
        <w:rPr>
          <w:rFonts w:asciiTheme="majorHAnsi" w:hAnsiTheme="majorHAnsi" w:cstheme="majorHAnsi"/>
          <w:color w:val="auto"/>
        </w:rPr>
        <w:t xml:space="preserve">(VZ) a </w:t>
      </w:r>
      <w:r w:rsidRPr="006070EA">
        <w:rPr>
          <w:rFonts w:asciiTheme="majorHAnsi" w:hAnsiTheme="majorHAnsi" w:cstheme="majorHAnsi"/>
          <w:i/>
          <w:iCs/>
          <w:color w:val="auto"/>
        </w:rPr>
        <w:t xml:space="preserve">výroba </w:t>
      </w:r>
      <w:r w:rsidR="00967517" w:rsidRPr="006070EA">
        <w:rPr>
          <w:rFonts w:asciiTheme="majorHAnsi" w:hAnsiTheme="majorHAnsi" w:cstheme="majorHAnsi"/>
          <w:i/>
          <w:iCs/>
          <w:color w:val="auto"/>
        </w:rPr>
        <w:t>lehká</w:t>
      </w:r>
      <w:r w:rsidRPr="006070EA">
        <w:rPr>
          <w:rFonts w:asciiTheme="majorHAnsi" w:hAnsiTheme="majorHAnsi" w:cstheme="majorHAnsi"/>
          <w:i/>
          <w:iCs/>
          <w:color w:val="auto"/>
        </w:rPr>
        <w:t xml:space="preserve"> </w:t>
      </w:r>
      <w:r w:rsidRPr="006070EA">
        <w:rPr>
          <w:rFonts w:asciiTheme="majorHAnsi" w:hAnsiTheme="majorHAnsi" w:cstheme="majorHAnsi"/>
          <w:color w:val="auto"/>
        </w:rPr>
        <w:t>(VL) a vymezením zastavitelné plochy Z</w:t>
      </w:r>
      <w:r w:rsidR="00967517" w:rsidRPr="006070EA">
        <w:rPr>
          <w:rFonts w:asciiTheme="majorHAnsi" w:hAnsiTheme="majorHAnsi" w:cstheme="majorHAnsi"/>
          <w:color w:val="auto"/>
        </w:rPr>
        <w:t>.</w:t>
      </w:r>
      <w:r w:rsidRPr="006070EA">
        <w:rPr>
          <w:rFonts w:asciiTheme="majorHAnsi" w:hAnsiTheme="majorHAnsi" w:cstheme="majorHAnsi"/>
          <w:color w:val="auto"/>
        </w:rPr>
        <w:t xml:space="preserve">13 (VL) pro jejich rozvoj a dále umožněním drobných průmyslových aktivit v dalších plochách s rozdílným způsobem využití (zejm. plochy </w:t>
      </w:r>
      <w:r w:rsidRPr="006070EA">
        <w:rPr>
          <w:rFonts w:asciiTheme="majorHAnsi" w:hAnsiTheme="majorHAnsi" w:cstheme="majorHAnsi"/>
          <w:i/>
          <w:color w:val="auto"/>
        </w:rPr>
        <w:t>smíšené obytné venkovské</w:t>
      </w:r>
      <w:r w:rsidR="00967517" w:rsidRPr="006070EA">
        <w:rPr>
          <w:rFonts w:asciiTheme="majorHAnsi" w:hAnsiTheme="majorHAnsi" w:cstheme="majorHAnsi"/>
          <w:i/>
          <w:color w:val="auto"/>
        </w:rPr>
        <w:t xml:space="preserve"> </w:t>
      </w:r>
      <w:r w:rsidR="00967517" w:rsidRPr="006070EA">
        <w:rPr>
          <w:rFonts w:asciiTheme="majorHAnsi" w:hAnsiTheme="majorHAnsi" w:cstheme="majorHAnsi"/>
          <w:iCs/>
          <w:color w:val="auto"/>
        </w:rPr>
        <w:t>(SV)</w:t>
      </w:r>
      <w:r w:rsidRPr="006070EA">
        <w:rPr>
          <w:rFonts w:asciiTheme="majorHAnsi" w:hAnsiTheme="majorHAnsi" w:cstheme="majorHAnsi"/>
          <w:color w:val="auto"/>
        </w:rPr>
        <w:t xml:space="preserve">, </w:t>
      </w:r>
      <w:r w:rsidR="00967517" w:rsidRPr="006070EA">
        <w:rPr>
          <w:rFonts w:asciiTheme="majorHAnsi" w:hAnsiTheme="majorHAnsi" w:cstheme="majorHAnsi"/>
          <w:i/>
          <w:iCs/>
          <w:color w:val="auto"/>
        </w:rPr>
        <w:t>smíšené obytné</w:t>
      </w:r>
      <w:r w:rsidR="00967517" w:rsidRPr="006070EA">
        <w:rPr>
          <w:rFonts w:asciiTheme="majorHAnsi" w:hAnsiTheme="majorHAnsi" w:cstheme="majorHAnsi"/>
          <w:color w:val="auto"/>
        </w:rPr>
        <w:t xml:space="preserve"> </w:t>
      </w:r>
      <w:r w:rsidRPr="006070EA">
        <w:rPr>
          <w:rFonts w:asciiTheme="majorHAnsi" w:hAnsiTheme="majorHAnsi" w:cstheme="majorHAnsi"/>
          <w:i/>
          <w:iCs/>
          <w:color w:val="auto"/>
        </w:rPr>
        <w:t>městské</w:t>
      </w:r>
      <w:r w:rsidRPr="006070EA">
        <w:rPr>
          <w:rFonts w:asciiTheme="majorHAnsi" w:hAnsiTheme="majorHAnsi" w:cstheme="majorHAnsi"/>
          <w:color w:val="auto"/>
        </w:rPr>
        <w:t xml:space="preserve"> </w:t>
      </w:r>
      <w:r w:rsidR="00967517" w:rsidRPr="006070EA">
        <w:rPr>
          <w:rFonts w:asciiTheme="majorHAnsi" w:hAnsiTheme="majorHAnsi" w:cstheme="majorHAnsi"/>
          <w:color w:val="auto"/>
        </w:rPr>
        <w:t>(</w:t>
      </w:r>
      <w:r w:rsidRPr="006070EA">
        <w:rPr>
          <w:rFonts w:asciiTheme="majorHAnsi" w:hAnsiTheme="majorHAnsi" w:cstheme="majorHAnsi"/>
          <w:color w:val="auto"/>
        </w:rPr>
        <w:t>SM</w:t>
      </w:r>
      <w:r w:rsidR="00967517" w:rsidRPr="006070EA">
        <w:rPr>
          <w:rFonts w:asciiTheme="majorHAnsi" w:hAnsiTheme="majorHAnsi" w:cstheme="majorHAnsi"/>
          <w:color w:val="auto"/>
        </w:rPr>
        <w:t>)</w:t>
      </w:r>
      <w:r w:rsidRPr="006070EA">
        <w:rPr>
          <w:rFonts w:asciiTheme="majorHAnsi" w:hAnsiTheme="majorHAnsi" w:cstheme="majorHAnsi"/>
          <w:color w:val="auto"/>
        </w:rPr>
        <w:t xml:space="preserve"> a </w:t>
      </w:r>
      <w:r w:rsidRPr="006070EA">
        <w:rPr>
          <w:rFonts w:asciiTheme="majorHAnsi" w:hAnsiTheme="majorHAnsi" w:cstheme="majorHAnsi"/>
          <w:i/>
          <w:iCs/>
          <w:color w:val="auto"/>
        </w:rPr>
        <w:t>bydlení</w:t>
      </w:r>
      <w:r w:rsidRPr="006070EA">
        <w:rPr>
          <w:rFonts w:asciiTheme="majorHAnsi" w:hAnsiTheme="majorHAnsi" w:cstheme="majorHAnsi"/>
          <w:color w:val="auto"/>
        </w:rPr>
        <w:t xml:space="preserve"> </w:t>
      </w:r>
      <w:r w:rsidR="00967517" w:rsidRPr="006070EA">
        <w:rPr>
          <w:rFonts w:asciiTheme="majorHAnsi" w:hAnsiTheme="majorHAnsi" w:cstheme="majorHAnsi"/>
          <w:i/>
          <w:iCs/>
          <w:color w:val="auto"/>
        </w:rPr>
        <w:t>hromadné</w:t>
      </w:r>
      <w:r w:rsidR="00967517" w:rsidRPr="006070EA">
        <w:rPr>
          <w:rFonts w:asciiTheme="majorHAnsi" w:hAnsiTheme="majorHAnsi" w:cstheme="majorHAnsi"/>
          <w:color w:val="auto"/>
        </w:rPr>
        <w:t xml:space="preserve"> (</w:t>
      </w:r>
      <w:r w:rsidRPr="006070EA">
        <w:rPr>
          <w:rFonts w:asciiTheme="majorHAnsi" w:hAnsiTheme="majorHAnsi" w:cstheme="majorHAnsi"/>
          <w:color w:val="auto"/>
        </w:rPr>
        <w:t>BH</w:t>
      </w:r>
      <w:r w:rsidR="00967517" w:rsidRPr="006070EA">
        <w:rPr>
          <w:rFonts w:asciiTheme="majorHAnsi" w:hAnsiTheme="majorHAnsi" w:cstheme="majorHAnsi"/>
          <w:color w:val="auto"/>
        </w:rPr>
        <w:t>)</w:t>
      </w:r>
      <w:r w:rsidRPr="006070EA">
        <w:rPr>
          <w:rFonts w:asciiTheme="majorHAnsi" w:hAnsiTheme="majorHAnsi" w:cstheme="majorHAnsi"/>
          <w:color w:val="auto"/>
        </w:rPr>
        <w:t xml:space="preserve"> a</w:t>
      </w:r>
      <w:r w:rsidR="00967517" w:rsidRPr="006070EA">
        <w:rPr>
          <w:rFonts w:asciiTheme="majorHAnsi" w:hAnsiTheme="majorHAnsi" w:cstheme="majorHAnsi"/>
          <w:color w:val="auto"/>
        </w:rPr>
        <w:t xml:space="preserve"> </w:t>
      </w:r>
      <w:r w:rsidR="00967517" w:rsidRPr="006070EA">
        <w:rPr>
          <w:rFonts w:asciiTheme="majorHAnsi" w:hAnsiTheme="majorHAnsi" w:cstheme="majorHAnsi"/>
          <w:i/>
          <w:iCs/>
          <w:color w:val="auto"/>
        </w:rPr>
        <w:t>bydlení individuální</w:t>
      </w:r>
      <w:r w:rsidR="00967517" w:rsidRPr="006070EA">
        <w:rPr>
          <w:rFonts w:asciiTheme="majorHAnsi" w:hAnsiTheme="majorHAnsi" w:cstheme="majorHAnsi"/>
          <w:color w:val="auto"/>
        </w:rPr>
        <w:t xml:space="preserve"> (</w:t>
      </w:r>
      <w:r w:rsidRPr="006070EA">
        <w:rPr>
          <w:rFonts w:asciiTheme="majorHAnsi" w:hAnsiTheme="majorHAnsi" w:cstheme="majorHAnsi"/>
          <w:color w:val="auto"/>
        </w:rPr>
        <w:t>BI). Sociální soudržnost je podpořena dotvářením urbanistické struktury sídla, zachováním historicky vzniklého sídelního centra a vytvořením předpokladů pro zvyšování kvality bydlení a života v obci.</w:t>
      </w:r>
    </w:p>
    <w:p w14:paraId="6BAFC2E6" w14:textId="77777777" w:rsidR="00327E92" w:rsidRPr="006070EA" w:rsidRDefault="00327E92" w:rsidP="00327E92">
      <w:pPr>
        <w:pStyle w:val="Odstavecseseznamem"/>
        <w:keepLines/>
        <w:numPr>
          <w:ilvl w:val="0"/>
          <w:numId w:val="5"/>
        </w:numPr>
        <w:spacing w:before="120" w:after="60" w:line="240" w:lineRule="auto"/>
        <w:ind w:left="567" w:hanging="567"/>
        <w:jc w:val="both"/>
        <w:rPr>
          <w:rFonts w:asciiTheme="majorHAnsi" w:hAnsiTheme="majorHAnsi" w:cstheme="majorHAnsi"/>
          <w:i/>
          <w:sz w:val="18"/>
          <w:szCs w:val="20"/>
        </w:rPr>
      </w:pPr>
      <w:r w:rsidRPr="006070EA">
        <w:rPr>
          <w:rFonts w:asciiTheme="majorHAnsi" w:hAnsiTheme="majorHAnsi" w:cstheme="majorHAnsi"/>
          <w:i/>
          <w:sz w:val="18"/>
          <w:szCs w:val="20"/>
        </w:rPr>
        <w:t>Územní plánování zajišťuje předpoklady pro udržitelný rozvoj území soustavným a komplexním řešením účelného využití a prostorového uspořádání území s cílem dosažení obecně prospěšného souladu veřejných a soukromých zájmů na rozvoji území. Za tím účelem sleduje společenský a hospodářský potenciál rozvoje.</w:t>
      </w:r>
    </w:p>
    <w:p w14:paraId="50D4CF97" w14:textId="77777777" w:rsidR="00327E92" w:rsidRPr="006070EA" w:rsidRDefault="00327E92" w:rsidP="00327E92">
      <w:pPr>
        <w:pStyle w:val="Mra2-reakceern"/>
        <w:ind w:left="720"/>
        <w:rPr>
          <w:rFonts w:asciiTheme="majorHAnsi" w:hAnsiTheme="majorHAnsi" w:cstheme="majorHAnsi"/>
          <w:i/>
          <w:color w:val="auto"/>
        </w:rPr>
      </w:pPr>
      <w:r w:rsidRPr="006070EA">
        <w:rPr>
          <w:rFonts w:asciiTheme="majorHAnsi" w:hAnsiTheme="majorHAnsi" w:cstheme="majorHAnsi"/>
          <w:color w:val="auto"/>
        </w:rPr>
        <w:t xml:space="preserve">V rámci zpracování Návrhu ÚP Kostomlaty nad Labem bylo prověřeno stávající využití řešeného území a jeho prostorové uspořádání, vyhodnoceno dosavadní naplňování rozvojových předpokladů stanovených v platné ÚPD Kostomlaty nad Labem a vyhodnocena potřeba vymezení zastavitelných ploch jako základní východisko pro stanovení potřeby plošného rozvoje zástavby obce v rámci ÚP Kostomlaty nad Labem. Tato vyhodnocení jsou uvedena v kapitole </w:t>
      </w:r>
      <w:r w:rsidRPr="006070EA">
        <w:rPr>
          <w:rFonts w:asciiTheme="majorHAnsi" w:hAnsiTheme="majorHAnsi" w:cstheme="majorHAnsi"/>
          <w:i/>
          <w:color w:val="auto"/>
        </w:rPr>
        <w:t>10 Vyhodnocení účelného využití zastavěného území a vyhodnocení potřeby vymezení zastavitelných ploch.</w:t>
      </w:r>
    </w:p>
    <w:p w14:paraId="0F2CAC33" w14:textId="77777777" w:rsidR="00327E92" w:rsidRPr="006070EA" w:rsidRDefault="00327E92" w:rsidP="00327E92">
      <w:pPr>
        <w:pStyle w:val="Mra2-reakceern"/>
        <w:ind w:left="720" w:firstLine="698"/>
        <w:rPr>
          <w:rFonts w:asciiTheme="majorHAnsi" w:hAnsiTheme="majorHAnsi" w:cstheme="majorHAnsi"/>
          <w:color w:val="auto"/>
        </w:rPr>
      </w:pPr>
      <w:r w:rsidRPr="006070EA">
        <w:rPr>
          <w:rFonts w:asciiTheme="majorHAnsi" w:hAnsiTheme="majorHAnsi" w:cstheme="majorHAnsi"/>
          <w:color w:val="auto"/>
        </w:rPr>
        <w:t xml:space="preserve">Územní plán dosahuje souladu s daným cílem respektováním obsahového rámce a metodického postupu prací stanovených příslušnou legislativou (včetně souvisejících judikátů) na úseku územního plánování, která se promítá nejen do všech fází zpracování samotného ÚP, ale rovněž do souvisejících dokumentů s přímým vlivem na ÚP. Obecně prospěšného souladu širokého spektra zájmů na rozvoji území dojde koordinací stanovisek dotčených orgánů s námitkami a připomínkami zainteresovaných soukromých i veřejných subjektů a následnou závěrečnou dohodou všech účastníků procesu pořizování územního plánu (projektanta, pořizovatele, samosprávy, dotčených orgánů, veřejnosti atd.). </w:t>
      </w:r>
    </w:p>
    <w:p w14:paraId="3FD6D9EC" w14:textId="77777777" w:rsidR="00327E92" w:rsidRPr="006070EA" w:rsidRDefault="00327E92" w:rsidP="00327E92">
      <w:pPr>
        <w:pStyle w:val="Odstavecseseznamem"/>
        <w:numPr>
          <w:ilvl w:val="0"/>
          <w:numId w:val="5"/>
        </w:numPr>
        <w:spacing w:before="120" w:after="60" w:line="240" w:lineRule="auto"/>
        <w:ind w:left="567" w:hanging="567"/>
        <w:jc w:val="both"/>
        <w:rPr>
          <w:rFonts w:asciiTheme="majorHAnsi" w:hAnsiTheme="majorHAnsi" w:cstheme="majorHAnsi"/>
          <w:i/>
          <w:sz w:val="18"/>
          <w:szCs w:val="20"/>
        </w:rPr>
      </w:pPr>
      <w:r w:rsidRPr="006070EA">
        <w:rPr>
          <w:rFonts w:asciiTheme="majorHAnsi" w:hAnsiTheme="majorHAnsi" w:cstheme="majorHAnsi"/>
          <w:i/>
          <w:sz w:val="18"/>
          <w:szCs w:val="20"/>
        </w:rPr>
        <w:t>Orgány územního plánování postupem podle tohoto zákona koordinují veřejné i soukromé záměry změn v území, výstavbu a jiné činnosti ovlivňující rozvoj území a konkretizují ochranu veřejných zájmů vyplývajících ze zvláštních právních předpisů.</w:t>
      </w:r>
    </w:p>
    <w:p w14:paraId="307311D2" w14:textId="77777777" w:rsidR="00327E92" w:rsidRPr="006070EA" w:rsidRDefault="00327E92" w:rsidP="00327E92">
      <w:pPr>
        <w:pStyle w:val="Mra2-reakceern"/>
        <w:ind w:left="720"/>
        <w:rPr>
          <w:rFonts w:asciiTheme="majorHAnsi" w:hAnsiTheme="majorHAnsi" w:cstheme="majorHAnsi"/>
          <w:i/>
          <w:color w:val="auto"/>
        </w:rPr>
      </w:pPr>
      <w:r w:rsidRPr="006070EA">
        <w:rPr>
          <w:rFonts w:asciiTheme="majorHAnsi" w:hAnsiTheme="majorHAnsi" w:cstheme="majorHAnsi"/>
          <w:color w:val="auto"/>
        </w:rPr>
        <w:t xml:space="preserve">Požadavek se týká účasti orgánů územního plánování v procesu pořízení Územního plánu Kostomlaty nad Labem. Vyhodnocení souladu bude doplněno na základě projednání Návrhu ÚP Kostomlaty nad Labem v kapitole </w:t>
      </w:r>
      <w:r w:rsidRPr="006070EA">
        <w:rPr>
          <w:rFonts w:asciiTheme="majorHAnsi" w:hAnsiTheme="majorHAnsi" w:cstheme="majorHAnsi"/>
          <w:i/>
          <w:color w:val="auto"/>
        </w:rPr>
        <w:lastRenderedPageBreak/>
        <w:t xml:space="preserve">7 Vyhodnocení souladu s požadavky zvláštních právních předpisů a se stanovisky dotčených orgánů podle zvláštních právních předpisů, popřípadě s výsledkem řešení rozporů. </w:t>
      </w:r>
    </w:p>
    <w:p w14:paraId="497F6C05" w14:textId="77777777" w:rsidR="00327E92" w:rsidRPr="006070EA" w:rsidRDefault="00327E92" w:rsidP="00327E92">
      <w:pPr>
        <w:pStyle w:val="Zkladntext2"/>
        <w:numPr>
          <w:ilvl w:val="0"/>
          <w:numId w:val="6"/>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Územní plánování ve veřejném zájmu chrání a rozvíjí přírodní, kulturní a civilizační hodnoty území, včetně urbanistického, architektonického a archeologického dědictví. Přitom chrání krajinu jako podstatnou složku prostředí života obyvatel a základ jejich totožnosti. S ohledem na to určuje podmínky pro hospodárné využívání zastavěného území a zajišťuje ochranu nezastavěného území a nezastavitelných pozemků. Zastavitelné plochy se vymezují s ohledem na potenciál rozvoje území a míru využití zastavěného území.</w:t>
      </w:r>
    </w:p>
    <w:p w14:paraId="385FE7A4" w14:textId="77777777" w:rsidR="00327E92" w:rsidRPr="006070EA" w:rsidRDefault="00327E92" w:rsidP="00327E92">
      <w:pPr>
        <w:pStyle w:val="Mra2-reakceern"/>
        <w:ind w:left="720"/>
        <w:rPr>
          <w:rFonts w:asciiTheme="majorHAnsi" w:hAnsiTheme="majorHAnsi" w:cstheme="majorHAnsi"/>
          <w:color w:val="auto"/>
        </w:rPr>
      </w:pPr>
      <w:r w:rsidRPr="006070EA">
        <w:rPr>
          <w:rFonts w:asciiTheme="majorHAnsi" w:hAnsiTheme="majorHAnsi" w:cstheme="majorHAnsi"/>
          <w:color w:val="auto"/>
        </w:rPr>
        <w:t xml:space="preserve">Územní plán stanovuje koncepci ochrany a rozvoje kulturních, přírodních i civilizačních hodnot území formou závazných požadavků. Urbanistické a architektonické dědictví na území města je chráněno v rámci stanovení požadavků na ochranu kulturních hodnot. </w:t>
      </w:r>
    </w:p>
    <w:p w14:paraId="524640AA" w14:textId="77777777" w:rsidR="00327E92" w:rsidRPr="006070EA" w:rsidRDefault="00327E92" w:rsidP="00327E92">
      <w:pPr>
        <w:pStyle w:val="Mra2-reakceern"/>
        <w:ind w:left="720" w:firstLine="698"/>
        <w:rPr>
          <w:rFonts w:asciiTheme="majorHAnsi" w:hAnsiTheme="majorHAnsi" w:cstheme="majorHAnsi"/>
          <w:color w:val="auto"/>
        </w:rPr>
      </w:pPr>
      <w:r w:rsidRPr="006070EA">
        <w:rPr>
          <w:rFonts w:asciiTheme="majorHAnsi" w:hAnsiTheme="majorHAnsi" w:cstheme="majorHAnsi"/>
          <w:color w:val="auto"/>
        </w:rPr>
        <w:t xml:space="preserve">Základním členěním řešeného území na zastavěné území, zastavitelné plochy a nezastavěné území je stimulováno přednostní využívání již urbanizovaných ploch a ploch v přímém kontaktu s městem, a vytvořeny jsou podmínky pro ochranu krajiny. </w:t>
      </w:r>
    </w:p>
    <w:p w14:paraId="6C2B9B89" w14:textId="77777777" w:rsidR="00327E92" w:rsidRPr="006070EA" w:rsidRDefault="00327E92" w:rsidP="00327E92">
      <w:pPr>
        <w:pStyle w:val="Mra2-reakceern"/>
        <w:ind w:left="720" w:firstLine="698"/>
        <w:rPr>
          <w:rFonts w:asciiTheme="majorHAnsi" w:hAnsiTheme="majorHAnsi" w:cstheme="majorHAnsi"/>
          <w:color w:val="auto"/>
        </w:rPr>
      </w:pPr>
      <w:r w:rsidRPr="006070EA">
        <w:rPr>
          <w:rFonts w:asciiTheme="majorHAnsi" w:hAnsiTheme="majorHAnsi" w:cstheme="majorHAnsi"/>
          <w:color w:val="auto"/>
        </w:rPr>
        <w:t xml:space="preserve">Hospodárné, dlouhodobě udržitelné využívání veškerých ploch s rozdílným způsobem využití je zajištěno stanovením podmínek plošného a prostorového uspořádání. Zastavitelné plochy jsou vymezeny na základě potenciálu rozvoje, vyhodnocení jejich potřeby je součástí Odůvodnění ÚP v kapitole </w:t>
      </w:r>
      <w:r w:rsidRPr="006070EA">
        <w:rPr>
          <w:rFonts w:asciiTheme="majorHAnsi" w:hAnsiTheme="majorHAnsi" w:cstheme="majorHAnsi"/>
          <w:i/>
          <w:color w:val="auto"/>
        </w:rPr>
        <w:t>10 Vyhodnocení účelného využití zastavěného území a vyhodnocení potřeby vymezení zastavitelných ploch</w:t>
      </w:r>
      <w:r w:rsidRPr="006070EA">
        <w:rPr>
          <w:rFonts w:asciiTheme="majorHAnsi" w:hAnsiTheme="majorHAnsi" w:cstheme="majorHAnsi"/>
          <w:color w:val="auto"/>
        </w:rPr>
        <w:t>.</w:t>
      </w:r>
    </w:p>
    <w:p w14:paraId="5FFAD88B" w14:textId="77777777" w:rsidR="00327E92" w:rsidRPr="006070EA" w:rsidRDefault="00327E92" w:rsidP="00327E92">
      <w:pPr>
        <w:pStyle w:val="Zkladntext2"/>
        <w:numPr>
          <w:ilvl w:val="0"/>
          <w:numId w:val="6"/>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V nezastavěném území lze v souladu s jeho charakterem umisťovat stavby, zařízení, a jiná opatření pouze pro zemědělství, lesnictví, vodní hospodářství, těžbu nerostů, pro ochranu přírody a krajiny, pro veřejnou dopravní a technickou infrastrukturu, pro snižování nebezpečí ekologických a přírodních katastrof a pro odstraňování jejich důsledků, a dále taková technická opatření a stavby, které zlepší podmínky jeho využití pro účely rekreace a cestovního ruchu, například cyklistické stezky, hygienická zařízení, ekologická a informační centra. Uvedené stavby, zařízení a jiná opatření včetně staveb, které s nimi bezprostředně souvisejí včetně oplocení, lze v nezastavěném území umisťovat v případech, pokud je územně plánovací dokumentace výslovně nevylučuje.</w:t>
      </w:r>
    </w:p>
    <w:p w14:paraId="35523D6A" w14:textId="49F30C6E" w:rsidR="00327E92" w:rsidRPr="006070EA" w:rsidRDefault="00327E92" w:rsidP="00327E92">
      <w:pPr>
        <w:pStyle w:val="Mra2-reakceern"/>
        <w:ind w:left="720"/>
        <w:rPr>
          <w:rFonts w:asciiTheme="majorHAnsi" w:hAnsiTheme="majorHAnsi" w:cstheme="majorHAnsi"/>
          <w:color w:val="auto"/>
        </w:rPr>
      </w:pPr>
      <w:r w:rsidRPr="006070EA">
        <w:rPr>
          <w:rFonts w:asciiTheme="majorHAnsi" w:hAnsiTheme="majorHAnsi" w:cstheme="majorHAnsi"/>
          <w:color w:val="auto"/>
        </w:rPr>
        <w:t>V rámci koncepce uspořádání krajiny člení územní plán nezastavěné území na plochy vodní a vodohospodářské</w:t>
      </w:r>
      <w:r w:rsidR="00967517" w:rsidRPr="006070EA">
        <w:rPr>
          <w:rFonts w:asciiTheme="majorHAnsi" w:hAnsiTheme="majorHAnsi" w:cstheme="majorHAnsi"/>
          <w:color w:val="auto"/>
        </w:rPr>
        <w:t xml:space="preserve"> všeobecné</w:t>
      </w:r>
      <w:r w:rsidRPr="006070EA">
        <w:rPr>
          <w:rFonts w:asciiTheme="majorHAnsi" w:hAnsiTheme="majorHAnsi" w:cstheme="majorHAnsi"/>
          <w:color w:val="auto"/>
        </w:rPr>
        <w:t xml:space="preserve"> (W</w:t>
      </w:r>
      <w:r w:rsidR="00967517" w:rsidRPr="006070EA">
        <w:rPr>
          <w:rFonts w:asciiTheme="majorHAnsi" w:hAnsiTheme="majorHAnsi" w:cstheme="majorHAnsi"/>
          <w:color w:val="auto"/>
        </w:rPr>
        <w:t>U</w:t>
      </w:r>
      <w:r w:rsidRPr="006070EA">
        <w:rPr>
          <w:rFonts w:asciiTheme="majorHAnsi" w:hAnsiTheme="majorHAnsi" w:cstheme="majorHAnsi"/>
          <w:color w:val="auto"/>
        </w:rPr>
        <w:t xml:space="preserve">), zemědělské </w:t>
      </w:r>
      <w:r w:rsidR="00967517" w:rsidRPr="006070EA">
        <w:rPr>
          <w:rFonts w:asciiTheme="majorHAnsi" w:hAnsiTheme="majorHAnsi" w:cstheme="majorHAnsi"/>
          <w:color w:val="auto"/>
        </w:rPr>
        <w:t xml:space="preserve">všeobecné </w:t>
      </w:r>
      <w:r w:rsidRPr="006070EA">
        <w:rPr>
          <w:rFonts w:asciiTheme="majorHAnsi" w:hAnsiTheme="majorHAnsi" w:cstheme="majorHAnsi"/>
          <w:color w:val="auto"/>
        </w:rPr>
        <w:t>(</w:t>
      </w:r>
      <w:r w:rsidR="00967517" w:rsidRPr="006070EA">
        <w:rPr>
          <w:rFonts w:asciiTheme="majorHAnsi" w:hAnsiTheme="majorHAnsi" w:cstheme="majorHAnsi"/>
          <w:color w:val="auto"/>
        </w:rPr>
        <w:t>AU</w:t>
      </w:r>
      <w:r w:rsidRPr="006070EA">
        <w:rPr>
          <w:rFonts w:asciiTheme="majorHAnsi" w:hAnsiTheme="majorHAnsi" w:cstheme="majorHAnsi"/>
          <w:color w:val="auto"/>
        </w:rPr>
        <w:t>), lesní</w:t>
      </w:r>
      <w:r w:rsidR="00967517" w:rsidRPr="006070EA">
        <w:rPr>
          <w:rFonts w:asciiTheme="majorHAnsi" w:hAnsiTheme="majorHAnsi" w:cstheme="majorHAnsi"/>
          <w:color w:val="auto"/>
        </w:rPr>
        <w:t xml:space="preserve"> všeobecné</w:t>
      </w:r>
      <w:r w:rsidRPr="006070EA">
        <w:rPr>
          <w:rFonts w:asciiTheme="majorHAnsi" w:hAnsiTheme="majorHAnsi" w:cstheme="majorHAnsi"/>
          <w:color w:val="auto"/>
        </w:rPr>
        <w:t xml:space="preserve"> (L</w:t>
      </w:r>
      <w:r w:rsidR="00967517" w:rsidRPr="006070EA">
        <w:rPr>
          <w:rFonts w:asciiTheme="majorHAnsi" w:hAnsiTheme="majorHAnsi" w:cstheme="majorHAnsi"/>
          <w:color w:val="auto"/>
        </w:rPr>
        <w:t>U</w:t>
      </w:r>
      <w:r w:rsidRPr="006070EA">
        <w:rPr>
          <w:rFonts w:asciiTheme="majorHAnsi" w:hAnsiTheme="majorHAnsi" w:cstheme="majorHAnsi"/>
          <w:color w:val="auto"/>
        </w:rPr>
        <w:t xml:space="preserve">), přírodní </w:t>
      </w:r>
      <w:r w:rsidR="00967517" w:rsidRPr="006070EA">
        <w:rPr>
          <w:rFonts w:asciiTheme="majorHAnsi" w:hAnsiTheme="majorHAnsi" w:cstheme="majorHAnsi"/>
          <w:color w:val="auto"/>
        </w:rPr>
        <w:t xml:space="preserve">všeobecné </w:t>
      </w:r>
      <w:r w:rsidRPr="006070EA">
        <w:rPr>
          <w:rFonts w:asciiTheme="majorHAnsi" w:hAnsiTheme="majorHAnsi" w:cstheme="majorHAnsi"/>
          <w:color w:val="auto"/>
        </w:rPr>
        <w:t>(N</w:t>
      </w:r>
      <w:r w:rsidR="00967517" w:rsidRPr="006070EA">
        <w:rPr>
          <w:rFonts w:asciiTheme="majorHAnsi" w:hAnsiTheme="majorHAnsi" w:cstheme="majorHAnsi"/>
          <w:color w:val="auto"/>
        </w:rPr>
        <w:t>U</w:t>
      </w:r>
      <w:r w:rsidRPr="006070EA">
        <w:rPr>
          <w:rFonts w:asciiTheme="majorHAnsi" w:hAnsiTheme="majorHAnsi" w:cstheme="majorHAnsi"/>
          <w:color w:val="auto"/>
        </w:rPr>
        <w:t>) a smíšené nezastavěného území (</w:t>
      </w:r>
      <w:proofErr w:type="gramStart"/>
      <w:r w:rsidR="00967517" w:rsidRPr="006070EA">
        <w:rPr>
          <w:rFonts w:asciiTheme="majorHAnsi" w:hAnsiTheme="majorHAnsi" w:cstheme="majorHAnsi"/>
          <w:color w:val="auto"/>
        </w:rPr>
        <w:t>MU.zp</w:t>
      </w:r>
      <w:proofErr w:type="gramEnd"/>
      <w:r w:rsidRPr="006070EA">
        <w:rPr>
          <w:rFonts w:asciiTheme="majorHAnsi" w:hAnsiTheme="majorHAnsi" w:cstheme="majorHAnsi"/>
          <w:color w:val="auto"/>
        </w:rPr>
        <w:t xml:space="preserve">, </w:t>
      </w:r>
      <w:proofErr w:type="gramStart"/>
      <w:r w:rsidR="00967517" w:rsidRPr="006070EA">
        <w:rPr>
          <w:rFonts w:asciiTheme="majorHAnsi" w:hAnsiTheme="majorHAnsi" w:cstheme="majorHAnsi"/>
          <w:color w:val="auto"/>
        </w:rPr>
        <w:t>MU.r</w:t>
      </w:r>
      <w:proofErr w:type="gramEnd"/>
      <w:r w:rsidRPr="006070EA">
        <w:rPr>
          <w:rFonts w:asciiTheme="majorHAnsi" w:hAnsiTheme="majorHAnsi" w:cstheme="majorHAnsi"/>
          <w:color w:val="auto"/>
        </w:rPr>
        <w:t xml:space="preserve">, </w:t>
      </w:r>
      <w:proofErr w:type="gramStart"/>
      <w:r w:rsidR="00967517" w:rsidRPr="006070EA">
        <w:rPr>
          <w:rFonts w:asciiTheme="majorHAnsi" w:hAnsiTheme="majorHAnsi" w:cstheme="majorHAnsi"/>
          <w:color w:val="auto"/>
        </w:rPr>
        <w:t>MU.s</w:t>
      </w:r>
      <w:proofErr w:type="gramEnd"/>
      <w:r w:rsidRPr="006070EA">
        <w:rPr>
          <w:rFonts w:asciiTheme="majorHAnsi" w:hAnsiTheme="majorHAnsi" w:cstheme="majorHAnsi"/>
          <w:color w:val="auto"/>
        </w:rPr>
        <w:t xml:space="preserve">) a stanovuje podmínky pro jejich využití. V řešeném území obce Kostomlaty nad Labem byly prověřeny požadavky na ochranu přírodních a krajinných hodnot, vyhodnocen charakter území a potenciály rozvoje a využívání nezastavěného území pro účely uvedené v § 18 odst. 5 stavebního zákona. V rámci stanovení podmínek využití ploch s rozdílným způsobem využití jsou v plochách nezastavěného území umožněny, podmíněně umožněny nebo zcela vyloučeny stavby, zařízení a jiná opatření dle uvedeného odstavce, v zájmu ochrany nezastavěného území před neuváženými a neodůvodněnými stavebními zásahy. </w:t>
      </w:r>
    </w:p>
    <w:p w14:paraId="2F0ADB15" w14:textId="77777777" w:rsidR="00327E92" w:rsidRPr="006070EA" w:rsidRDefault="00327E92" w:rsidP="00327E92">
      <w:pPr>
        <w:pStyle w:val="Zkladntext2"/>
        <w:numPr>
          <w:ilvl w:val="0"/>
          <w:numId w:val="6"/>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Na nezastavitelných pozemcích lze výjimečně umístit technickou infrastrukturu způsobem, který neznemožní jejich dosavadní užívání.</w:t>
      </w:r>
    </w:p>
    <w:p w14:paraId="0B93BEB7" w14:textId="4E838AB9" w:rsidR="00327E92" w:rsidRPr="006070EA" w:rsidRDefault="00327E92" w:rsidP="00327E92">
      <w:pPr>
        <w:pStyle w:val="Mra2-reakceern"/>
        <w:ind w:left="720"/>
        <w:rPr>
          <w:rFonts w:asciiTheme="majorHAnsi" w:hAnsiTheme="majorHAnsi" w:cstheme="majorHAnsi"/>
          <w:color w:val="auto"/>
        </w:rPr>
      </w:pPr>
      <w:r w:rsidRPr="006070EA">
        <w:rPr>
          <w:rFonts w:asciiTheme="majorHAnsi" w:hAnsiTheme="majorHAnsi" w:cstheme="majorHAnsi"/>
          <w:color w:val="auto"/>
        </w:rPr>
        <w:t>V souladu s § 2 odst. (1) písm. e) stavebního zákona jsou jako nezastavitelné definovány pozemky, jež nelze zastavět na území obce, která nemá vydaný územní plán. Požadavek se netýká procesu pořizování územního plánu.</w:t>
      </w:r>
    </w:p>
    <w:p w14:paraId="3FBE1AE0" w14:textId="77777777" w:rsidR="005827F9" w:rsidRPr="006070EA" w:rsidRDefault="00FC425E" w:rsidP="0036779E">
      <w:pPr>
        <w:pStyle w:val="Odstavecseseznamem"/>
        <w:keepNext/>
        <w:numPr>
          <w:ilvl w:val="1"/>
          <w:numId w:val="21"/>
        </w:numPr>
        <w:spacing w:before="160" w:after="120" w:line="240" w:lineRule="auto"/>
        <w:ind w:left="709" w:hanging="709"/>
        <w:contextualSpacing w:val="0"/>
        <w:outlineLvl w:val="1"/>
        <w:rPr>
          <w:rFonts w:asciiTheme="majorHAnsi" w:hAnsiTheme="majorHAnsi" w:cstheme="majorHAnsi"/>
          <w:b/>
          <w:szCs w:val="20"/>
        </w:rPr>
      </w:pPr>
      <w:bookmarkStart w:id="100" w:name="_Toc424119805"/>
      <w:bookmarkStart w:id="101" w:name="_Toc204678173"/>
      <w:r w:rsidRPr="006070EA">
        <w:rPr>
          <w:rFonts w:asciiTheme="majorHAnsi" w:hAnsiTheme="majorHAnsi" w:cstheme="majorHAnsi"/>
          <w:b/>
          <w:szCs w:val="20"/>
        </w:rPr>
        <w:t>Vyhodnocení s</w:t>
      </w:r>
      <w:r w:rsidR="005827F9" w:rsidRPr="006070EA">
        <w:rPr>
          <w:rFonts w:asciiTheme="majorHAnsi" w:hAnsiTheme="majorHAnsi" w:cstheme="majorHAnsi"/>
          <w:b/>
          <w:szCs w:val="20"/>
        </w:rPr>
        <w:t>oulad</w:t>
      </w:r>
      <w:r w:rsidRPr="006070EA">
        <w:rPr>
          <w:rFonts w:asciiTheme="majorHAnsi" w:hAnsiTheme="majorHAnsi" w:cstheme="majorHAnsi"/>
          <w:b/>
          <w:szCs w:val="20"/>
        </w:rPr>
        <w:t>u</w:t>
      </w:r>
      <w:r w:rsidR="005827F9" w:rsidRPr="006070EA">
        <w:rPr>
          <w:rFonts w:asciiTheme="majorHAnsi" w:hAnsiTheme="majorHAnsi" w:cstheme="majorHAnsi"/>
          <w:b/>
          <w:szCs w:val="20"/>
        </w:rPr>
        <w:t xml:space="preserve"> s úkoly územního plánování</w:t>
      </w:r>
      <w:bookmarkEnd w:id="100"/>
      <w:bookmarkEnd w:id="101"/>
    </w:p>
    <w:p w14:paraId="7B19DF75" w14:textId="77777777" w:rsidR="005827F9" w:rsidRPr="006070EA" w:rsidRDefault="005827F9" w:rsidP="00E25586">
      <w:pPr>
        <w:pStyle w:val="Zkladntext2"/>
        <w:keepNext/>
        <w:spacing w:line="240" w:lineRule="auto"/>
        <w:ind w:left="567" w:hanging="567"/>
        <w:rPr>
          <w:rFonts w:asciiTheme="majorHAnsi" w:hAnsiTheme="majorHAnsi" w:cstheme="majorHAnsi"/>
          <w:b/>
          <w:bCs/>
          <w:sz w:val="18"/>
          <w:szCs w:val="18"/>
        </w:rPr>
      </w:pPr>
      <w:r w:rsidRPr="006070EA">
        <w:rPr>
          <w:rFonts w:asciiTheme="majorHAnsi" w:hAnsiTheme="majorHAnsi" w:cstheme="majorHAnsi"/>
          <w:b/>
          <w:bCs/>
          <w:iCs/>
          <w:sz w:val="18"/>
          <w:szCs w:val="18"/>
        </w:rPr>
        <w:t>(1</w:t>
      </w:r>
      <w:r w:rsidRPr="006070EA">
        <w:rPr>
          <w:rFonts w:asciiTheme="majorHAnsi" w:hAnsiTheme="majorHAnsi" w:cstheme="majorHAnsi"/>
          <w:b/>
          <w:bCs/>
          <w:sz w:val="18"/>
          <w:szCs w:val="18"/>
        </w:rPr>
        <w:t>)</w:t>
      </w:r>
      <w:r w:rsidRPr="006070EA">
        <w:rPr>
          <w:rFonts w:asciiTheme="majorHAnsi" w:hAnsiTheme="majorHAnsi" w:cstheme="majorHAnsi"/>
          <w:b/>
          <w:bCs/>
          <w:sz w:val="18"/>
          <w:szCs w:val="18"/>
        </w:rPr>
        <w:tab/>
      </w:r>
      <w:r w:rsidR="00D814A9" w:rsidRPr="006070EA">
        <w:rPr>
          <w:rFonts w:asciiTheme="majorHAnsi" w:hAnsiTheme="majorHAnsi" w:cstheme="majorHAnsi"/>
          <w:b/>
          <w:bCs/>
          <w:sz w:val="18"/>
          <w:szCs w:val="18"/>
        </w:rPr>
        <w:tab/>
      </w:r>
      <w:r w:rsidRPr="006070EA">
        <w:rPr>
          <w:rFonts w:asciiTheme="majorHAnsi" w:hAnsiTheme="majorHAnsi" w:cstheme="majorHAnsi"/>
          <w:b/>
          <w:bCs/>
          <w:sz w:val="18"/>
          <w:szCs w:val="18"/>
        </w:rPr>
        <w:t>Úkolem územního plánování je zejména:</w:t>
      </w:r>
    </w:p>
    <w:p w14:paraId="72F87092" w14:textId="77777777" w:rsidR="00327E92" w:rsidRPr="006070EA" w:rsidRDefault="00327E92" w:rsidP="00327E92">
      <w:pPr>
        <w:pStyle w:val="Zkladntext2"/>
        <w:numPr>
          <w:ilvl w:val="0"/>
          <w:numId w:val="7"/>
        </w:numPr>
        <w:spacing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zjišťovat a posuzovat stav území, jeho přírodní, kulturní a civilizační hodnoty,</w:t>
      </w:r>
    </w:p>
    <w:p w14:paraId="400380AF" w14:textId="4B0EBB29"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V rámci přípravných prací na územním plánu byly podrobně analyzovány veškeré dostupné podklady a informace o území. Zásadním podkladem (zdrojem) pro zjištění a posouzení stavu území byly územně analytické podklady ORP Nymburk, zahrnující podrobně a kvalifikovaně zpracovaný rozbor udržitelného rozvoje území. Přírodní, kulturní a</w:t>
      </w:r>
      <w:r w:rsidR="00967517" w:rsidRPr="006070EA">
        <w:rPr>
          <w:rFonts w:asciiTheme="majorHAnsi" w:hAnsiTheme="majorHAnsi" w:cstheme="majorHAnsi"/>
          <w:color w:val="auto"/>
        </w:rPr>
        <w:t> </w:t>
      </w:r>
      <w:r w:rsidRPr="006070EA">
        <w:rPr>
          <w:rFonts w:asciiTheme="majorHAnsi" w:hAnsiTheme="majorHAnsi" w:cstheme="majorHAnsi"/>
          <w:color w:val="auto"/>
        </w:rPr>
        <w:t>civilizační hodnoty území byly identifikovány a potvrzeny na základě vlastního průzkumu projektanta, konzultací s představiteli obce a studiem relevantních podkladů.</w:t>
      </w:r>
    </w:p>
    <w:p w14:paraId="616C85ED" w14:textId="77777777" w:rsidR="00327E92" w:rsidRPr="006070EA" w:rsidRDefault="00327E92" w:rsidP="00327E92">
      <w:pPr>
        <w:pStyle w:val="Zkladntext2"/>
        <w:keepNext/>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stanovovat koncepci rozvoje území, včetně urbanistické koncepce s ohledem na hodnoty a podmínky území,</w:t>
      </w:r>
    </w:p>
    <w:p w14:paraId="1B5AB276" w14:textId="77777777" w:rsidR="00327E92" w:rsidRPr="006070EA" w:rsidRDefault="00327E92" w:rsidP="00327E92">
      <w:pPr>
        <w:pStyle w:val="Mra2-reakceern"/>
        <w:keepLines/>
        <w:rPr>
          <w:rFonts w:asciiTheme="majorHAnsi" w:hAnsiTheme="majorHAnsi" w:cstheme="majorHAnsi"/>
          <w:color w:val="auto"/>
        </w:rPr>
      </w:pPr>
      <w:r w:rsidRPr="006070EA">
        <w:rPr>
          <w:rFonts w:asciiTheme="majorHAnsi" w:hAnsiTheme="majorHAnsi" w:cstheme="majorHAnsi"/>
          <w:color w:val="auto"/>
        </w:rPr>
        <w:t>Koncepce rozvoje území obce včetně urbanistické koncepce reagují na výstupy rozboru udržitelného rozvoje území zpracovaného v rámci ÚAP a jsou stanoveny s ohledem na další identifikované hodnoty území, zejména s ohledem na stabilizovanou urbanistickou strukturu sídla, typologii krajiny, přírodní podmínky apod.</w:t>
      </w:r>
    </w:p>
    <w:p w14:paraId="017D18C9" w14:textId="77777777" w:rsidR="00327E92" w:rsidRPr="006070EA" w:rsidRDefault="00327E92" w:rsidP="00327E92">
      <w:pPr>
        <w:pStyle w:val="Zkladntext2"/>
        <w:keepNext/>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prověřovat a posuzovat potřebu změn v území, veřejný zájem na jejich provedení, jejich přínosy, problémy, rizika s ohledem například na veřejné zdraví, životní prostředí, geologickou stavbu území, vliv na veřejnou infrastrukturu a na její hospodárné využívání,</w:t>
      </w:r>
    </w:p>
    <w:p w14:paraId="372C882C" w14:textId="18124393"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Zastavitelné plochy jsou vymezeny s cílem posílit vyváženost složek udržitelného rozvoje a s ohledem na předpokládaný demografický vývoj, zájem o výstavbu v obci, rozvojovou koncepci stanovenou stávající ÚPD, polohu a význam obce v rámci sídelní struktury a její strategické cíle. Veřejný zájem na jejich provedení, přínosy, problémy a</w:t>
      </w:r>
      <w:r w:rsidR="00967517" w:rsidRPr="006070EA">
        <w:rPr>
          <w:rFonts w:asciiTheme="majorHAnsi" w:hAnsiTheme="majorHAnsi" w:cstheme="majorHAnsi"/>
          <w:color w:val="auto"/>
        </w:rPr>
        <w:t> </w:t>
      </w:r>
      <w:r w:rsidRPr="006070EA">
        <w:rPr>
          <w:rFonts w:asciiTheme="majorHAnsi" w:hAnsiTheme="majorHAnsi" w:cstheme="majorHAnsi"/>
          <w:color w:val="auto"/>
        </w:rPr>
        <w:t>rizika s ohledem na veřejné zdraví, životní prostředí, geologickou stavbu území, vliv na veřejnou infrastrukturu a její hospodárné využívání byly při jejich vymezování zohledněny.</w:t>
      </w:r>
    </w:p>
    <w:p w14:paraId="4270DFD2" w14:textId="77777777" w:rsidR="00327E92" w:rsidRPr="006070EA" w:rsidRDefault="00327E92" w:rsidP="00327E92">
      <w:pPr>
        <w:pStyle w:val="Zkladntext2"/>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lastRenderedPageBreak/>
        <w:t>stanovovat urbanistické, architektonické a estetické požadavky na využívání a prostorové uspořádání území a na jeho změny, zejména na umístění, uspořádání a řešení staveb,</w:t>
      </w:r>
    </w:p>
    <w:p w14:paraId="7F474670" w14:textId="779F4E0D"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určuje požadavky na využívání a prostorové uspořádání území v mezích stavebního zákona. V rámci podmínek prostorového uspořádání jsou stanoveny základní požadavky na výškovou hladinu, intenzitu a strukturu zástavby zohledňující aktuální trendy v oblasti architektury a urbanismu a současný urbanistický vzhled </w:t>
      </w:r>
      <w:r w:rsidR="00967517" w:rsidRPr="006070EA">
        <w:rPr>
          <w:rFonts w:asciiTheme="majorHAnsi" w:hAnsiTheme="majorHAnsi" w:cstheme="majorHAnsi"/>
          <w:color w:val="auto"/>
        </w:rPr>
        <w:t>sídel</w:t>
      </w:r>
      <w:r w:rsidRPr="006070EA">
        <w:rPr>
          <w:rFonts w:asciiTheme="majorHAnsi" w:hAnsiTheme="majorHAnsi" w:cstheme="majorHAnsi"/>
          <w:color w:val="auto"/>
        </w:rPr>
        <w:t xml:space="preserve">. </w:t>
      </w:r>
    </w:p>
    <w:p w14:paraId="6C663E01" w14:textId="77777777" w:rsidR="00327E92" w:rsidRPr="006070EA" w:rsidRDefault="00327E92" w:rsidP="00327E92">
      <w:pPr>
        <w:pStyle w:val="Zkladntext2"/>
        <w:keepNext/>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 xml:space="preserve">stanovovat podmínky pro provedení změn v území, zejména pak pro umístění a uspořádání staveb s ohledem na stávající charakter a hodnoty území, </w:t>
      </w:r>
    </w:p>
    <w:p w14:paraId="2965AE5E" w14:textId="77777777"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Pro nově realizovanou zástavbu jsou územním plánem stanoveny obecné podmínky pro zachování charakteru celkové urbanistické struktury, zejména požadavky na prostorové uspořádání území se stanovením podmínek pro novou výstavbu.</w:t>
      </w:r>
    </w:p>
    <w:p w14:paraId="3CDF0552" w14:textId="77777777" w:rsidR="00327E92" w:rsidRPr="006070EA" w:rsidRDefault="00327E92" w:rsidP="00327E92">
      <w:pPr>
        <w:pStyle w:val="Zkladntext2"/>
        <w:keepNext/>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stanovovat pořadí provádění změn v území (etapizaci),</w:t>
      </w:r>
    </w:p>
    <w:p w14:paraId="52DBE4F8" w14:textId="77777777"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ÚP nestanovuje pořadí změn v území (etapizaci) zejména z důvodu rozsahu a umístění zastavitelných v bezprostřední návaznosti na zastavěné území. V rámci procesu pořizování ÚP Kostomlaty nad Labem nebyly vzneseny žádné požadavky na stanovení pořadí změn v území.</w:t>
      </w:r>
    </w:p>
    <w:p w14:paraId="58EBD130" w14:textId="77777777" w:rsidR="00327E92" w:rsidRPr="006070EA" w:rsidRDefault="00327E92" w:rsidP="00327E92">
      <w:pPr>
        <w:pStyle w:val="Zkladntext2"/>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vytvářet v území podmínky pro snižování nebezpečí ekologických a přírodních katastrof a pro odstraňování jejich důsledků, a to přírodě blízkým způsobem,</w:t>
      </w:r>
    </w:p>
    <w:p w14:paraId="69C50922" w14:textId="1E0F2FF9"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 xml:space="preserve">Podmínky pro využití ploch s rozdílným způsobem využití jsou formulovány tak, aby bylo v zastavěném i nezastavěném území umožněno realizovat přírodě blízká opatření pro snižování nebezpečí ekologických a přírodních katastrof a pro odstraňování jejich důsledků. Jedná se zejména o opatření zvyšující retenční schopnost území a případná ochranná a revitalizační opatření nestavebního charakteru. </w:t>
      </w:r>
    </w:p>
    <w:p w14:paraId="46FC505E" w14:textId="77777777" w:rsidR="00327E92" w:rsidRPr="006070EA" w:rsidRDefault="00327E92" w:rsidP="00327E92">
      <w:pPr>
        <w:pStyle w:val="Zkladntext2"/>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 xml:space="preserve"> vytvářet v území podmínky pro odstraňování důsledků náhlých hospodářských změn,</w:t>
      </w:r>
    </w:p>
    <w:p w14:paraId="58A3F905" w14:textId="77777777"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Podmínky pro odstraňování důsledků náhlých hospodářských změn jsou územním plánem vytvořeny zejména v rámci koncepce rozvoje území obce. Flexibilita využití území je v maximální míře zajištěna v rámci intenzivně urbanizovaného území s ohledem na zajištění dostatečné kvality bydlení v obci. Kromě toho jsou vytvořeny podmínky pro posílení ekonomické základny obce.</w:t>
      </w:r>
    </w:p>
    <w:p w14:paraId="25950A9C" w14:textId="77777777" w:rsidR="00327E92" w:rsidRPr="006070EA" w:rsidRDefault="00327E92" w:rsidP="00327E92">
      <w:pPr>
        <w:pStyle w:val="Zkladntext2"/>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stanovovat podmínky pro obnovu a rozvoj sídelní struktury a pro kvalitní bydlení,</w:t>
      </w:r>
    </w:p>
    <w:p w14:paraId="61C4DBAF" w14:textId="77777777"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Stanovením podmínek plošného a prostorového uspořádání v zastavěném území a zastavitelných plochách je deklarována jednoznačná podpora obnovy a rozvoje sídelní struktury a kvalitního bydlení.</w:t>
      </w:r>
    </w:p>
    <w:p w14:paraId="40F4A37F" w14:textId="53BCCFE7" w:rsidR="00967517" w:rsidRPr="006070EA" w:rsidRDefault="00967517" w:rsidP="00967517">
      <w:pPr>
        <w:pStyle w:val="Zkladntext2"/>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s ohledem na charakter území a kvalitu vystavěného prostředí vyhodnocovat a, je-li to účelné vymezovat vhodné plochy pro výrobu; plochy pro výrobu elektřiny, plynu a tepla včetně ploch pro jejich výrobu z obnovitelných zdrojů vymezovat rovněž s ohledem na cíle politik, strategií a koncepcí veřejné správy v oblasti energetiky a klimatu;</w:t>
      </w:r>
    </w:p>
    <w:p w14:paraId="043119F4" w14:textId="1C4271CB" w:rsidR="00967517" w:rsidRPr="006070EA" w:rsidRDefault="00967517" w:rsidP="00967517">
      <w:pPr>
        <w:pStyle w:val="Mra2-reakceern"/>
        <w:rPr>
          <w:rFonts w:asciiTheme="majorHAnsi" w:hAnsiTheme="majorHAnsi" w:cstheme="majorHAnsi"/>
          <w:color w:val="auto"/>
        </w:rPr>
      </w:pPr>
      <w:r w:rsidRPr="00A76411">
        <w:rPr>
          <w:rFonts w:asciiTheme="majorHAnsi" w:hAnsiTheme="majorHAnsi" w:cstheme="majorHAnsi"/>
          <w:color w:val="auto"/>
        </w:rPr>
        <w:t>ÚP nevymezuje explicitně plochy určené pro výrobu elektřiny, plynu a tepla včetně ploch pro jejich výrobu z obnovitelných zdrojů. ÚP Kostomlaty nad Labem reguluje možnosti realizace výroben elektřiny v řešeném území v rámci stanovených podmínek jednotlivých ploch s rozdílným způsobem využití.</w:t>
      </w:r>
      <w:r w:rsidR="001470C7" w:rsidRPr="00A76411">
        <w:rPr>
          <w:rFonts w:asciiTheme="majorHAnsi" w:hAnsiTheme="majorHAnsi" w:cstheme="majorHAnsi"/>
          <w:color w:val="auto"/>
        </w:rPr>
        <w:t xml:space="preserve"> V urbanizovaném území jsou možnosti výroby energie z obnovitelných zdrojů omezeny na technická zařízení staveb. V nezastavěném území je vyloučeno umisťovat stavby a zařízení pro výrobu energie z obnovitelných zdrojů využívající energii slunečního záření s celkovým elektrickým výkonem výrobny elektřiny nad 50 kW v rámci ploch zemědělských všeobecných (AU) a</w:t>
      </w:r>
      <w:r w:rsidR="00A76411">
        <w:rPr>
          <w:rFonts w:asciiTheme="majorHAnsi" w:hAnsiTheme="majorHAnsi" w:cstheme="majorHAnsi"/>
          <w:color w:val="auto"/>
        </w:rPr>
        <w:t> </w:t>
      </w:r>
      <w:r w:rsidR="001470C7" w:rsidRPr="00A76411">
        <w:rPr>
          <w:rFonts w:asciiTheme="majorHAnsi" w:hAnsiTheme="majorHAnsi" w:cstheme="majorHAnsi"/>
          <w:color w:val="auto"/>
        </w:rPr>
        <w:t>smíšených nezastavěného území – zemědělství extenzivní, přírodní priority (</w:t>
      </w:r>
      <w:proofErr w:type="gramStart"/>
      <w:r w:rsidR="001470C7" w:rsidRPr="00A76411">
        <w:rPr>
          <w:rFonts w:asciiTheme="majorHAnsi" w:hAnsiTheme="majorHAnsi" w:cstheme="majorHAnsi"/>
          <w:color w:val="auto"/>
        </w:rPr>
        <w:t>MU.zp</w:t>
      </w:r>
      <w:proofErr w:type="gramEnd"/>
      <w:r w:rsidR="001470C7" w:rsidRPr="00A76411">
        <w:rPr>
          <w:rFonts w:asciiTheme="majorHAnsi" w:hAnsiTheme="majorHAnsi" w:cstheme="majorHAnsi"/>
          <w:color w:val="auto"/>
        </w:rPr>
        <w:t>).</w:t>
      </w:r>
    </w:p>
    <w:p w14:paraId="582CC0AF" w14:textId="7A5629CF" w:rsidR="00327E92" w:rsidRPr="006070EA" w:rsidRDefault="00327E92" w:rsidP="00327E92">
      <w:pPr>
        <w:pStyle w:val="Zkladntext2"/>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prověřovat a vytvářet v území podmínky pro hospodárné vynakládání prostředků z veřejných rozpočtů na změny v území,</w:t>
      </w:r>
    </w:p>
    <w:p w14:paraId="47E8D9EF" w14:textId="77777777"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 xml:space="preserve">ÚP respektuje tento úkol především formulací urbanistické koncepce, která klade mimořádný důraz na bezprostřední návaznost zastavitelných ploch na zastavěné území, infrastrukturní kostru obce a komunikační systém. Cílem řešení je omezení finanční, časové a realizační náročností, čímž bude minimalizována zátěž na veřejné rozpočty zajišťující v převážné míře investice do infrastruktury. </w:t>
      </w:r>
    </w:p>
    <w:p w14:paraId="4AFD6FEE" w14:textId="77777777" w:rsidR="00327E92" w:rsidRPr="006070EA" w:rsidRDefault="00327E92" w:rsidP="00327E92">
      <w:pPr>
        <w:pStyle w:val="Zkladntext2"/>
        <w:keepNext/>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vytvářet v území podmínky pro zajištění civilní ochrany,</w:t>
      </w:r>
    </w:p>
    <w:p w14:paraId="77BBC996" w14:textId="4CD43B72"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 xml:space="preserve">Požadavky civilní ochrany jsou územním plánem zohledněny. Konkrétní informace k civilní ochraně ve vztahu k řešení ÚP Kostomlaty nad Labem jsou uvedeny v kapitole </w:t>
      </w:r>
      <w:r w:rsidRPr="006070EA">
        <w:rPr>
          <w:rFonts w:asciiTheme="majorHAnsi" w:hAnsiTheme="majorHAnsi" w:cstheme="majorHAnsi"/>
          <w:i/>
          <w:color w:val="auto"/>
        </w:rPr>
        <w:t>11.2.</w:t>
      </w:r>
      <w:r w:rsidR="00EF7B4B" w:rsidRPr="006070EA">
        <w:rPr>
          <w:rFonts w:asciiTheme="majorHAnsi" w:hAnsiTheme="majorHAnsi" w:cstheme="majorHAnsi"/>
          <w:i/>
          <w:color w:val="auto"/>
        </w:rPr>
        <w:t>4</w:t>
      </w:r>
      <w:r w:rsidRPr="006070EA">
        <w:rPr>
          <w:rFonts w:asciiTheme="majorHAnsi" w:hAnsiTheme="majorHAnsi" w:cstheme="majorHAnsi"/>
          <w:i/>
          <w:color w:val="auto"/>
        </w:rPr>
        <w:t xml:space="preserve"> Civilní ochrana, obrana státu, požární ochrana a další specifické požadavky</w:t>
      </w:r>
      <w:r w:rsidRPr="006070EA">
        <w:rPr>
          <w:rFonts w:asciiTheme="majorHAnsi" w:hAnsiTheme="majorHAnsi" w:cstheme="majorHAnsi"/>
          <w:color w:val="auto"/>
        </w:rPr>
        <w:t xml:space="preserve">. </w:t>
      </w:r>
    </w:p>
    <w:p w14:paraId="7A316E4F" w14:textId="77777777" w:rsidR="00327E92" w:rsidRPr="006070EA" w:rsidRDefault="00327E92" w:rsidP="00327E92">
      <w:pPr>
        <w:pStyle w:val="Zkladntext2"/>
        <w:keepNext/>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určovat nutné asanační, rekonstrukční a rekultivační zásahy do území,</w:t>
      </w:r>
    </w:p>
    <w:p w14:paraId="5561BF6A" w14:textId="77777777" w:rsidR="00327E92" w:rsidRPr="006070EA" w:rsidRDefault="00327E92" w:rsidP="00327E92">
      <w:pPr>
        <w:pStyle w:val="Mra2-reakceern"/>
        <w:rPr>
          <w:rFonts w:asciiTheme="majorHAnsi" w:hAnsiTheme="majorHAnsi" w:cstheme="majorHAnsi"/>
          <w:i/>
          <w:color w:val="auto"/>
        </w:rPr>
      </w:pPr>
      <w:r w:rsidRPr="006070EA">
        <w:rPr>
          <w:rFonts w:asciiTheme="majorHAnsi" w:hAnsiTheme="majorHAnsi" w:cstheme="majorHAnsi"/>
          <w:color w:val="auto"/>
        </w:rPr>
        <w:t xml:space="preserve">Územním plánem nejsou konkrétní asanační, rekonstrukční a rekultivační zásahy určeny. V urbanizovaném území jsou zejména v rámci přípustného a podmíněně přípustného využití jednotlivých ploch umožněny nekolidující změny způsobu využívání. </w:t>
      </w:r>
    </w:p>
    <w:p w14:paraId="21F922F2" w14:textId="77777777" w:rsidR="00327E92" w:rsidRPr="006070EA" w:rsidRDefault="00327E92" w:rsidP="00327E92">
      <w:pPr>
        <w:pStyle w:val="Zkladntext2"/>
        <w:keepNext/>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vytvářet podmínky pro ochranu území podle zvláštních právních předpisů před negativními vlivy záměrů na území a navrhovat kompenzační opatření, pokud zvláštní právní předpis nestanoví jinak,</w:t>
      </w:r>
    </w:p>
    <w:p w14:paraId="6DBE64CB" w14:textId="77777777"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 xml:space="preserve">Územní plán nevymezuje zastavitelné plochy umožňující umisťovat záměry vyvolávající negativní vlivy na území. V případě realizace takových záměrů ve stabilizovaných plochách, bude postupováno v souladu se zvláštními </w:t>
      </w:r>
      <w:r w:rsidRPr="006070EA">
        <w:rPr>
          <w:rFonts w:asciiTheme="majorHAnsi" w:hAnsiTheme="majorHAnsi" w:cstheme="majorHAnsi"/>
          <w:color w:val="auto"/>
        </w:rPr>
        <w:lastRenderedPageBreak/>
        <w:t>právními předpisy zejména na úsecích ochrany veřejného zdraví, přírody a krajiny a památkové péče. ÚP respektuje podmínky pro ochranu území, které jsou stanoveny zvláštními právními předpisy.</w:t>
      </w:r>
    </w:p>
    <w:p w14:paraId="3C2DB981" w14:textId="77777777" w:rsidR="00327E92" w:rsidRPr="006070EA" w:rsidRDefault="00327E92" w:rsidP="00327E92">
      <w:pPr>
        <w:pStyle w:val="Zkladntext2"/>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regulovat rozsah ploch pro využívání přírodních zdrojů,</w:t>
      </w:r>
    </w:p>
    <w:p w14:paraId="41326A25" w14:textId="77777777"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 xml:space="preserve">Plochy pro využívání přírodních zdrojů ve smyslu nerostných surovin nejsou územním plánem vymezeny, na základě § 18 odst. 5 stavebního zákona je těžba nerostů v řešeném území zcela vyloučena. Regulovaný rozsah využívání ostatních přírodních zdrojů (půdy, vody, energií atd.) je územním plánem umožněn v rámci příslušných ploch s rozdílným způsobem využití. </w:t>
      </w:r>
    </w:p>
    <w:p w14:paraId="461EF6F1" w14:textId="77777777" w:rsidR="00327E92" w:rsidRPr="006070EA" w:rsidRDefault="00327E92" w:rsidP="00327E92">
      <w:pPr>
        <w:pStyle w:val="Zkladntext2"/>
        <w:numPr>
          <w:ilvl w:val="0"/>
          <w:numId w:val="7"/>
        </w:numPr>
        <w:spacing w:before="120" w:after="60" w:line="240" w:lineRule="auto"/>
        <w:ind w:left="567" w:hanging="567"/>
        <w:jc w:val="both"/>
        <w:rPr>
          <w:rFonts w:asciiTheme="majorHAnsi" w:hAnsiTheme="majorHAnsi" w:cstheme="majorHAnsi"/>
          <w:bCs/>
          <w:i/>
          <w:sz w:val="18"/>
          <w:szCs w:val="18"/>
        </w:rPr>
      </w:pPr>
      <w:r w:rsidRPr="006070EA">
        <w:rPr>
          <w:rFonts w:asciiTheme="majorHAnsi" w:hAnsiTheme="majorHAnsi" w:cstheme="majorHAnsi"/>
          <w:bCs/>
          <w:i/>
          <w:sz w:val="18"/>
          <w:szCs w:val="18"/>
        </w:rPr>
        <w:t>uplatňovat poznatky zejména z oborů architektury, urbanismu, územního plánování a ekologie a památkové péče,</w:t>
      </w:r>
    </w:p>
    <w:p w14:paraId="127A255F" w14:textId="2CF44BCD" w:rsidR="00327E92" w:rsidRPr="006070EA" w:rsidRDefault="00327E92" w:rsidP="00327E92">
      <w:pPr>
        <w:pStyle w:val="Mra2-reakceern"/>
        <w:rPr>
          <w:rFonts w:asciiTheme="majorHAnsi" w:hAnsiTheme="majorHAnsi" w:cstheme="majorHAnsi"/>
          <w:color w:val="auto"/>
        </w:rPr>
      </w:pPr>
      <w:r w:rsidRPr="006070EA">
        <w:rPr>
          <w:rFonts w:asciiTheme="majorHAnsi" w:hAnsiTheme="majorHAnsi" w:cstheme="majorHAnsi"/>
          <w:color w:val="auto"/>
        </w:rPr>
        <w:t>Na zpracování územního plánu se podílel kolektiv odborníků různých odvětví. Při zpracování ÚP byly uplatněny poznatky zejména z výše uvedených oborů, ale i dalších technických, přírodovědných a humanitních disciplín. Současně byly přiměřeně aplikovány metodické podklady zpracované na úrovni zainteresovaných resortů a výsledky a závěry analytické činnosti.</w:t>
      </w:r>
    </w:p>
    <w:p w14:paraId="7FEAA051" w14:textId="68843273" w:rsidR="00CE6186" w:rsidRPr="006070EA" w:rsidRDefault="00CE6186" w:rsidP="00D814A9">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102" w:name="_Toc424119806"/>
      <w:bookmarkStart w:id="103" w:name="_Toc204678174"/>
      <w:r w:rsidRPr="006070EA">
        <w:rPr>
          <w:rFonts w:asciiTheme="majorHAnsi" w:hAnsiTheme="majorHAnsi" w:cstheme="majorHAnsi"/>
          <w:b/>
          <w:sz w:val="24"/>
          <w:szCs w:val="28"/>
        </w:rPr>
        <w:t>VYHODNOCENÍ SOULADU S POŽADAVKY STAVEBNÍHO ZÁKONA A JEHO PROVÁDĚCÍCH PRÁVNÍCH PŘEDPISŮ</w:t>
      </w:r>
      <w:bookmarkEnd w:id="102"/>
      <w:bookmarkEnd w:id="103"/>
    </w:p>
    <w:p w14:paraId="671537DD" w14:textId="77777777" w:rsidR="00CE6186" w:rsidRPr="006070EA" w:rsidRDefault="00B223BA" w:rsidP="009E07E1">
      <w:pPr>
        <w:keepNext/>
        <w:spacing w:after="120" w:line="240" w:lineRule="auto"/>
        <w:ind w:firstLine="709"/>
        <w:jc w:val="both"/>
        <w:rPr>
          <w:rFonts w:asciiTheme="majorHAnsi" w:hAnsiTheme="majorHAnsi" w:cstheme="majorHAnsi"/>
          <w:i/>
          <w:sz w:val="18"/>
          <w:lang w:eastAsia="ar-SA"/>
        </w:rPr>
      </w:pPr>
      <w:r w:rsidRPr="006070EA">
        <w:rPr>
          <w:rFonts w:asciiTheme="majorHAnsi" w:hAnsiTheme="majorHAnsi" w:cstheme="majorHAnsi"/>
          <w:i/>
          <w:sz w:val="18"/>
          <w:lang w:eastAsia="ar-SA"/>
        </w:rPr>
        <w:t>Zákon č. 183/2006 Sb., § 53, odst. 4 c)</w:t>
      </w:r>
    </w:p>
    <w:p w14:paraId="340CFD9D" w14:textId="77777777" w:rsidR="00B223BA" w:rsidRPr="006070EA" w:rsidRDefault="00B223BA" w:rsidP="009E07E1">
      <w:pPr>
        <w:keepNext/>
        <w:spacing w:after="120" w:line="240" w:lineRule="auto"/>
        <w:ind w:firstLine="709"/>
        <w:jc w:val="both"/>
        <w:rPr>
          <w:rFonts w:asciiTheme="majorHAnsi" w:hAnsiTheme="majorHAnsi" w:cstheme="majorHAnsi"/>
          <w:b/>
          <w:i/>
          <w:sz w:val="18"/>
          <w:lang w:eastAsia="ar-SA"/>
        </w:rPr>
      </w:pPr>
      <w:r w:rsidRPr="006070EA">
        <w:rPr>
          <w:rFonts w:asciiTheme="majorHAnsi" w:hAnsiTheme="majorHAnsi" w:cstheme="majorHAnsi"/>
          <w:b/>
          <w:i/>
          <w:sz w:val="18"/>
          <w:lang w:eastAsia="ar-SA"/>
        </w:rPr>
        <w:t>Zpracovává projektant v rozsahu jím navrhovaných částí.</w:t>
      </w:r>
    </w:p>
    <w:p w14:paraId="4E9CC55F" w14:textId="77777777" w:rsidR="00327E92" w:rsidRPr="006070EA" w:rsidRDefault="00327E92" w:rsidP="00327E92">
      <w:pPr>
        <w:spacing w:after="60" w:line="240" w:lineRule="auto"/>
        <w:ind w:firstLine="709"/>
        <w:jc w:val="both"/>
        <w:rPr>
          <w:rFonts w:asciiTheme="majorHAnsi" w:hAnsiTheme="majorHAnsi" w:cstheme="majorHAnsi"/>
          <w:sz w:val="18"/>
          <w:lang w:eastAsia="ar-SA"/>
        </w:rPr>
      </w:pPr>
      <w:r w:rsidRPr="006070EA">
        <w:rPr>
          <w:rFonts w:asciiTheme="majorHAnsi" w:hAnsiTheme="majorHAnsi" w:cstheme="majorHAnsi"/>
          <w:sz w:val="18"/>
          <w:lang w:eastAsia="ar-SA"/>
        </w:rPr>
        <w:t>Územní plán Kostomlaty nad Labem je zpracován a pořízen v souladu se zákonem č. 183/2006 Sb., o územním plánování a stavebním řádu, ve znění pozdějších předpisů (dále také jen „zákon č. 183/2006 Sb.“ nebo „stavební zákon“), a jeho prováděcích vyhlášek č. 500/2006 Sb., o územně analytických podkladech, územně plánovací dokumentaci a způsobu evidence územně plánovací činnosti, ve znění pozdějších předpisů (dále také jen „vyhláška č. 500/2006 Sb.“) a 501/2006 Sb., o obecných požadavcích na využívání území, ve znění pozdějších předpisů (dále také jen „vyhláška č. 501/2006 Sb.“):</w:t>
      </w:r>
    </w:p>
    <w:p w14:paraId="6F4C9FA1" w14:textId="77777777" w:rsidR="00327E92" w:rsidRPr="006070EA" w:rsidRDefault="00327E92" w:rsidP="00327E92">
      <w:pPr>
        <w:pStyle w:val="Odstavecseseznamem"/>
        <w:numPr>
          <w:ilvl w:val="0"/>
          <w:numId w:val="18"/>
        </w:numPr>
        <w:spacing w:after="60" w:line="240" w:lineRule="auto"/>
        <w:ind w:left="714" w:hanging="357"/>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 xml:space="preserve">obsahová struktura textové části ÚP Kostomlaty nad Labem je v souladu s </w:t>
      </w:r>
      <w:r w:rsidRPr="006070EA">
        <w:rPr>
          <w:rFonts w:asciiTheme="majorHAnsi" w:hAnsiTheme="majorHAnsi" w:cstheme="majorHAnsi"/>
          <w:b/>
          <w:sz w:val="18"/>
          <w:lang w:eastAsia="ar-SA"/>
        </w:rPr>
        <w:t>§§ 43–55 zákona č. 183/2006 Sb. a přílohou č. 7, část I. vyhlášky č. 500/2006 Sb.</w:t>
      </w:r>
      <w:r w:rsidRPr="006070EA">
        <w:rPr>
          <w:rFonts w:asciiTheme="majorHAnsi" w:hAnsiTheme="majorHAnsi" w:cstheme="majorHAnsi"/>
          <w:sz w:val="18"/>
          <w:lang w:eastAsia="ar-SA"/>
        </w:rPr>
        <w:t>;</w:t>
      </w:r>
    </w:p>
    <w:p w14:paraId="6994E6AF" w14:textId="7F74DAF7" w:rsidR="00327E92" w:rsidRPr="006070EA" w:rsidRDefault="00327E92" w:rsidP="00327E92">
      <w:pPr>
        <w:pStyle w:val="Odstavecseseznamem"/>
        <w:numPr>
          <w:ilvl w:val="0"/>
          <w:numId w:val="18"/>
        </w:numPr>
        <w:spacing w:after="60" w:line="240" w:lineRule="auto"/>
        <w:ind w:left="714" w:hanging="357"/>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grafická část ÚP Kostomlaty nad Labem je zpracována v souladu s </w:t>
      </w:r>
      <w:r w:rsidRPr="006070EA">
        <w:rPr>
          <w:rFonts w:asciiTheme="majorHAnsi" w:hAnsiTheme="majorHAnsi" w:cstheme="majorHAnsi"/>
          <w:b/>
          <w:sz w:val="18"/>
          <w:lang w:eastAsia="ar-SA"/>
        </w:rPr>
        <w:t>přílohou č. 7, část I., odst. 3 a 4 vyhlášky č.</w:t>
      </w:r>
      <w:r w:rsidR="00031B68" w:rsidRPr="006070EA">
        <w:rPr>
          <w:rFonts w:asciiTheme="majorHAnsi" w:hAnsiTheme="majorHAnsi" w:cstheme="majorHAnsi"/>
          <w:b/>
          <w:sz w:val="18"/>
          <w:lang w:eastAsia="ar-SA"/>
        </w:rPr>
        <w:t> </w:t>
      </w:r>
      <w:r w:rsidRPr="006070EA">
        <w:rPr>
          <w:rFonts w:asciiTheme="majorHAnsi" w:hAnsiTheme="majorHAnsi" w:cstheme="majorHAnsi"/>
          <w:b/>
          <w:sz w:val="18"/>
          <w:lang w:eastAsia="ar-SA"/>
        </w:rPr>
        <w:t>500/2006</w:t>
      </w:r>
      <w:r w:rsidR="00031B68" w:rsidRPr="006070EA">
        <w:rPr>
          <w:rFonts w:asciiTheme="majorHAnsi" w:hAnsiTheme="majorHAnsi" w:cstheme="majorHAnsi"/>
          <w:b/>
          <w:sz w:val="18"/>
          <w:lang w:eastAsia="ar-SA"/>
        </w:rPr>
        <w:t> </w:t>
      </w:r>
      <w:r w:rsidRPr="006070EA">
        <w:rPr>
          <w:rFonts w:asciiTheme="majorHAnsi" w:hAnsiTheme="majorHAnsi" w:cstheme="majorHAnsi"/>
          <w:b/>
          <w:sz w:val="18"/>
          <w:lang w:eastAsia="ar-SA"/>
        </w:rPr>
        <w:t>Sb., a v souladu s § 13 a § 14 vyhlášky č. 500/2006 Sb.</w:t>
      </w:r>
      <w:r w:rsidRPr="006070EA">
        <w:rPr>
          <w:rFonts w:asciiTheme="majorHAnsi" w:hAnsiTheme="majorHAnsi" w:cstheme="majorHAnsi"/>
          <w:sz w:val="18"/>
          <w:lang w:eastAsia="ar-SA"/>
        </w:rPr>
        <w:t>;</w:t>
      </w:r>
    </w:p>
    <w:p w14:paraId="1062C9E1" w14:textId="77777777" w:rsidR="00327E92" w:rsidRPr="006070EA" w:rsidRDefault="00327E92" w:rsidP="00327E92">
      <w:pPr>
        <w:pStyle w:val="Odstavecseseznamem"/>
        <w:numPr>
          <w:ilvl w:val="0"/>
          <w:numId w:val="18"/>
        </w:numPr>
        <w:spacing w:after="60" w:line="240" w:lineRule="auto"/>
        <w:ind w:left="714" w:hanging="357"/>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 xml:space="preserve">ÚP Kostomlaty nad Labem je pořizován v souladu s </w:t>
      </w:r>
      <w:r w:rsidRPr="006070EA">
        <w:rPr>
          <w:rFonts w:asciiTheme="majorHAnsi" w:hAnsiTheme="majorHAnsi" w:cstheme="majorHAnsi"/>
          <w:b/>
          <w:sz w:val="18"/>
          <w:lang w:eastAsia="ar-SA"/>
        </w:rPr>
        <w:t>§§ 44–46 zákona č. 183/2006 Sb.</w:t>
      </w:r>
      <w:r w:rsidRPr="006070EA">
        <w:rPr>
          <w:rFonts w:asciiTheme="majorHAnsi" w:hAnsiTheme="majorHAnsi" w:cstheme="majorHAnsi"/>
          <w:sz w:val="18"/>
          <w:lang w:eastAsia="ar-SA"/>
        </w:rPr>
        <w:t>;</w:t>
      </w:r>
    </w:p>
    <w:p w14:paraId="38E76B58" w14:textId="77777777" w:rsidR="00327E92" w:rsidRPr="006070EA" w:rsidRDefault="00327E92" w:rsidP="00327E92">
      <w:pPr>
        <w:pStyle w:val="Odstavecseseznamem"/>
        <w:numPr>
          <w:ilvl w:val="0"/>
          <w:numId w:val="18"/>
        </w:numPr>
        <w:spacing w:after="0" w:line="240" w:lineRule="auto"/>
        <w:ind w:left="714" w:hanging="357"/>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 xml:space="preserve">dle </w:t>
      </w:r>
      <w:r w:rsidRPr="006070EA">
        <w:rPr>
          <w:rFonts w:asciiTheme="majorHAnsi" w:hAnsiTheme="majorHAnsi" w:cstheme="majorHAnsi"/>
          <w:b/>
          <w:sz w:val="18"/>
          <w:lang w:eastAsia="ar-SA"/>
        </w:rPr>
        <w:t>§ 53 odst. 4 zákona č. 183/2006 Sb.</w:t>
      </w:r>
      <w:r w:rsidRPr="006070EA">
        <w:rPr>
          <w:rFonts w:asciiTheme="majorHAnsi" w:hAnsiTheme="majorHAnsi" w:cstheme="majorHAnsi"/>
          <w:sz w:val="18"/>
          <w:lang w:eastAsia="ar-SA"/>
        </w:rPr>
        <w:t xml:space="preserve"> je v textové části odůvodnění ÚP Kostomlaty nad Labem vyhodnocen soulad:</w:t>
      </w:r>
    </w:p>
    <w:p w14:paraId="210DE810"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 xml:space="preserve">s politikou územního rozvoje a územně plánovací dokumentací vydanou krajem, </w:t>
      </w:r>
    </w:p>
    <w:p w14:paraId="2D8C602A"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s cíli a úkoly územního plánování, zejména s požadavky na ochranu architektonických a urbanistických hodnot a požadavky na ochranu nezastavěného území,</w:t>
      </w:r>
    </w:p>
    <w:p w14:paraId="7D52077E"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s požadavky tohoto zákona a jeho prováděcích právních předpisů,</w:t>
      </w:r>
    </w:p>
    <w:p w14:paraId="4EF65D9D" w14:textId="77777777" w:rsidR="00327E92" w:rsidRPr="006070EA" w:rsidRDefault="00327E92" w:rsidP="00327E92">
      <w:pPr>
        <w:pStyle w:val="Odstavecseseznamem"/>
        <w:numPr>
          <w:ilvl w:val="1"/>
          <w:numId w:val="18"/>
        </w:numPr>
        <w:spacing w:after="6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s požadavky zvláštních právních předpisů a se stanovisky dotčených orgánů podle zvláštních právních předpisů, popřípadě s výsledkem řešení rozporů;</w:t>
      </w:r>
    </w:p>
    <w:p w14:paraId="5C723F27" w14:textId="77777777" w:rsidR="00327E92" w:rsidRPr="006070EA" w:rsidRDefault="00327E92" w:rsidP="00327E92">
      <w:pPr>
        <w:pStyle w:val="Odstavecseseznamem"/>
        <w:numPr>
          <w:ilvl w:val="0"/>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 xml:space="preserve">dle </w:t>
      </w:r>
      <w:r w:rsidRPr="006070EA">
        <w:rPr>
          <w:rFonts w:asciiTheme="majorHAnsi" w:hAnsiTheme="majorHAnsi" w:cstheme="majorHAnsi"/>
          <w:b/>
          <w:sz w:val="18"/>
          <w:lang w:eastAsia="ar-SA"/>
        </w:rPr>
        <w:t xml:space="preserve">§ 53 odst. 5 zákona č. 183/2006 Sb. </w:t>
      </w:r>
      <w:r w:rsidRPr="006070EA">
        <w:rPr>
          <w:rFonts w:asciiTheme="majorHAnsi" w:hAnsiTheme="majorHAnsi" w:cstheme="majorHAnsi"/>
          <w:sz w:val="18"/>
          <w:lang w:eastAsia="ar-SA"/>
        </w:rPr>
        <w:t>je součástí ÚP Kostomlaty nad Labem:</w:t>
      </w:r>
    </w:p>
    <w:p w14:paraId="25EDA352"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výsledek přezkoumání územního plánu podle odstavce 4 (§ 53 zákona č. 183/2006 Sb.),</w:t>
      </w:r>
    </w:p>
    <w:p w14:paraId="289F46B3"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zpráva o vyhodnocení vlivů na udržitelný rozvoj území obsahující základní informace o výsledcích tohoto vyhodnocení včetně výsledků vyhodnocení vlivů na životní prostředí,</w:t>
      </w:r>
    </w:p>
    <w:p w14:paraId="01680691"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stanovisko krajského úřadu podle § 50 odst. 5,</w:t>
      </w:r>
    </w:p>
    <w:p w14:paraId="0ED08B5F"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sdělení, jak bylo stanovisko podle § 50 odst. 5 zohledněno, s uvedením závažných důvodů, pokud některé požadavky nebo podmínky zohledněny nebyly,</w:t>
      </w:r>
    </w:p>
    <w:p w14:paraId="717F72CF"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 xml:space="preserve">komplexní zdůvodnění přijatého řešení včetně vybrané varianty, </w:t>
      </w:r>
    </w:p>
    <w:p w14:paraId="4164567D" w14:textId="77777777" w:rsidR="00327E92" w:rsidRPr="006070EA" w:rsidRDefault="00327E92" w:rsidP="00327E92">
      <w:pPr>
        <w:pStyle w:val="Odstavecseseznamem"/>
        <w:numPr>
          <w:ilvl w:val="1"/>
          <w:numId w:val="18"/>
        </w:numPr>
        <w:spacing w:after="6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vyhodnocení účelného využití zastavěného území a vyhodnocení potřeby vymezení zastavitelných ploch;</w:t>
      </w:r>
    </w:p>
    <w:p w14:paraId="4156CF34" w14:textId="77777777" w:rsidR="00327E92" w:rsidRPr="006070EA" w:rsidRDefault="00327E92" w:rsidP="00327E92">
      <w:pPr>
        <w:pStyle w:val="Odstavecseseznamem"/>
        <w:numPr>
          <w:ilvl w:val="0"/>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 xml:space="preserve">dle </w:t>
      </w:r>
      <w:r w:rsidRPr="006070EA">
        <w:rPr>
          <w:rFonts w:asciiTheme="majorHAnsi" w:hAnsiTheme="majorHAnsi" w:cstheme="majorHAnsi"/>
          <w:b/>
          <w:sz w:val="18"/>
          <w:lang w:eastAsia="ar-SA"/>
        </w:rPr>
        <w:t xml:space="preserve">přílohy č. 7, část II. vyhlášky č. 500/2006 Sb. </w:t>
      </w:r>
      <w:r w:rsidRPr="006070EA">
        <w:rPr>
          <w:rFonts w:asciiTheme="majorHAnsi" w:hAnsiTheme="majorHAnsi" w:cstheme="majorHAnsi"/>
          <w:sz w:val="18"/>
          <w:lang w:eastAsia="ar-SA"/>
        </w:rPr>
        <w:t xml:space="preserve">je součástí ÚP Kostomlaty nad Labem: </w:t>
      </w:r>
    </w:p>
    <w:p w14:paraId="3A57D6E8"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vyhodnocení koordinace využívání území z hlediska širších vztahů v území,</w:t>
      </w:r>
    </w:p>
    <w:p w14:paraId="56DC5407"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vyhodnocení splnění požadavků zadání,</w:t>
      </w:r>
    </w:p>
    <w:p w14:paraId="5D9070E6" w14:textId="77777777" w:rsidR="00327E92" w:rsidRPr="006070EA" w:rsidRDefault="00327E92" w:rsidP="00327E92">
      <w:pPr>
        <w:pStyle w:val="Odstavecseseznamem"/>
        <w:numPr>
          <w:ilvl w:val="1"/>
          <w:numId w:val="18"/>
        </w:numPr>
        <w:spacing w:after="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výčet záležitostí nemístního významu, které nejsou řešeny v zásadách územního rozvoje (§ 43, odst. 1 stavebního zákona), s odůvodněním potřeby jejich vymezení,</w:t>
      </w:r>
    </w:p>
    <w:p w14:paraId="09481807" w14:textId="77777777" w:rsidR="00327E92" w:rsidRPr="006070EA" w:rsidRDefault="00327E92" w:rsidP="00327E92">
      <w:pPr>
        <w:pStyle w:val="Odstavecseseznamem"/>
        <w:numPr>
          <w:ilvl w:val="1"/>
          <w:numId w:val="18"/>
        </w:numPr>
        <w:spacing w:after="60" w:line="240" w:lineRule="auto"/>
        <w:contextualSpacing w:val="0"/>
        <w:jc w:val="both"/>
        <w:rPr>
          <w:rFonts w:asciiTheme="majorHAnsi" w:hAnsiTheme="majorHAnsi" w:cstheme="majorHAnsi"/>
          <w:sz w:val="18"/>
          <w:lang w:eastAsia="ar-SA"/>
        </w:rPr>
      </w:pPr>
      <w:r w:rsidRPr="006070EA">
        <w:rPr>
          <w:rFonts w:asciiTheme="majorHAnsi" w:hAnsiTheme="majorHAnsi" w:cstheme="majorHAnsi"/>
          <w:sz w:val="18"/>
          <w:lang w:eastAsia="ar-SA"/>
        </w:rPr>
        <w:t>vyhodnocení předpokládaných důsledků navrhovaného řešení na zemědělský půdní fond a pozemky určené k plnění funkce lesa.</w:t>
      </w:r>
    </w:p>
    <w:p w14:paraId="557E8476" w14:textId="2DCE6A4F" w:rsidR="00327E92" w:rsidRPr="006070EA" w:rsidRDefault="00327E92" w:rsidP="00327E92">
      <w:pPr>
        <w:spacing w:before="120" w:after="60" w:line="240" w:lineRule="auto"/>
        <w:ind w:firstLine="709"/>
        <w:jc w:val="both"/>
        <w:rPr>
          <w:rFonts w:asciiTheme="majorHAnsi" w:hAnsiTheme="majorHAnsi" w:cstheme="majorHAnsi"/>
          <w:color w:val="FF0000"/>
          <w:sz w:val="18"/>
          <w:lang w:eastAsia="ar-SA"/>
        </w:rPr>
      </w:pPr>
      <w:r w:rsidRPr="006070EA">
        <w:rPr>
          <w:rFonts w:asciiTheme="majorHAnsi" w:hAnsiTheme="majorHAnsi" w:cstheme="majorHAnsi"/>
          <w:sz w:val="18"/>
          <w:lang w:eastAsia="ar-SA"/>
        </w:rPr>
        <w:t>Soulad Územního plánu Kostomlaty nad Labem s požadavky stavebního zákona a jeho prováděcích předpisů lze mimo jiné dokladovat také na vlastní dokumentaci a průběhu jejího pořizování.</w:t>
      </w:r>
    </w:p>
    <w:p w14:paraId="4E73090C" w14:textId="77777777" w:rsidR="00B223BA" w:rsidRPr="006070EA" w:rsidRDefault="00B223BA" w:rsidP="009E33CB">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104" w:name="_Toc424119807"/>
      <w:bookmarkStart w:id="105" w:name="_Toc204678175"/>
      <w:r w:rsidRPr="006070EA">
        <w:rPr>
          <w:rFonts w:asciiTheme="majorHAnsi" w:hAnsiTheme="majorHAnsi" w:cstheme="majorHAnsi"/>
          <w:b/>
          <w:sz w:val="24"/>
          <w:szCs w:val="28"/>
        </w:rPr>
        <w:lastRenderedPageBreak/>
        <w:t>VYHODNOCENÍ SOULADU S POŽADAVKY ZVLÁŠTNÍCH PRÁVNÍCH PŘEDPISŮ A SE STANOVISKY DOTČENÝCH ORGÁNŮ PODLE ZVLÁŠTNÍCH PRÁVNÍCH PŘEDPISŮ, POPŘÍPADĚ S VÝSLEDKEM ŘEŠENÍ ROZPORŮ</w:t>
      </w:r>
      <w:bookmarkEnd w:id="104"/>
      <w:bookmarkEnd w:id="105"/>
    </w:p>
    <w:p w14:paraId="2E2EE0A3" w14:textId="77777777" w:rsidR="00B223BA" w:rsidRPr="006070EA" w:rsidRDefault="00B223BA" w:rsidP="009E33CB">
      <w:pPr>
        <w:keepNext/>
        <w:spacing w:after="120" w:line="240" w:lineRule="auto"/>
        <w:ind w:firstLine="709"/>
        <w:jc w:val="both"/>
        <w:rPr>
          <w:rFonts w:asciiTheme="majorHAnsi" w:hAnsiTheme="majorHAnsi" w:cstheme="majorHAnsi"/>
          <w:i/>
          <w:sz w:val="18"/>
          <w:lang w:eastAsia="ar-SA"/>
        </w:rPr>
      </w:pPr>
      <w:r w:rsidRPr="006070EA">
        <w:rPr>
          <w:rFonts w:asciiTheme="majorHAnsi" w:hAnsiTheme="majorHAnsi" w:cstheme="majorHAnsi"/>
          <w:i/>
          <w:sz w:val="18"/>
          <w:lang w:eastAsia="ar-SA"/>
        </w:rPr>
        <w:t>Zákon č. 183/2006 Sb., § 53, odst. 4 d)</w:t>
      </w:r>
    </w:p>
    <w:p w14:paraId="576C876F" w14:textId="708FC42A" w:rsidR="00B223BA" w:rsidRPr="006070EA" w:rsidRDefault="00B223BA" w:rsidP="009E33CB">
      <w:pPr>
        <w:keepNext/>
        <w:spacing w:after="120" w:line="240" w:lineRule="auto"/>
        <w:ind w:firstLine="709"/>
        <w:jc w:val="both"/>
        <w:rPr>
          <w:rFonts w:asciiTheme="majorHAnsi" w:hAnsiTheme="majorHAnsi" w:cstheme="majorHAnsi"/>
          <w:b/>
          <w:i/>
          <w:sz w:val="18"/>
          <w:lang w:eastAsia="ar-SA"/>
        </w:rPr>
      </w:pPr>
      <w:r w:rsidRPr="006070EA">
        <w:rPr>
          <w:rFonts w:asciiTheme="majorHAnsi" w:hAnsiTheme="majorHAnsi" w:cstheme="majorHAnsi"/>
          <w:b/>
          <w:i/>
          <w:sz w:val="18"/>
          <w:lang w:eastAsia="ar-SA"/>
        </w:rPr>
        <w:t>Zpracovává projektant (soulad se zvláštními právními předpisy) společně s pořizovatelem.</w:t>
      </w:r>
    </w:p>
    <w:p w14:paraId="72C6F242"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Územní plán je v souladu s požadavky zvláštních právních předpisů a se stanovisky dotčených orgánů podle zvláštních právních předpisů. Návrh byl upraven v souladu se stanovisky uplatněnými k návrhu zadání územního plánu, ke společnému jednání, k veřejnému projednání, k návrhu rozhodnutí o námitkách a k návrhu vyhodnocení připomínek.</w:t>
      </w:r>
    </w:p>
    <w:p w14:paraId="5548C4A9"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Jedná se zvláště o tato stanoviska:</w:t>
      </w:r>
    </w:p>
    <w:p w14:paraId="63AD7CCE"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 xml:space="preserve">Krajský úřad Stř. kraje, odbor životního prostředí a zemědělství </w:t>
      </w:r>
      <w:proofErr w:type="gramStart"/>
      <w:r w:rsidRPr="00B64E3A">
        <w:rPr>
          <w:rFonts w:asciiTheme="majorHAnsi" w:hAnsiTheme="majorHAnsi" w:cstheme="majorHAnsi"/>
          <w:sz w:val="18"/>
          <w:szCs w:val="18"/>
          <w:lang w:eastAsia="ar-SA"/>
        </w:rPr>
        <w:t>-  č.</w:t>
      </w:r>
      <w:proofErr w:type="gramEnd"/>
      <w:r w:rsidRPr="00B64E3A">
        <w:rPr>
          <w:rFonts w:asciiTheme="majorHAnsi" w:hAnsiTheme="majorHAnsi" w:cstheme="majorHAnsi"/>
          <w:sz w:val="18"/>
          <w:szCs w:val="18"/>
          <w:lang w:eastAsia="ar-SA"/>
        </w:rPr>
        <w:t xml:space="preserve"> j. 044598/2019/KUSK z 8.4.2019</w:t>
      </w:r>
    </w:p>
    <w:p w14:paraId="1199DCE1"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 xml:space="preserve">Krajský úřad Stř. kraje, odbor životního prostředí a zemědělství </w:t>
      </w:r>
      <w:proofErr w:type="gramStart"/>
      <w:r w:rsidRPr="00B64E3A">
        <w:rPr>
          <w:rFonts w:asciiTheme="majorHAnsi" w:hAnsiTheme="majorHAnsi" w:cstheme="majorHAnsi"/>
          <w:sz w:val="18"/>
          <w:szCs w:val="18"/>
          <w:lang w:eastAsia="ar-SA"/>
        </w:rPr>
        <w:t>-  č.</w:t>
      </w:r>
      <w:proofErr w:type="gramEnd"/>
      <w:r w:rsidRPr="00B64E3A">
        <w:rPr>
          <w:rFonts w:asciiTheme="majorHAnsi" w:hAnsiTheme="majorHAnsi" w:cstheme="majorHAnsi"/>
          <w:sz w:val="18"/>
          <w:szCs w:val="18"/>
          <w:lang w:eastAsia="ar-SA"/>
        </w:rPr>
        <w:t xml:space="preserve"> j.084126/KUSK z 16.8.2021</w:t>
      </w:r>
    </w:p>
    <w:p w14:paraId="56BB68BF"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Ministerstvo dopravy – zn. 247/2019-910-UPR/2 z 23.4.2019</w:t>
      </w:r>
    </w:p>
    <w:p w14:paraId="6EAE4C63" w14:textId="77777777" w:rsidR="00B64E3A" w:rsidRPr="00B64E3A" w:rsidRDefault="00B64E3A" w:rsidP="00B64E3A">
      <w:pPr>
        <w:spacing w:after="60" w:line="240" w:lineRule="auto"/>
        <w:ind w:left="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Ministerstvo obrany – sz. zn. 107976/2019-1150-OÚZ-LIT z </w:t>
      </w:r>
      <w:proofErr w:type="gramStart"/>
      <w:r w:rsidRPr="00B64E3A">
        <w:rPr>
          <w:rFonts w:asciiTheme="majorHAnsi" w:hAnsiTheme="majorHAnsi" w:cstheme="majorHAnsi"/>
          <w:sz w:val="18"/>
          <w:szCs w:val="18"/>
          <w:lang w:eastAsia="ar-SA"/>
        </w:rPr>
        <w:t>8.4.2019  a</w:t>
      </w:r>
      <w:proofErr w:type="gramEnd"/>
      <w:r w:rsidRPr="00B64E3A">
        <w:rPr>
          <w:rFonts w:asciiTheme="majorHAnsi" w:hAnsiTheme="majorHAnsi" w:cstheme="majorHAnsi"/>
          <w:sz w:val="18"/>
          <w:szCs w:val="18"/>
          <w:lang w:eastAsia="ar-SA"/>
        </w:rPr>
        <w:t xml:space="preserve"> sp. zn. 138059/2022-1322-OÚZ-PHA z 11.7.2022</w:t>
      </w:r>
    </w:p>
    <w:p w14:paraId="2FB56C79" w14:textId="77777777" w:rsidR="00B64E3A" w:rsidRPr="00B64E3A" w:rsidRDefault="00B64E3A" w:rsidP="00B64E3A">
      <w:pPr>
        <w:spacing w:after="60" w:line="240" w:lineRule="auto"/>
        <w:ind w:left="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Krajský úřad Stř. kraje – koordinované stanovisko č. j. 066126/2022/KUSK z 20.7.2022, č. j. 048765/2023/KUSK z 28.4.2023, č. j. 079051/2023/KUSK z 27.7.2023</w:t>
      </w:r>
    </w:p>
    <w:p w14:paraId="5E0F3732"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Krajský úřad Stř. kraje, odbor územního plánování a stavebního řádu – č. j. 117004/2023/KUSK z 12.9.2023</w:t>
      </w:r>
    </w:p>
    <w:p w14:paraId="08C55FD2"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Krajský úřad Stř. kraje – koordinované stanovisko č. j. 100272/2024/KUSK z 20.8.2024</w:t>
      </w:r>
    </w:p>
    <w:p w14:paraId="16F9A8EC"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Krajský úřad Stř. kraje, odbor územního plánování a stavebního řádu – č. j. 112447/2024/KUSK z 22.8.2024.</w:t>
      </w:r>
    </w:p>
    <w:p w14:paraId="02D230F7" w14:textId="77777777" w:rsidR="00B64E3A" w:rsidRPr="00B64E3A" w:rsidRDefault="00B64E3A" w:rsidP="00B64E3A">
      <w:pPr>
        <w:spacing w:after="60" w:line="240" w:lineRule="auto"/>
        <w:ind w:left="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Krajský úřad Středočeského kraje, koordinované stanovisko č. j. 012945/2025/KUSK z 3.3.2025 a č. j. 073968/2025/KUSK z 12.06.2025.</w:t>
      </w:r>
    </w:p>
    <w:p w14:paraId="54AD354B"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 xml:space="preserve">Krajský úřad Středočeského kraje, odbor územního plánování a stavebního řádu, jako nadřízený orgán územního plánování, posoudil podle ustanovení § 50 odst. 7 stavebního zákona návrh územního plánu Kostomlaty nad Labem, neshledal v něm chyby a nedostatky a vydal dne 12.09.2023 stanovisko, v němž konstatoval, že lze postupovat v dalším řízení o územním plánu. </w:t>
      </w:r>
    </w:p>
    <w:p w14:paraId="13E2559E"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Pořizovatel v dalších fázích pořizování ÚP postupoval v souladu s požadavky zvláštních právních předpisů.</w:t>
      </w:r>
    </w:p>
    <w:p w14:paraId="46D90457" w14:textId="77777777" w:rsidR="009E33CB" w:rsidRPr="006070EA" w:rsidRDefault="009E33CB" w:rsidP="00AA641A">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106" w:name="_Toc415755952"/>
      <w:bookmarkStart w:id="107" w:name="_Toc415756318"/>
      <w:bookmarkStart w:id="108" w:name="_Toc415756677"/>
      <w:bookmarkStart w:id="109" w:name="_Toc415756927"/>
      <w:bookmarkStart w:id="110" w:name="_Toc415757177"/>
      <w:bookmarkStart w:id="111" w:name="_Toc415757426"/>
      <w:bookmarkStart w:id="112" w:name="_Toc415757584"/>
      <w:bookmarkStart w:id="113" w:name="_Toc424050110"/>
      <w:bookmarkStart w:id="114" w:name="_Toc424050284"/>
      <w:bookmarkStart w:id="115" w:name="_Toc424050442"/>
      <w:bookmarkStart w:id="116" w:name="_Toc424112304"/>
      <w:bookmarkStart w:id="117" w:name="_Toc424119328"/>
      <w:bookmarkStart w:id="118" w:name="_Toc424119808"/>
      <w:bookmarkStart w:id="119" w:name="_Toc424120064"/>
      <w:bookmarkStart w:id="120" w:name="_Toc424120490"/>
      <w:bookmarkStart w:id="121" w:name="_Toc424126196"/>
      <w:bookmarkStart w:id="122" w:name="_Toc424138777"/>
      <w:bookmarkStart w:id="123" w:name="_Toc445291891"/>
      <w:bookmarkStart w:id="124" w:name="_Toc445910404"/>
      <w:bookmarkStart w:id="125" w:name="_Toc448831883"/>
      <w:bookmarkStart w:id="126" w:name="_Toc448832073"/>
      <w:bookmarkStart w:id="127" w:name="_Toc450037733"/>
      <w:bookmarkStart w:id="128" w:name="_Toc450223027"/>
      <w:bookmarkStart w:id="129" w:name="_Toc472325677"/>
      <w:bookmarkStart w:id="130" w:name="_Toc204678176"/>
      <w:bookmarkEnd w:id="106"/>
      <w:bookmarkEnd w:id="107"/>
      <w:bookmarkEnd w:id="108"/>
      <w:bookmarkEnd w:id="109"/>
      <w:bookmarkEnd w:id="110"/>
      <w:bookmarkEnd w:id="111"/>
      <w:bookmarkEnd w:id="112"/>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r w:rsidRPr="006070EA">
        <w:rPr>
          <w:rFonts w:asciiTheme="majorHAnsi" w:hAnsiTheme="majorHAnsi" w:cstheme="majorHAnsi"/>
          <w:b/>
          <w:sz w:val="24"/>
          <w:szCs w:val="28"/>
        </w:rPr>
        <w:t>VÝSLEDEK PŘEZKOUMÁNÍ ÚZEMNÍHO PLÁNU PODLE § 53 ODST. 4 PÍSM A) AŽ D) STAVEBNÍHO ZÁKONA</w:t>
      </w:r>
      <w:bookmarkEnd w:id="130"/>
    </w:p>
    <w:p w14:paraId="0E8847A4" w14:textId="77777777" w:rsidR="009E33CB" w:rsidRPr="006070EA" w:rsidRDefault="009E33CB" w:rsidP="00AA641A">
      <w:pPr>
        <w:keepNext/>
        <w:spacing w:after="120" w:line="240" w:lineRule="auto"/>
        <w:ind w:firstLine="709"/>
        <w:jc w:val="both"/>
        <w:rPr>
          <w:rFonts w:asciiTheme="majorHAnsi" w:hAnsiTheme="majorHAnsi" w:cstheme="majorHAnsi"/>
          <w:i/>
          <w:sz w:val="18"/>
          <w:lang w:eastAsia="ar-SA"/>
        </w:rPr>
      </w:pPr>
      <w:r w:rsidRPr="006070EA">
        <w:rPr>
          <w:rFonts w:asciiTheme="majorHAnsi" w:hAnsiTheme="majorHAnsi" w:cstheme="majorHAnsi"/>
          <w:i/>
          <w:sz w:val="18"/>
          <w:lang w:eastAsia="ar-SA"/>
        </w:rPr>
        <w:t>Zákon č. 183/2006 Sb., § 53, odst. 4 d)</w:t>
      </w:r>
    </w:p>
    <w:p w14:paraId="1D311461" w14:textId="013111E7" w:rsidR="009E33CB" w:rsidRPr="006070EA" w:rsidRDefault="009E33CB" w:rsidP="00AA641A">
      <w:pPr>
        <w:keepNext/>
        <w:spacing w:after="120" w:line="240" w:lineRule="auto"/>
        <w:ind w:firstLine="709"/>
        <w:jc w:val="both"/>
        <w:rPr>
          <w:rFonts w:asciiTheme="majorHAnsi" w:hAnsiTheme="majorHAnsi" w:cstheme="majorHAnsi"/>
          <w:b/>
          <w:i/>
          <w:sz w:val="18"/>
          <w:lang w:eastAsia="ar-SA"/>
        </w:rPr>
      </w:pPr>
      <w:r w:rsidRPr="006070EA">
        <w:rPr>
          <w:rFonts w:asciiTheme="majorHAnsi" w:hAnsiTheme="majorHAnsi" w:cstheme="majorHAnsi"/>
          <w:b/>
          <w:i/>
          <w:sz w:val="18"/>
          <w:lang w:eastAsia="ar-SA"/>
        </w:rPr>
        <w:t>Zpracovává pořizovatel.</w:t>
      </w:r>
    </w:p>
    <w:p w14:paraId="6A92D5CD" w14:textId="77777777" w:rsidR="00B64E3A" w:rsidRPr="00B64E3A" w:rsidRDefault="00B64E3A" w:rsidP="00B64E3A">
      <w:pPr>
        <w:spacing w:after="60" w:line="240" w:lineRule="auto"/>
        <w:ind w:firstLine="709"/>
        <w:jc w:val="both"/>
        <w:rPr>
          <w:rFonts w:asciiTheme="majorHAnsi" w:hAnsiTheme="majorHAnsi" w:cstheme="majorHAnsi"/>
          <w:sz w:val="18"/>
          <w:szCs w:val="18"/>
          <w:lang w:eastAsia="ar-SA"/>
        </w:rPr>
      </w:pPr>
      <w:r w:rsidRPr="00B64E3A">
        <w:rPr>
          <w:rFonts w:asciiTheme="majorHAnsi" w:hAnsiTheme="majorHAnsi" w:cstheme="majorHAnsi"/>
          <w:sz w:val="18"/>
          <w:szCs w:val="18"/>
          <w:lang w:eastAsia="ar-SA"/>
        </w:rPr>
        <w:t>Územní plán respektuje schválenou Politiku územního rozvoje ČR v úplném znění po aktualizaci č. 9 a nadřazenou ÚPD – zásady územního rozvoje ČR, v úplném znění po aktualizaci č. 16. Návrhu územního plánu se dotkla aktualizace ZÚR č. 11 z ledna 2024, týkající se železniční trati Lysá n. L – Kolín. Dopravní koridor KDZ1 byl upraven v souladu s aktualizací ZÚR Středočeského kraje. Územní plán respektuje hodnoty a limity území a řeší území obce v souladu s principy udržitelného rozvoje území.</w:t>
      </w:r>
    </w:p>
    <w:p w14:paraId="14A8E27B" w14:textId="77777777" w:rsidR="00B8260B" w:rsidRPr="006070EA" w:rsidRDefault="00B8260B" w:rsidP="00B64E3A">
      <w:pPr>
        <w:pStyle w:val="Odstavecseseznamem"/>
        <w:keepNext/>
        <w:pageBreakBefore/>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131" w:name="_Toc424119812"/>
      <w:bookmarkStart w:id="132" w:name="_Toc204678177"/>
      <w:r w:rsidRPr="006070EA">
        <w:rPr>
          <w:rFonts w:asciiTheme="majorHAnsi" w:hAnsiTheme="majorHAnsi" w:cstheme="majorHAnsi"/>
          <w:b/>
          <w:sz w:val="24"/>
          <w:szCs w:val="28"/>
        </w:rPr>
        <w:lastRenderedPageBreak/>
        <w:t>VYHODNOCENÍ SPLNĚNÍ POŽADAVKŮ ZADÁNÍ</w:t>
      </w:r>
      <w:bookmarkEnd w:id="131"/>
      <w:bookmarkEnd w:id="132"/>
    </w:p>
    <w:p w14:paraId="2E053C29" w14:textId="77777777" w:rsidR="00B8260B" w:rsidRPr="006070EA" w:rsidRDefault="00B8260B" w:rsidP="009E07E1">
      <w:pPr>
        <w:spacing w:after="120" w:line="240" w:lineRule="auto"/>
        <w:ind w:firstLine="709"/>
        <w:jc w:val="both"/>
        <w:rPr>
          <w:rFonts w:asciiTheme="majorHAnsi" w:hAnsiTheme="majorHAnsi" w:cstheme="majorHAnsi"/>
          <w:i/>
          <w:sz w:val="18"/>
          <w:szCs w:val="18"/>
          <w:lang w:eastAsia="ar-SA"/>
        </w:rPr>
      </w:pPr>
      <w:r w:rsidRPr="006070EA">
        <w:rPr>
          <w:rFonts w:asciiTheme="majorHAnsi" w:hAnsiTheme="majorHAnsi" w:cstheme="majorHAnsi"/>
          <w:i/>
          <w:sz w:val="18"/>
          <w:szCs w:val="18"/>
          <w:lang w:eastAsia="ar-SA"/>
        </w:rPr>
        <w:t>Vyhláška č. 500/2006 Sb., příloha č. 7 část II, odst. 1 b)</w:t>
      </w:r>
    </w:p>
    <w:p w14:paraId="19E1C292" w14:textId="77777777" w:rsidR="00B8260B" w:rsidRPr="006070EA" w:rsidRDefault="00B8260B" w:rsidP="009E07E1">
      <w:pPr>
        <w:spacing w:after="120" w:line="240" w:lineRule="auto"/>
        <w:ind w:firstLine="709"/>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Zpracovává projektant.</w:t>
      </w:r>
    </w:p>
    <w:p w14:paraId="04F20E12" w14:textId="2E139379" w:rsidR="00B8260B" w:rsidRPr="006070EA" w:rsidRDefault="00B8260B" w:rsidP="00D814A9">
      <w:pPr>
        <w:spacing w:after="60" w:line="240" w:lineRule="auto"/>
        <w:ind w:firstLine="709"/>
        <w:jc w:val="both"/>
        <w:rPr>
          <w:rFonts w:asciiTheme="majorHAnsi" w:hAnsiTheme="majorHAnsi" w:cstheme="majorHAnsi"/>
          <w:sz w:val="18"/>
          <w:szCs w:val="18"/>
          <w:lang w:eastAsia="ar-SA"/>
        </w:rPr>
      </w:pPr>
      <w:r w:rsidRPr="006070EA">
        <w:rPr>
          <w:rFonts w:asciiTheme="majorHAnsi" w:hAnsiTheme="majorHAnsi" w:cstheme="majorHAnsi"/>
          <w:sz w:val="18"/>
          <w:szCs w:val="18"/>
          <w:lang w:eastAsia="ar-SA"/>
        </w:rPr>
        <w:t xml:space="preserve">Územní plán </w:t>
      </w:r>
      <w:r w:rsidR="00734352" w:rsidRPr="006070EA">
        <w:rPr>
          <w:rFonts w:asciiTheme="majorHAnsi" w:hAnsiTheme="majorHAnsi" w:cstheme="majorHAnsi"/>
          <w:sz w:val="18"/>
          <w:szCs w:val="18"/>
          <w:lang w:eastAsia="ar-SA"/>
        </w:rPr>
        <w:t>Kostomlaty nad Labem</w:t>
      </w:r>
      <w:r w:rsidRPr="006070EA">
        <w:rPr>
          <w:rFonts w:asciiTheme="majorHAnsi" w:hAnsiTheme="majorHAnsi" w:cstheme="majorHAnsi"/>
          <w:sz w:val="18"/>
          <w:szCs w:val="18"/>
          <w:lang w:eastAsia="ar-SA"/>
        </w:rPr>
        <w:t xml:space="preserve"> je vypracován na základě zadání zpracovaného pořizovatelem územního plánu (</w:t>
      </w:r>
      <w:r w:rsidR="00CA713D" w:rsidRPr="006070EA">
        <w:rPr>
          <w:rFonts w:asciiTheme="majorHAnsi" w:hAnsiTheme="majorHAnsi" w:cstheme="majorHAnsi"/>
          <w:sz w:val="18"/>
          <w:szCs w:val="18"/>
          <w:lang w:eastAsia="ar-SA"/>
        </w:rPr>
        <w:t xml:space="preserve">Městský úřad </w:t>
      </w:r>
      <w:r w:rsidR="00734352" w:rsidRPr="006070EA">
        <w:rPr>
          <w:rFonts w:asciiTheme="majorHAnsi" w:hAnsiTheme="majorHAnsi" w:cstheme="majorHAnsi"/>
          <w:sz w:val="18"/>
          <w:szCs w:val="18"/>
          <w:lang w:eastAsia="ar-SA"/>
        </w:rPr>
        <w:t>Nymburk</w:t>
      </w:r>
      <w:r w:rsidRPr="006070EA">
        <w:rPr>
          <w:rFonts w:asciiTheme="majorHAnsi" w:hAnsiTheme="majorHAnsi" w:cstheme="majorHAnsi"/>
          <w:sz w:val="18"/>
          <w:szCs w:val="18"/>
          <w:lang w:eastAsia="ar-SA"/>
        </w:rPr>
        <w:t xml:space="preserve">). Zadání ÚP </w:t>
      </w:r>
      <w:r w:rsidR="00734352" w:rsidRPr="006070EA">
        <w:rPr>
          <w:rFonts w:asciiTheme="majorHAnsi" w:hAnsiTheme="majorHAnsi" w:cstheme="majorHAnsi"/>
          <w:sz w:val="18"/>
          <w:szCs w:val="18"/>
          <w:lang w:eastAsia="ar-SA"/>
        </w:rPr>
        <w:t>Kostomlaty nad Labem</w:t>
      </w:r>
      <w:r w:rsidR="007F59CA" w:rsidRPr="006070EA">
        <w:rPr>
          <w:rFonts w:asciiTheme="majorHAnsi" w:hAnsiTheme="majorHAnsi" w:cstheme="majorHAnsi"/>
          <w:sz w:val="18"/>
          <w:szCs w:val="18"/>
          <w:lang w:eastAsia="ar-SA"/>
        </w:rPr>
        <w:t xml:space="preserve"> </w:t>
      </w:r>
      <w:r w:rsidRPr="006070EA">
        <w:rPr>
          <w:rFonts w:asciiTheme="majorHAnsi" w:hAnsiTheme="majorHAnsi" w:cstheme="majorHAnsi"/>
          <w:sz w:val="18"/>
          <w:szCs w:val="18"/>
          <w:lang w:eastAsia="ar-SA"/>
        </w:rPr>
        <w:t xml:space="preserve">bylo schváleno </w:t>
      </w:r>
      <w:r w:rsidR="003D2350" w:rsidRPr="006070EA">
        <w:rPr>
          <w:rFonts w:asciiTheme="majorHAnsi" w:hAnsiTheme="majorHAnsi" w:cstheme="majorHAnsi"/>
          <w:sz w:val="18"/>
          <w:szCs w:val="18"/>
          <w:lang w:eastAsia="ar-SA"/>
        </w:rPr>
        <w:t xml:space="preserve">zastupitelstvem obce </w:t>
      </w:r>
      <w:r w:rsidR="00734352" w:rsidRPr="006070EA">
        <w:rPr>
          <w:rFonts w:asciiTheme="majorHAnsi" w:hAnsiTheme="majorHAnsi" w:cstheme="majorHAnsi"/>
          <w:sz w:val="18"/>
          <w:szCs w:val="18"/>
          <w:lang w:eastAsia="ar-SA"/>
        </w:rPr>
        <w:t>Kostomlaty nad Labe</w:t>
      </w:r>
      <w:r w:rsidR="007F59CA" w:rsidRPr="006070EA">
        <w:rPr>
          <w:rFonts w:asciiTheme="majorHAnsi" w:hAnsiTheme="majorHAnsi" w:cstheme="majorHAnsi"/>
          <w:sz w:val="18"/>
          <w:szCs w:val="18"/>
          <w:lang w:eastAsia="ar-SA"/>
        </w:rPr>
        <w:t xml:space="preserve"> dne </w:t>
      </w:r>
      <w:r w:rsidR="00734352" w:rsidRPr="006070EA">
        <w:rPr>
          <w:rFonts w:asciiTheme="majorHAnsi" w:hAnsiTheme="majorHAnsi" w:cstheme="majorHAnsi"/>
          <w:sz w:val="18"/>
          <w:szCs w:val="18"/>
          <w:lang w:eastAsia="ar-SA"/>
        </w:rPr>
        <w:t>21</w:t>
      </w:r>
      <w:r w:rsidR="007F59CA" w:rsidRPr="006070EA">
        <w:rPr>
          <w:rFonts w:asciiTheme="majorHAnsi" w:hAnsiTheme="majorHAnsi" w:cstheme="majorHAnsi"/>
          <w:sz w:val="18"/>
          <w:szCs w:val="18"/>
          <w:lang w:eastAsia="ar-SA"/>
        </w:rPr>
        <w:t>.</w:t>
      </w:r>
      <w:r w:rsidR="00C60834" w:rsidRPr="006070EA">
        <w:rPr>
          <w:rFonts w:asciiTheme="majorHAnsi" w:hAnsiTheme="majorHAnsi" w:cstheme="majorHAnsi"/>
          <w:sz w:val="18"/>
          <w:szCs w:val="18"/>
          <w:lang w:eastAsia="ar-SA"/>
        </w:rPr>
        <w:t xml:space="preserve"> 1</w:t>
      </w:r>
      <w:r w:rsidR="00734352" w:rsidRPr="006070EA">
        <w:rPr>
          <w:rFonts w:asciiTheme="majorHAnsi" w:hAnsiTheme="majorHAnsi" w:cstheme="majorHAnsi"/>
          <w:sz w:val="18"/>
          <w:szCs w:val="18"/>
          <w:lang w:eastAsia="ar-SA"/>
        </w:rPr>
        <w:t>0</w:t>
      </w:r>
      <w:r w:rsidR="007F59CA" w:rsidRPr="006070EA">
        <w:rPr>
          <w:rFonts w:asciiTheme="majorHAnsi" w:hAnsiTheme="majorHAnsi" w:cstheme="majorHAnsi"/>
          <w:sz w:val="18"/>
          <w:szCs w:val="18"/>
          <w:lang w:eastAsia="ar-SA"/>
        </w:rPr>
        <w:t>.</w:t>
      </w:r>
      <w:r w:rsidR="00C60834" w:rsidRPr="006070EA">
        <w:rPr>
          <w:rFonts w:asciiTheme="majorHAnsi" w:hAnsiTheme="majorHAnsi" w:cstheme="majorHAnsi"/>
          <w:sz w:val="18"/>
          <w:szCs w:val="18"/>
          <w:lang w:eastAsia="ar-SA"/>
        </w:rPr>
        <w:t xml:space="preserve"> </w:t>
      </w:r>
      <w:r w:rsidR="007F59CA" w:rsidRPr="006070EA">
        <w:rPr>
          <w:rFonts w:asciiTheme="majorHAnsi" w:hAnsiTheme="majorHAnsi" w:cstheme="majorHAnsi"/>
          <w:sz w:val="18"/>
          <w:szCs w:val="18"/>
          <w:lang w:eastAsia="ar-SA"/>
        </w:rPr>
        <w:t>20</w:t>
      </w:r>
      <w:r w:rsidR="00734352" w:rsidRPr="006070EA">
        <w:rPr>
          <w:rFonts w:asciiTheme="majorHAnsi" w:hAnsiTheme="majorHAnsi" w:cstheme="majorHAnsi"/>
          <w:sz w:val="18"/>
          <w:szCs w:val="18"/>
          <w:lang w:eastAsia="ar-SA"/>
        </w:rPr>
        <w:t>21</w:t>
      </w:r>
      <w:r w:rsidR="007F59CA" w:rsidRPr="006070EA">
        <w:rPr>
          <w:rFonts w:asciiTheme="majorHAnsi" w:hAnsiTheme="majorHAnsi" w:cstheme="majorHAnsi"/>
          <w:sz w:val="18"/>
          <w:szCs w:val="18"/>
          <w:lang w:eastAsia="ar-SA"/>
        </w:rPr>
        <w:t xml:space="preserve"> </w:t>
      </w:r>
      <w:r w:rsidRPr="006070EA">
        <w:rPr>
          <w:rFonts w:asciiTheme="majorHAnsi" w:hAnsiTheme="majorHAnsi" w:cstheme="majorHAnsi"/>
          <w:sz w:val="18"/>
          <w:szCs w:val="18"/>
          <w:lang w:eastAsia="ar-SA"/>
        </w:rPr>
        <w:t xml:space="preserve">usnesením </w:t>
      </w:r>
      <w:r w:rsidR="003D2350" w:rsidRPr="006070EA">
        <w:rPr>
          <w:rFonts w:asciiTheme="majorHAnsi" w:hAnsiTheme="majorHAnsi" w:cstheme="majorHAnsi"/>
          <w:sz w:val="18"/>
          <w:szCs w:val="18"/>
          <w:lang w:eastAsia="ar-SA"/>
        </w:rPr>
        <w:t>č. </w:t>
      </w:r>
      <w:r w:rsidR="00734352" w:rsidRPr="006070EA">
        <w:rPr>
          <w:rFonts w:asciiTheme="majorHAnsi" w:hAnsiTheme="majorHAnsi" w:cstheme="majorHAnsi"/>
          <w:sz w:val="18"/>
          <w:szCs w:val="18"/>
          <w:lang w:eastAsia="ar-SA"/>
        </w:rPr>
        <w:t>7</w:t>
      </w:r>
      <w:r w:rsidR="00C60834" w:rsidRPr="006070EA">
        <w:rPr>
          <w:rFonts w:asciiTheme="majorHAnsi" w:hAnsiTheme="majorHAnsi" w:cstheme="majorHAnsi"/>
          <w:sz w:val="18"/>
          <w:szCs w:val="18"/>
          <w:lang w:eastAsia="ar-SA"/>
        </w:rPr>
        <w:t>/</w:t>
      </w:r>
      <w:r w:rsidR="00734352" w:rsidRPr="006070EA">
        <w:rPr>
          <w:rFonts w:asciiTheme="majorHAnsi" w:hAnsiTheme="majorHAnsi" w:cstheme="majorHAnsi"/>
          <w:sz w:val="18"/>
          <w:szCs w:val="18"/>
          <w:lang w:eastAsia="ar-SA"/>
        </w:rPr>
        <w:t>2021</w:t>
      </w:r>
      <w:r w:rsidRPr="006070EA">
        <w:rPr>
          <w:rFonts w:asciiTheme="majorHAnsi" w:hAnsiTheme="majorHAnsi" w:cstheme="majorHAnsi"/>
          <w:sz w:val="18"/>
          <w:szCs w:val="18"/>
          <w:lang w:eastAsia="ar-SA"/>
        </w:rPr>
        <w:t>.</w:t>
      </w:r>
    </w:p>
    <w:p w14:paraId="55127066" w14:textId="07B4579D" w:rsidR="00A97621" w:rsidRPr="006070EA" w:rsidRDefault="00A97621" w:rsidP="009E07E1">
      <w:pPr>
        <w:spacing w:after="120" w:line="240" w:lineRule="auto"/>
        <w:ind w:firstLine="709"/>
        <w:jc w:val="both"/>
        <w:rPr>
          <w:rFonts w:asciiTheme="majorHAnsi" w:hAnsiTheme="majorHAnsi" w:cstheme="majorHAnsi"/>
          <w:sz w:val="18"/>
          <w:szCs w:val="18"/>
          <w:lang w:eastAsia="ar-SA"/>
        </w:rPr>
      </w:pPr>
      <w:r w:rsidRPr="006070EA">
        <w:rPr>
          <w:rFonts w:asciiTheme="majorHAnsi" w:hAnsiTheme="majorHAnsi" w:cstheme="majorHAnsi"/>
          <w:sz w:val="18"/>
          <w:szCs w:val="18"/>
          <w:lang w:eastAsia="ar-SA"/>
        </w:rPr>
        <w:t xml:space="preserve">Jednotlivé požadavky ze schváleného zadání územního plánu byly v ÚP </w:t>
      </w:r>
      <w:r w:rsidR="00734352" w:rsidRPr="006070EA">
        <w:rPr>
          <w:rFonts w:asciiTheme="majorHAnsi" w:hAnsiTheme="majorHAnsi" w:cstheme="majorHAnsi"/>
          <w:sz w:val="18"/>
          <w:szCs w:val="18"/>
          <w:lang w:eastAsia="ar-SA"/>
        </w:rPr>
        <w:t>Kostomlaty nad Labem</w:t>
      </w:r>
      <w:r w:rsidR="00C60834" w:rsidRPr="006070EA">
        <w:rPr>
          <w:rFonts w:asciiTheme="majorHAnsi" w:hAnsiTheme="majorHAnsi" w:cstheme="majorHAnsi"/>
          <w:sz w:val="18"/>
          <w:szCs w:val="18"/>
          <w:lang w:eastAsia="ar-SA"/>
        </w:rPr>
        <w:t xml:space="preserve"> </w:t>
      </w:r>
      <w:r w:rsidRPr="006070EA">
        <w:rPr>
          <w:rFonts w:asciiTheme="majorHAnsi" w:hAnsiTheme="majorHAnsi" w:cstheme="majorHAnsi"/>
          <w:sz w:val="18"/>
          <w:szCs w:val="18"/>
          <w:lang w:eastAsia="ar-SA"/>
        </w:rPr>
        <w:t>respektovány následujícím způsobem:</w:t>
      </w:r>
    </w:p>
    <w:p w14:paraId="3F6EEB2C" w14:textId="0D787B94" w:rsidR="00C60834" w:rsidRPr="006070EA" w:rsidRDefault="00C60834" w:rsidP="009E07E1">
      <w:pPr>
        <w:spacing w:after="120" w:line="240" w:lineRule="auto"/>
        <w:ind w:firstLine="709"/>
        <w:jc w:val="both"/>
        <w:rPr>
          <w:rFonts w:asciiTheme="majorHAnsi" w:hAnsiTheme="majorHAnsi" w:cstheme="majorHAnsi"/>
          <w:sz w:val="18"/>
          <w:szCs w:val="18"/>
          <w:lang w:eastAsia="ar-SA"/>
        </w:rPr>
      </w:pPr>
      <w:r w:rsidRPr="006070EA">
        <w:rPr>
          <w:rFonts w:asciiTheme="majorHAnsi" w:hAnsiTheme="majorHAnsi" w:cstheme="majorHAnsi"/>
          <w:sz w:val="18"/>
          <w:szCs w:val="18"/>
          <w:lang w:eastAsia="ar-SA"/>
        </w:rPr>
        <w:t xml:space="preserve">(citace ze Zadání ÚP </w:t>
      </w:r>
      <w:r w:rsidR="00734352" w:rsidRPr="006070EA">
        <w:rPr>
          <w:rFonts w:asciiTheme="majorHAnsi" w:hAnsiTheme="majorHAnsi" w:cstheme="majorHAnsi"/>
          <w:sz w:val="18"/>
          <w:szCs w:val="18"/>
          <w:lang w:eastAsia="ar-SA"/>
        </w:rPr>
        <w:t>Kostomlaty nad Labem</w:t>
      </w:r>
      <w:r w:rsidRPr="006070EA">
        <w:rPr>
          <w:rFonts w:asciiTheme="majorHAnsi" w:hAnsiTheme="majorHAnsi" w:cstheme="majorHAnsi"/>
          <w:sz w:val="18"/>
          <w:szCs w:val="18"/>
          <w:lang w:eastAsia="ar-SA"/>
        </w:rPr>
        <w:t xml:space="preserve"> je zvýrazněna kurzívou)</w:t>
      </w:r>
    </w:p>
    <w:p w14:paraId="03D63865" w14:textId="4C3E2699" w:rsidR="0014754E" w:rsidRPr="006070EA" w:rsidRDefault="0014754E" w:rsidP="00B64E3A">
      <w:pPr>
        <w:keepNext/>
        <w:keepLines/>
        <w:spacing w:before="120" w:after="120" w:line="240" w:lineRule="auto"/>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Požadavky na základní koncepci rozvoje území obce, vyjádřené zejména v cílech zlepšování dosavadního stavu, včetně rozvoje obce a ochrany hodnot jejího území, v požadavcích na změnu charakteru obce, jejího vztahu k sídelní struktuře a dostupnosti veřejné infrastruktury</w:t>
      </w:r>
    </w:p>
    <w:p w14:paraId="086F3399"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ověří a upřesní závazné úkoly vyplývající z Politiky Územního rozvoje České republiky – Aktualizace č. 1 – schválená vládou ČR 15. 4. 2015 (PÚR ČR) a z nadřazené územně plánovací dokumentace – Zásad Územního rozvoje Středočeského kraje – Aktualizace č. 1 – nabytí účinnosti 26. 8. 2015 (ZÚR SK). Dne 26.4 2018 byla vydána 2. aktualizace Zásad územního rozvoje Středočeského kraje, Nejedná se však o aktualizaci úplnou, náplní je úprava částí platných Zásad územního rozvoje Středočeského kraje podle § 42 odstavce 6, Stavebního zákona, které byly zrušené Nejvyšším správním soudem. Z obdobných důvodů byla vydaná i aktualizace č. 1 (úprava vedení trasy koridoru pro dálnici D3). Vzhledem k tomu, že ani jedna aktualizace se z výše vypsaných důvodů netýká řešeného území, ale pouze specifických, z právního hlediska kolizních míst, bude ÚP Kostomlaty nad Labem de facto vycházet ze Zásad územního rozvoje Středočeského kraje, které nabyly účinnosti dne 22. 2. 2012. Územní plán rovněž zohlední veškerou platnou územně plánovací dokumentaci na úrovni obcí vztahující se k řešenému území. </w:t>
      </w:r>
    </w:p>
    <w:p w14:paraId="2D1B3698" w14:textId="4F595082"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zajistí plnění úkolů vyplývajících z vydaných a schválených strategických nebo koncepčních dokumentů, jejichž závěry lze v územním plánu řešit. ÚP je však těmto dokumentům nadřazen, a může tedy přinést modifikace jejich závěrů a úkolů z nich vyplývajících. </w:t>
      </w:r>
    </w:p>
    <w:p w14:paraId="080A4009"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bude vycházet ze zjištění, analýz, rozborů a požadavků vyplývajících z územně plánovacích podkladů – ÚAP SO ORP Nymburk – Aktualizace č. </w:t>
      </w:r>
      <w:proofErr w:type="gramStart"/>
      <w:r w:rsidRPr="006070EA">
        <w:rPr>
          <w:rFonts w:asciiTheme="majorHAnsi" w:hAnsiTheme="majorHAnsi" w:cstheme="majorHAnsi"/>
          <w:bCs/>
          <w:i/>
          <w:sz w:val="18"/>
          <w:szCs w:val="18"/>
          <w:lang w:eastAsia="ar-SA"/>
        </w:rPr>
        <w:t>4 – prosinec</w:t>
      </w:r>
      <w:proofErr w:type="gramEnd"/>
      <w:r w:rsidRPr="006070EA">
        <w:rPr>
          <w:rFonts w:asciiTheme="majorHAnsi" w:hAnsiTheme="majorHAnsi" w:cstheme="majorHAnsi"/>
          <w:bCs/>
          <w:i/>
          <w:sz w:val="18"/>
          <w:szCs w:val="18"/>
          <w:lang w:eastAsia="ar-SA"/>
        </w:rPr>
        <w:t xml:space="preserve"> 2016 (ÚAP Nymburk). </w:t>
      </w:r>
    </w:p>
    <w:p w14:paraId="0C475271"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Politiky Územního rozvoje </w:t>
      </w:r>
    </w:p>
    <w:p w14:paraId="2732833B"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v souvislostech řešeného území a v podrobnosti Územního plánu upřesní republikové priority Územního plánování stanovené v PÚR ČR. </w:t>
      </w:r>
    </w:p>
    <w:p w14:paraId="57E14187"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ze ZÚR Středočeského kraje </w:t>
      </w:r>
    </w:p>
    <w:p w14:paraId="576AFF22"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v souvislostech řešeného území a v podrobnosti Územního plánu upřesní priority Územního plánování kraje stanovené v ZÚR SK. </w:t>
      </w:r>
    </w:p>
    <w:p w14:paraId="4D2D9860" w14:textId="77777777" w:rsidR="0014754E" w:rsidRPr="006070EA" w:rsidRDefault="0014754E" w:rsidP="001470C7">
      <w:pPr>
        <w:keepNext/>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ÚAP ORP Nymburk </w:t>
      </w:r>
    </w:p>
    <w:p w14:paraId="693B6786"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 rámci ÚAP Nymburk bude Územní plán v obecné rovině reagovat zejména na výskyt hodnot a limitů vztahujících se k řešenému území. </w:t>
      </w:r>
    </w:p>
    <w:p w14:paraId="26FF78EA"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obce </w:t>
      </w:r>
    </w:p>
    <w:p w14:paraId="445D86E8" w14:textId="1B858A3F"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Základní koncepce rozvoje území obce bude stanovena s ohledem na identifikované hodnoty, záměry a problémy v území vyplývajících zejména z nadřazených dokumentací a územně analytických podkladů ÚAP Nymburk. Územní plán vytvoří obecné podmínky pro udržitelný rozvoj území, bude chránit a rozvíjet přírodní, civilizační a kulturní hodnoty území, včetně urbanistického, architektonického a archeologického dědictví. </w:t>
      </w:r>
    </w:p>
    <w:p w14:paraId="64D74858" w14:textId="65C24066"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Územní plán respektuje schválenou Politiku územního rozvoje ČR, ve znění Aktualizací č. 1, 2, 3, 4</w:t>
      </w:r>
      <w:r w:rsidR="00031B68" w:rsidRPr="006070EA">
        <w:rPr>
          <w:rFonts w:asciiTheme="majorHAnsi" w:hAnsiTheme="majorHAnsi" w:cstheme="majorHAnsi"/>
          <w:color w:val="auto"/>
        </w:rPr>
        <w:t>,</w:t>
      </w:r>
      <w:r w:rsidRPr="006070EA">
        <w:rPr>
          <w:rFonts w:asciiTheme="majorHAnsi" w:hAnsiTheme="majorHAnsi" w:cstheme="majorHAnsi"/>
          <w:color w:val="auto"/>
        </w:rPr>
        <w:t xml:space="preserve"> 5</w:t>
      </w:r>
      <w:r w:rsidR="00031B68" w:rsidRPr="006070EA">
        <w:rPr>
          <w:rFonts w:asciiTheme="majorHAnsi" w:hAnsiTheme="majorHAnsi" w:cstheme="majorHAnsi"/>
          <w:color w:val="auto"/>
        </w:rPr>
        <w:t xml:space="preserve"> a 6</w:t>
      </w:r>
      <w:r w:rsidRPr="006070EA">
        <w:rPr>
          <w:rFonts w:asciiTheme="majorHAnsi" w:hAnsiTheme="majorHAnsi" w:cstheme="majorHAnsi"/>
          <w:color w:val="auto"/>
        </w:rPr>
        <w:t xml:space="preserve"> a nadřazenou ÚPD – Zásady územního rozvoje Středočeského kraje </w:t>
      </w:r>
      <w:r w:rsidR="00031B68" w:rsidRPr="006070EA">
        <w:rPr>
          <w:rFonts w:asciiTheme="majorHAnsi" w:hAnsiTheme="majorHAnsi" w:cstheme="majorHAnsi"/>
          <w:color w:val="auto"/>
        </w:rPr>
        <w:t>v aktuálním znění</w:t>
      </w:r>
      <w:r w:rsidRPr="006070EA">
        <w:rPr>
          <w:rFonts w:asciiTheme="majorHAnsi" w:hAnsiTheme="majorHAnsi" w:cstheme="majorHAnsi"/>
          <w:color w:val="auto"/>
        </w:rPr>
        <w:t xml:space="preserve">. Vyhodnocení souladu územního plánu s Politikou územního rozvoje a územně plánovací dokumentací vydanou krajem je obsahem kapitoly 3 tohoto Odůvodnění. </w:t>
      </w:r>
    </w:p>
    <w:p w14:paraId="31FF34F5" w14:textId="682D7ACB"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ab/>
        <w:t>Územní plán respektuje hodnoty a limity i další relevantní informace o území vyplývající z územně analytických podkladů ORP Nymburk. Na základě vyhodnocení těchto i dalších dostupných informací o území jsou stanovovány jednotlivé rozvojové koncepce územním plánem.</w:t>
      </w:r>
    </w:p>
    <w:p w14:paraId="269F5E71" w14:textId="77777777"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ab/>
        <w:t xml:space="preserve">Územní plán Kostomlaty nad Labem řeší území obce v souladu s principy udržitelného rozvoje území. Snahou je vyrovnání pilířů životního prostředí, hospodárného rozvoje a sociální soudržnosti. Koncepce rozvoje obce byla vytvořena při zohlednění pozice obce v sídelní struktuře, jejích charakteristických rysů a analyzovaného rozvojového potenciálu. Územní plán rozvíjí další bytovou výstavbu v obci v rozsahu na základě odborně zpracovaného vyhodnocení potřeby vymezení zastavitelných ploch, které je součástí kapitoly 10 tohoto Odůvodnění. </w:t>
      </w:r>
      <w:r w:rsidRPr="006070EA">
        <w:rPr>
          <w:rFonts w:asciiTheme="majorHAnsi" w:hAnsiTheme="majorHAnsi" w:cstheme="majorHAnsi"/>
          <w:color w:val="auto"/>
        </w:rPr>
        <w:lastRenderedPageBreak/>
        <w:t xml:space="preserve">ÚP členěním řešeného území bezvýhradně na jednotlivé plochy s rozdílným způsobem využití stabilizuje v řešeném území další funkce, zejména klade důraz na zachování a rozvoj občanského vybavení, podnikatelských aktivit včetně zemědělské výroby, technické infrastruktury a zachování stability charakteristického uspořádání krajiny. </w:t>
      </w:r>
    </w:p>
    <w:p w14:paraId="6228C70F" w14:textId="77777777" w:rsidR="0014754E" w:rsidRPr="006070EA" w:rsidRDefault="0014754E" w:rsidP="0014754E">
      <w:pPr>
        <w:spacing w:before="120" w:after="120" w:line="240" w:lineRule="auto"/>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Požadavky na urbanistickou koncepci, zejména na prověření plošného a prostorového uspořádání zastavěného území a na prověření možných změn, včetně vymezení zastavitelných ploch</w:t>
      </w:r>
    </w:p>
    <w:p w14:paraId="4A536BE8"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bude členit území na plochy s rozdílným způsobem využití. Tyto plochy lze s ohledem na specifické podmínky a charakter území dále podrobněji členit dle ustanovení § 3 odst. 4 vyhlášky č. 501/2006 Sb., o obecných požadavcích na využívání území, v platném znění. Při vymezování ploch bude využita aktuální verze metodiky minimálního standardu pro digitální zpracování Územních plánů v GIS pro Středočeský kraj (MINIS). </w:t>
      </w:r>
    </w:p>
    <w:p w14:paraId="7D5F8030" w14:textId="77777777" w:rsidR="0014754E" w:rsidRPr="006070EA" w:rsidRDefault="0014754E" w:rsidP="00B64E3A">
      <w:pPr>
        <w:keepNext/>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Politiky Územního rozvoje </w:t>
      </w:r>
    </w:p>
    <w:p w14:paraId="53C5BAA1"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Ve vztahu k urbanistické koncepci řešeného území budou zohledněny republikové priority územního plánování pro zajištění udržitelného rozvoje území č. </w:t>
      </w:r>
      <w:proofErr w:type="gramStart"/>
      <w:r w:rsidRPr="006070EA">
        <w:rPr>
          <w:rFonts w:asciiTheme="majorHAnsi" w:hAnsiTheme="majorHAnsi" w:cstheme="majorHAnsi"/>
          <w:bCs/>
          <w:i/>
          <w:sz w:val="18"/>
          <w:szCs w:val="18"/>
          <w:lang w:eastAsia="ar-SA"/>
        </w:rPr>
        <w:t>14 – 32</w:t>
      </w:r>
      <w:proofErr w:type="gramEnd"/>
      <w:r w:rsidRPr="006070EA">
        <w:rPr>
          <w:rFonts w:asciiTheme="majorHAnsi" w:hAnsiTheme="majorHAnsi" w:cstheme="majorHAnsi"/>
          <w:bCs/>
          <w:i/>
          <w:sz w:val="18"/>
          <w:szCs w:val="18"/>
          <w:lang w:eastAsia="ar-SA"/>
        </w:rPr>
        <w:t xml:space="preserve">. a úzká vazba na rozvojové oblasti republikového významu – OB1 Metropolitní rozvojová oblast Praha, OBk1 – Střední Polabí. Dalším podstatným efektem je v případě Kostomlat nad Labem spolupůsobení center Lysá nad Labem, Nymburk, Poděbrady. </w:t>
      </w:r>
    </w:p>
    <w:p w14:paraId="6395A2CE"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Při rozhodování a posuzování záměrů na změny území je z hlediska požadavků na urbanistickou koncepci nutno sledovat zejména: </w:t>
      </w:r>
    </w:p>
    <w:p w14:paraId="7E939D63" w14:textId="357A3D61" w:rsidR="0014754E" w:rsidRPr="006070EA" w:rsidRDefault="0014754E" w:rsidP="0014754E">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rozvoj bydlení při upřednostnění rozvoje uvnitř zastavěného území a předcházení prostorové sociální segregaci, fragmentaci krajiny nově vymezenými zastavitelnými plochami a záborům ploch veřejné zeleně sloužící svému účelu, </w:t>
      </w:r>
    </w:p>
    <w:p w14:paraId="0009D608" w14:textId="507A4583" w:rsidR="0014754E" w:rsidRPr="006070EA" w:rsidRDefault="0014754E" w:rsidP="0014754E">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nové využití nevyužívaných průmyslových, skladových, dopravních a jiných ploch, </w:t>
      </w:r>
    </w:p>
    <w:p w14:paraId="14649626" w14:textId="5D8D76D9" w:rsidR="0014754E" w:rsidRPr="006070EA" w:rsidRDefault="0014754E" w:rsidP="0014754E">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řešení revitalizace opuštěných areálů a ploch (např. předcházející těžbou, průmyslovým využitím apod.), účelnou organizaci materiálových toků a nakládání s odpady. </w:t>
      </w:r>
    </w:p>
    <w:p w14:paraId="71E0EDD8"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ze ZÚR Středočeského kraje </w:t>
      </w:r>
    </w:p>
    <w:p w14:paraId="5D116E3F"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Ve vztahu k urbanistické koncepci řešeného území budou zohledněny priority územního plánování kraje pro zajištění udržitelného rozvoje území č. </w:t>
      </w:r>
      <w:proofErr w:type="gramStart"/>
      <w:r w:rsidRPr="006070EA">
        <w:rPr>
          <w:rFonts w:asciiTheme="majorHAnsi" w:hAnsiTheme="majorHAnsi" w:cstheme="majorHAnsi"/>
          <w:bCs/>
          <w:i/>
          <w:sz w:val="18"/>
          <w:szCs w:val="18"/>
          <w:lang w:eastAsia="ar-SA"/>
        </w:rPr>
        <w:t>01 – 09</w:t>
      </w:r>
      <w:proofErr w:type="gramEnd"/>
      <w:r w:rsidRPr="006070EA">
        <w:rPr>
          <w:rFonts w:asciiTheme="majorHAnsi" w:hAnsiTheme="majorHAnsi" w:cstheme="majorHAnsi"/>
          <w:bCs/>
          <w:i/>
          <w:sz w:val="18"/>
          <w:szCs w:val="18"/>
          <w:lang w:eastAsia="ar-SA"/>
        </w:rPr>
        <w:t xml:space="preserve">. </w:t>
      </w:r>
    </w:p>
    <w:p w14:paraId="00BF5B8E"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Při rozhodování a posuzování záměrů na změny území v rozvojové ose je z hlediska požadavků na urbanistickou koncepci nutno zohlednit zejména následující body: </w:t>
      </w:r>
    </w:p>
    <w:p w14:paraId="482802F1" w14:textId="783B74A4" w:rsidR="0014754E" w:rsidRPr="006070EA" w:rsidRDefault="0014754E" w:rsidP="0014754E">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ověřit rozsah zastavitelných ploch a stanovit směry jejich využití s ohledem na kapacity obsluhy dopravní a technickou infrastrukturou, limity rozvoje území a ochranu krajiny. </w:t>
      </w:r>
    </w:p>
    <w:p w14:paraId="1DDBC79A"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ÚAP ORP Nymburk </w:t>
      </w:r>
    </w:p>
    <w:p w14:paraId="13851618"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Ve vztahu k urbanistické koncepci řešeného území budou kromě standardizovaných sledovaných jevů, prověřeny následující záměry a problémy: </w:t>
      </w:r>
    </w:p>
    <w:p w14:paraId="73AD6491" w14:textId="74C68B13" w:rsidR="0014754E" w:rsidRPr="006070EA" w:rsidRDefault="0014754E" w:rsidP="0014754E">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vedení </w:t>
      </w:r>
      <w:proofErr w:type="gramStart"/>
      <w:r w:rsidRPr="006070EA">
        <w:rPr>
          <w:rFonts w:asciiTheme="majorHAnsi" w:hAnsiTheme="majorHAnsi" w:cstheme="majorHAnsi"/>
          <w:bCs/>
          <w:i/>
          <w:sz w:val="18"/>
          <w:szCs w:val="18"/>
          <w:lang w:eastAsia="ar-SA"/>
        </w:rPr>
        <w:t>el.sítě</w:t>
      </w:r>
      <w:proofErr w:type="gramEnd"/>
      <w:r w:rsidRPr="006070EA">
        <w:rPr>
          <w:rFonts w:asciiTheme="majorHAnsi" w:hAnsiTheme="majorHAnsi" w:cstheme="majorHAnsi"/>
          <w:bCs/>
          <w:i/>
          <w:sz w:val="18"/>
          <w:szCs w:val="18"/>
          <w:lang w:eastAsia="ar-SA"/>
        </w:rPr>
        <w:t xml:space="preserve"> NN (Kostomlaty nad Labem) </w:t>
      </w:r>
    </w:p>
    <w:p w14:paraId="5DF80450" w14:textId="400FBDA6" w:rsidR="0014754E" w:rsidRPr="006070EA" w:rsidRDefault="0014754E" w:rsidP="0014754E">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plynovod STL (Kostomlaty nad Labem) </w:t>
      </w:r>
    </w:p>
    <w:p w14:paraId="0ECA51CC" w14:textId="7C3F3707" w:rsidR="0014754E" w:rsidRPr="006070EA" w:rsidRDefault="0014754E" w:rsidP="0014754E">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vodovod (Lány, Hronětice Rozkoš, Vápensko) </w:t>
      </w:r>
    </w:p>
    <w:p w14:paraId="02B0C5B2" w14:textId="473D7CA7" w:rsidR="0014754E" w:rsidRPr="006070EA" w:rsidRDefault="0014754E" w:rsidP="0014754E">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kanalizace (Hronětice, Rozkoš, Vápensko) </w:t>
      </w:r>
    </w:p>
    <w:p w14:paraId="6A76FCC4"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obce </w:t>
      </w:r>
    </w:p>
    <w:p w14:paraId="71CBE33C"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 celém řešeném území bude v souladu se stavebním zákonem a souvisejícími právními předpisy vymezeno zastavěné území. Územní plán bude členit území na plochy s rozdílným způsobem využití. Tyto plochy lze s ohledem na specifické podmínky a charakter území dále podrobněji dělit dle ustanovení § 3 odst. 4 vyhlášky č. 501/2006 Sb., o obecných požadavcích na využívání území, v platném znění. Při vymezování ploch bude využita aktuální verze metodiky minimálního standardu pro digitální zpracování Územních plánů v GIS pro Středočeský kraj (MINIS). Součástí odůvodnění ÚP bude vyhodnocení účelného využití zastavěného území a vyhodnocení potřeby vymezení zastavitelných ploch. </w:t>
      </w:r>
    </w:p>
    <w:p w14:paraId="35D9748D"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Stávající urbanistická koncepce bude zachována – bude respektován a posílen stávající charakter sídel. Zvláštní zřetel bude brán na zvýšený urbanizační tlak zapříčiněný vysokou atraktivitou území a jeho dopady na dosud nezastavěné území. </w:t>
      </w:r>
    </w:p>
    <w:p w14:paraId="72591385" w14:textId="77777777"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Zastavitelné plochy budou řešeny tak, aby sídlo vhodně rozvíjely s cílem omezit nevhodný zásah do krajiny. Je nutné brát zřetel na postupné vyčerpávání prostoro-rozvojového potenciálu obce (limity využití území X socioekonomická atraktivita území). </w:t>
      </w:r>
    </w:p>
    <w:p w14:paraId="0889B463" w14:textId="5B5C17DD" w:rsidR="0014754E" w:rsidRPr="006070EA" w:rsidRDefault="0014754E" w:rsidP="0014754E">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ÚP stanoví podmínky pro využití ploch s rozdílným způsobem využití (hlavní využití, pokud je možné jej stanovit, přípustné využití, nepřípustné využití, popřípadě podmíněně přípustné využití). Podle účelnosti budou vymezeny plochy a koridory územních rezerv s cílem prověřit možnost budoucího využití pro stanovený účel. V případě potřeby (zejména ve vztahu k</w:t>
      </w:r>
      <w:r w:rsidR="00BC3F41" w:rsidRPr="006070EA">
        <w:rPr>
          <w:rFonts w:asciiTheme="majorHAnsi" w:hAnsiTheme="majorHAnsi" w:cstheme="majorHAnsi"/>
          <w:bCs/>
          <w:i/>
          <w:sz w:val="18"/>
          <w:szCs w:val="18"/>
          <w:lang w:eastAsia="ar-SA"/>
        </w:rPr>
        <w:t> </w:t>
      </w:r>
      <w:r w:rsidRPr="006070EA">
        <w:rPr>
          <w:rFonts w:asciiTheme="majorHAnsi" w:hAnsiTheme="majorHAnsi" w:cstheme="majorHAnsi"/>
          <w:bCs/>
          <w:i/>
          <w:sz w:val="18"/>
          <w:szCs w:val="18"/>
          <w:lang w:eastAsia="ar-SA"/>
        </w:rPr>
        <w:t xml:space="preserve">budování dopravní a technické infrastruktury) bude stanoveno pořadí změn v </w:t>
      </w:r>
      <w:proofErr w:type="gramStart"/>
      <w:r w:rsidRPr="006070EA">
        <w:rPr>
          <w:rFonts w:asciiTheme="majorHAnsi" w:hAnsiTheme="majorHAnsi" w:cstheme="majorHAnsi"/>
          <w:bCs/>
          <w:i/>
          <w:sz w:val="18"/>
          <w:szCs w:val="18"/>
          <w:lang w:eastAsia="ar-SA"/>
        </w:rPr>
        <w:t>území - etapizace</w:t>
      </w:r>
      <w:proofErr w:type="gramEnd"/>
      <w:r w:rsidRPr="006070EA">
        <w:rPr>
          <w:rFonts w:asciiTheme="majorHAnsi" w:hAnsiTheme="majorHAnsi" w:cstheme="majorHAnsi"/>
          <w:bCs/>
          <w:i/>
          <w:sz w:val="18"/>
          <w:szCs w:val="18"/>
          <w:lang w:eastAsia="ar-SA"/>
        </w:rPr>
        <w:t>.</w:t>
      </w:r>
    </w:p>
    <w:p w14:paraId="7EE7E991" w14:textId="77777777"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 xml:space="preserve">Územním plánem je respektována stávající urbanistická koncepce a charakter sídel. Územní plán člení řešené území bezvýhradně na jednotlivé plochy s rozdílným způsobem využití a stabilizuje v řešeném území další funkce, zejména </w:t>
      </w:r>
      <w:r w:rsidRPr="006070EA">
        <w:rPr>
          <w:rFonts w:asciiTheme="majorHAnsi" w:hAnsiTheme="majorHAnsi" w:cstheme="majorHAnsi"/>
          <w:color w:val="auto"/>
        </w:rPr>
        <w:lastRenderedPageBreak/>
        <w:t>klade důraz na zachování a rozvoj občanského vybavení, podnikatelských aktivit včetně zemědělské výroby, technické infrastruktury a zachování stability charakteristického uspořádání krajiny, a to dle platných metodik.</w:t>
      </w:r>
    </w:p>
    <w:p w14:paraId="21F868B9" w14:textId="4F1336CC"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Územním plánem je respektována poloha řešeného území mimo rozvojové osy a oblasti jak republikového, tak krajského významu, ale současně na významné dopravní linii mezi vyššími centry osídlení (Lysá nad Labem, Nymburk) a rovněž v relativně dobré dostupnosti Prahy. Územním plánem jsou především rozvíjeny plochy trvalého bydlení (vč. ploch smíšených obytných), a to vždy v návaznosti na stávající zastavěné území a systém veřejné infrastruktury, aby nedocházelo k zakládání nových sídel v krajině či sociální segregaci. V území jsou stabilizovány či mírně rozvíjeny plochy výroby (zemědělské i lehkého průmyslu), čímž je podporován hospodářský pilíř území a</w:t>
      </w:r>
      <w:r w:rsidR="00031B68" w:rsidRPr="006070EA">
        <w:rPr>
          <w:rFonts w:asciiTheme="majorHAnsi" w:hAnsiTheme="majorHAnsi" w:cstheme="majorHAnsi"/>
          <w:color w:val="auto"/>
        </w:rPr>
        <w:t> </w:t>
      </w:r>
      <w:r w:rsidRPr="006070EA">
        <w:rPr>
          <w:rFonts w:asciiTheme="majorHAnsi" w:hAnsiTheme="majorHAnsi" w:cstheme="majorHAnsi"/>
          <w:color w:val="auto"/>
        </w:rPr>
        <w:t>ekonomická stabilita.</w:t>
      </w:r>
    </w:p>
    <w:p w14:paraId="51D63D39" w14:textId="77777777"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Soulad s nadřazenou ÚPD kraje (ZÚR Středočeského kraje) je obsahem kapitoly 3 tohoto Odůvodnění. Veškeré rozvojové plochy jsou dimenzovány a vymezeny s ohledem na kapacity veřejné dopravní a technické infrastruktury. Pro tu jsou případně navrženy nové zastavitelné plochy či koridory umožňující její rozvoj.</w:t>
      </w:r>
    </w:p>
    <w:p w14:paraId="24A9B30D" w14:textId="19C6B25B"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Územním plánem jsou respektovány a případně rozvíjeny stávající systémy technické infrastruktury. Pro koordinovaný rozvoj a napojení částí Vápensko, Hronětice a Rozkoš na vodovodní a kanalizační systém je vymezen koridor technické infrastruktury (</w:t>
      </w:r>
      <w:r w:rsidR="00031B68" w:rsidRPr="006070EA">
        <w:rPr>
          <w:rFonts w:asciiTheme="majorHAnsi" w:hAnsiTheme="majorHAnsi" w:cstheme="majorHAnsi"/>
          <w:color w:val="auto"/>
        </w:rPr>
        <w:t>CNU.</w:t>
      </w:r>
      <w:r w:rsidRPr="006070EA">
        <w:rPr>
          <w:rFonts w:asciiTheme="majorHAnsi" w:hAnsiTheme="majorHAnsi" w:cstheme="majorHAnsi"/>
          <w:color w:val="auto"/>
        </w:rPr>
        <w:t>KTI1).</w:t>
      </w:r>
    </w:p>
    <w:p w14:paraId="0B1BB80D" w14:textId="77777777" w:rsidR="00044688" w:rsidRPr="006070EA" w:rsidRDefault="00044688" w:rsidP="00044688">
      <w:pPr>
        <w:keepNext/>
        <w:spacing w:before="120" w:after="120" w:line="240" w:lineRule="auto"/>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Požadavky na koncepci veřejné infrastruktury, zejména na prověření uspořádání veřejné infrastruktury a možnosti jejích změn</w:t>
      </w:r>
    </w:p>
    <w:p w14:paraId="12F3AA07" w14:textId="77777777" w:rsidR="00044688" w:rsidRPr="006070EA" w:rsidRDefault="00044688" w:rsidP="00560FA1">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 Územním plánu bude koncepce veřejné infrastruktury navržena v souladu s požadavky na rozvoj obce a požadavky na urbanistickou koncepci, které jsou uvedeny v předchozích kapitolách zadání a na koncepci uspořádání krajiny, která je uvedena v kapitole následující. Koncepce dopravní a technické infrastruktury bude respektovat přírodní, kulturní a civilizační hodnoty území. Zvláštní pozornost bude ÚP věnovat lokalizaci, podpoře a kooperaci z hlediska veřejné infrastruktury jednotlivých urbanizačních jader (historické jádro obce (Vápensko) X nová zástavba. Územní plán jednoznačně definuje jejich význam a pozici ve struktuře obce. </w:t>
      </w:r>
    </w:p>
    <w:p w14:paraId="680848D8"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u w:val="single"/>
          <w:lang w:eastAsia="ar-SA"/>
        </w:rPr>
      </w:pPr>
      <w:r w:rsidRPr="006070EA">
        <w:rPr>
          <w:rFonts w:asciiTheme="majorHAnsi" w:hAnsiTheme="majorHAnsi" w:cstheme="majorHAnsi"/>
          <w:bCs/>
          <w:i/>
          <w:sz w:val="18"/>
          <w:szCs w:val="18"/>
          <w:u w:val="single"/>
          <w:lang w:eastAsia="ar-SA"/>
        </w:rPr>
        <w:t xml:space="preserve">Dopravní infrastruktura </w:t>
      </w:r>
    </w:p>
    <w:p w14:paraId="20DF7703"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Politiky Územního rozvoje </w:t>
      </w:r>
    </w:p>
    <w:p w14:paraId="37E58130"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Nad rámec výše zmíněných obecných priorit a vazeb PÚR ČR je třeba v případě koncepce dopravní infrastruktury sledovat zejména: </w:t>
      </w:r>
    </w:p>
    <w:p w14:paraId="7A99D2C5" w14:textId="7C7742F7"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možnosti využití stávající veřejné infrastruktury a potřebu jejího dalšího rozvoje a dobudování při současném respektování přírodních, kulturních a civilizačních hodnot území, </w:t>
      </w:r>
    </w:p>
    <w:p w14:paraId="7A37C294" w14:textId="6B39166F"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nové využití nevyužívaných průmyslových, skladových, dopravních a jiných ploch, </w:t>
      </w:r>
    </w:p>
    <w:p w14:paraId="4830A113" w14:textId="155E0247"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ochranu a využití rekreačního potenciálu krajiny, </w:t>
      </w:r>
    </w:p>
    <w:p w14:paraId="0CA032BE" w14:textId="19E44647"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minimalizování ovlivnění přírodních a krajinných hodnot území. </w:t>
      </w:r>
    </w:p>
    <w:p w14:paraId="78C75885"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ze ZÚR Středočeského kraje </w:t>
      </w:r>
    </w:p>
    <w:p w14:paraId="129BDAAF"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Nad rámec výše zmíněných obecných priorit a vazeb ZÚR SK je třeba v případě koncepce dopravní infrastruktury zohlednit zejména následující body: </w:t>
      </w:r>
    </w:p>
    <w:p w14:paraId="00212280" w14:textId="6A148A0D"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rozvoj bydlení sledovat zejména do Kostomlat nad Labem s vazbou na železniční trať Praha – Lysá nad Labem – Nymburk. </w:t>
      </w:r>
    </w:p>
    <w:p w14:paraId="12354173" w14:textId="0CAA3208"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ověřit rozsah zastavitelných ploch a stanovit směry jejich využití s ohledem na kapacity obsluhy dopravní a technickou infrastrukturou, limity rozvoje území a ochranu krajiny. </w:t>
      </w:r>
    </w:p>
    <w:p w14:paraId="201C8E0E"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ÚAP ORP Nymburk </w:t>
      </w:r>
    </w:p>
    <w:p w14:paraId="0282768E"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Ve vztahu ke koncepci dopravní infrastruktury řešeného území budou kromě standardizovaných, ze zákona sledovaných jevů, prověřeny následující záměry a problémy: </w:t>
      </w:r>
    </w:p>
    <w:p w14:paraId="620AC581" w14:textId="1CCC9F95"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prověřit potřebu přeložky silnice II/331 (jižního obchvatu Kostomlat nad Labem) </w:t>
      </w:r>
    </w:p>
    <w:p w14:paraId="5247CE3D" w14:textId="77777777" w:rsidR="00044688" w:rsidRPr="006070EA" w:rsidRDefault="00044688" w:rsidP="00F90B15">
      <w:pPr>
        <w:keepNext/>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obce </w:t>
      </w:r>
    </w:p>
    <w:p w14:paraId="27BFEBFA"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kromě výše uvedených úkolů dále prověří možnosti zvýšení prostupnosti v podobě obnovy a rozvoje historické komunikační sítě. </w:t>
      </w:r>
    </w:p>
    <w:p w14:paraId="08CCAC4B" w14:textId="006D3080"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Zvláštní důraz bude kladen na možnosti řešení mimoúrovňového křížení železniční tratě v souladu s připravovanou „Modernizací traťového úseku Nymburk – Lysá nad Labem“. </w:t>
      </w:r>
    </w:p>
    <w:p w14:paraId="71DC4690" w14:textId="77777777"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Územním plánem je respektována a dále rozvíjena veřejná infrastruktura řešeného území. Rozvojové záměry nejsou v kolizi s přírodními a krajinnými hodnotami v území.</w:t>
      </w:r>
    </w:p>
    <w:p w14:paraId="2A8BEE23" w14:textId="77777777"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 xml:space="preserve">Hlavní pozornost rozvoje se soustředí na přirozené centrum řešeného území, tedy obec Kostomlaty nad Labem a související části, které mají kvalitní přístup k železničnímu spojení s vyššími centry osídlení. Zastavitelné plochy jsou přitom vymezovány v návaznosti na zastavěné území a veřejnou infrastrukturu. </w:t>
      </w:r>
    </w:p>
    <w:p w14:paraId="77EA4815" w14:textId="066CF6A5"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Územním plánem je vymezen koridor dopravní infrastruktury železniční (</w:t>
      </w:r>
      <w:bookmarkStart w:id="133" w:name="_Hlk177995590"/>
      <w:r w:rsidR="00031B68" w:rsidRPr="006070EA">
        <w:rPr>
          <w:rFonts w:asciiTheme="majorHAnsi" w:hAnsiTheme="majorHAnsi" w:cstheme="majorHAnsi"/>
          <w:color w:val="auto"/>
        </w:rPr>
        <w:t>CN</w:t>
      </w:r>
      <w:r w:rsidR="0097451F">
        <w:rPr>
          <w:rFonts w:asciiTheme="majorHAnsi" w:hAnsiTheme="majorHAnsi" w:cstheme="majorHAnsi"/>
          <w:color w:val="auto"/>
        </w:rPr>
        <w:t>Z</w:t>
      </w:r>
      <w:r w:rsidR="00031B68" w:rsidRPr="006070EA">
        <w:rPr>
          <w:rFonts w:asciiTheme="majorHAnsi" w:hAnsiTheme="majorHAnsi" w:cstheme="majorHAnsi"/>
          <w:color w:val="auto"/>
        </w:rPr>
        <w:t>.</w:t>
      </w:r>
      <w:r w:rsidR="0097451F">
        <w:rPr>
          <w:rFonts w:asciiTheme="majorHAnsi" w:hAnsiTheme="majorHAnsi" w:cstheme="majorHAnsi"/>
          <w:color w:val="auto"/>
        </w:rPr>
        <w:t>D322</w:t>
      </w:r>
      <w:bookmarkEnd w:id="133"/>
      <w:r w:rsidRPr="006070EA">
        <w:rPr>
          <w:rFonts w:asciiTheme="majorHAnsi" w:hAnsiTheme="majorHAnsi" w:cstheme="majorHAnsi"/>
          <w:color w:val="auto"/>
        </w:rPr>
        <w:t>) pro realizaci mimoúrovňového křížení železniční tratě a modernizaci traťového úseku Lysá nad Labem – Nymburk (trať č. 231)</w:t>
      </w:r>
      <w:r w:rsidR="000C479F" w:rsidRPr="006070EA">
        <w:rPr>
          <w:rFonts w:asciiTheme="majorHAnsi" w:hAnsiTheme="majorHAnsi" w:cstheme="majorHAnsi"/>
          <w:color w:val="auto"/>
        </w:rPr>
        <w:t xml:space="preserve"> a</w:t>
      </w:r>
      <w:r w:rsidR="0097451F">
        <w:rPr>
          <w:rFonts w:asciiTheme="majorHAnsi" w:hAnsiTheme="majorHAnsi" w:cstheme="majorHAnsi"/>
          <w:color w:val="auto"/>
        </w:rPr>
        <w:t xml:space="preserve"> </w:t>
      </w:r>
      <w:r w:rsidR="0097451F">
        <w:rPr>
          <w:rFonts w:asciiTheme="majorHAnsi" w:hAnsiTheme="majorHAnsi" w:cstheme="majorHAnsi"/>
          <w:color w:val="auto"/>
        </w:rPr>
        <w:lastRenderedPageBreak/>
        <w:t>CNU.KD1</w:t>
      </w:r>
      <w:r w:rsidR="00C208DE">
        <w:rPr>
          <w:rFonts w:asciiTheme="majorHAnsi" w:hAnsiTheme="majorHAnsi" w:cstheme="majorHAnsi"/>
          <w:color w:val="auto"/>
        </w:rPr>
        <w:t>,</w:t>
      </w:r>
      <w:r w:rsidR="0097451F">
        <w:rPr>
          <w:rFonts w:asciiTheme="majorHAnsi" w:hAnsiTheme="majorHAnsi" w:cstheme="majorHAnsi"/>
          <w:color w:val="auto"/>
        </w:rPr>
        <w:t xml:space="preserve"> CNU.KD2</w:t>
      </w:r>
      <w:r w:rsidR="00C208DE">
        <w:rPr>
          <w:rFonts w:asciiTheme="majorHAnsi" w:hAnsiTheme="majorHAnsi" w:cstheme="majorHAnsi"/>
          <w:color w:val="auto"/>
        </w:rPr>
        <w:t>, CNU.KD3</w:t>
      </w:r>
      <w:r w:rsidR="00031B68" w:rsidRPr="006070EA">
        <w:rPr>
          <w:rFonts w:asciiTheme="majorHAnsi" w:hAnsiTheme="majorHAnsi" w:cstheme="majorHAnsi"/>
          <w:color w:val="auto"/>
        </w:rPr>
        <w:t> </w:t>
      </w:r>
      <w:r w:rsidR="000C479F" w:rsidRPr="006070EA">
        <w:rPr>
          <w:rFonts w:asciiTheme="majorHAnsi" w:hAnsiTheme="majorHAnsi" w:cstheme="majorHAnsi"/>
          <w:color w:val="auto"/>
        </w:rPr>
        <w:t>související přeložku silnice III. třídy</w:t>
      </w:r>
      <w:r w:rsidRPr="006070EA">
        <w:rPr>
          <w:rFonts w:asciiTheme="majorHAnsi" w:hAnsiTheme="majorHAnsi" w:cstheme="majorHAnsi"/>
          <w:color w:val="auto"/>
        </w:rPr>
        <w:t>.</w:t>
      </w:r>
      <w:r w:rsidR="000C479F" w:rsidRPr="006070EA">
        <w:rPr>
          <w:rFonts w:asciiTheme="majorHAnsi" w:hAnsiTheme="majorHAnsi" w:cstheme="majorHAnsi"/>
          <w:color w:val="auto"/>
        </w:rPr>
        <w:t xml:space="preserve"> Potřeba pro vymezení přeložky silnice II/331 byla prověřena a v rámci návrhu ÚP pro společné jednání byl za tímto záměrem vymezen koridor územní rezervy, který byl však vypuštěn na základě vyhodnocení společného jednání.</w:t>
      </w:r>
    </w:p>
    <w:p w14:paraId="2EFA5DE3" w14:textId="77777777" w:rsidR="00044688" w:rsidRPr="006070EA" w:rsidRDefault="00044688" w:rsidP="00BC3F41">
      <w:pPr>
        <w:keepNext/>
        <w:tabs>
          <w:tab w:val="left" w:pos="567"/>
          <w:tab w:val="left" w:pos="851"/>
        </w:tabs>
        <w:spacing w:before="120" w:after="60" w:line="240" w:lineRule="auto"/>
        <w:jc w:val="both"/>
        <w:rPr>
          <w:rFonts w:asciiTheme="majorHAnsi" w:hAnsiTheme="majorHAnsi" w:cstheme="majorHAnsi"/>
          <w:bCs/>
          <w:i/>
          <w:sz w:val="18"/>
          <w:szCs w:val="18"/>
          <w:u w:val="single"/>
          <w:lang w:eastAsia="ar-SA"/>
        </w:rPr>
      </w:pPr>
      <w:r w:rsidRPr="006070EA">
        <w:rPr>
          <w:rFonts w:asciiTheme="majorHAnsi" w:hAnsiTheme="majorHAnsi" w:cstheme="majorHAnsi"/>
          <w:bCs/>
          <w:i/>
          <w:sz w:val="18"/>
          <w:szCs w:val="18"/>
          <w:u w:val="single"/>
          <w:lang w:eastAsia="ar-SA"/>
        </w:rPr>
        <w:t xml:space="preserve">Technická infrastruktura </w:t>
      </w:r>
    </w:p>
    <w:p w14:paraId="55F0A07C" w14:textId="77777777" w:rsidR="00044688" w:rsidRPr="006070EA" w:rsidRDefault="00044688" w:rsidP="00BC3F41">
      <w:pPr>
        <w:keepNext/>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Politiky Územního rozvoje </w:t>
      </w:r>
    </w:p>
    <w:p w14:paraId="0B4998C8"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Nad rámec výše zmíněných obecných priorit a vazeb PÚR ČR je třeba v případě koncepce technické infrastruktury sledovat zejména: </w:t>
      </w:r>
    </w:p>
    <w:p w14:paraId="2176DB11" w14:textId="7E9672F9"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možnosti využití stávající veřejné infrastruktury a potřebu jejího dalšího rozvoje a dobudování při současném respektování přírodních, kulturních a civilizačních hodnot území, </w:t>
      </w:r>
    </w:p>
    <w:p w14:paraId="67BEEDAB" w14:textId="7A8520E5"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nové využití nevyužívaných průmyslových, skladových, dopravních a jiných ploch, </w:t>
      </w:r>
    </w:p>
    <w:p w14:paraId="22B0B8CD" w14:textId="5AB8159D"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ochranu a využití rekreačního potenciálu krajiny, </w:t>
      </w:r>
    </w:p>
    <w:p w14:paraId="14115A7E" w14:textId="2A4464D5"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minimalizování ovlivnění přírodních a krajinných hodnot území.</w:t>
      </w:r>
    </w:p>
    <w:p w14:paraId="7E30E11D"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ze ZÚR Středočeského kraje </w:t>
      </w:r>
    </w:p>
    <w:p w14:paraId="3439209A"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Nad rámec výše zmíněných obecných priorit a vazeb ZÚR SK je třeba v případě koncepce technické infrastruktury zohlednit zejména body: </w:t>
      </w:r>
    </w:p>
    <w:p w14:paraId="0EA49295" w14:textId="35CC97DD"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ověřit rozsah zastavitelných ploch a stanovit směry jejich využití s ohledem na kapacity obsluhy dopravní a technickou infrastrukturou, limity rozvoje území a ochranu krajiny. </w:t>
      </w:r>
    </w:p>
    <w:p w14:paraId="5A98216A"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ÚAP ORP Nymburk </w:t>
      </w:r>
    </w:p>
    <w:p w14:paraId="1946BDB2"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Ve vztahu ke koncepci technické infrastruktury řešeného území budou kromě standardizovaných, ze zákona sledovaných jevů, prověřeny následující záměry a problémy: </w:t>
      </w:r>
    </w:p>
    <w:p w14:paraId="49E81581" w14:textId="48346423"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prověřit a případně umožnit realizaci: </w:t>
      </w:r>
    </w:p>
    <w:p w14:paraId="678DC669" w14:textId="56534B79" w:rsidR="00044688" w:rsidRPr="006070EA" w:rsidRDefault="00044688" w:rsidP="00EB05CF">
      <w:pPr>
        <w:pStyle w:val="Odstavecseseznamem"/>
        <w:numPr>
          <w:ilvl w:val="3"/>
          <w:numId w:val="39"/>
        </w:numPr>
        <w:spacing w:before="120" w:after="60" w:line="240" w:lineRule="auto"/>
        <w:ind w:left="993"/>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distribuční transformační stanice </w:t>
      </w:r>
    </w:p>
    <w:p w14:paraId="45018E19" w14:textId="6C1981B4" w:rsidR="00044688" w:rsidRPr="006070EA" w:rsidRDefault="00044688" w:rsidP="00EB05CF">
      <w:pPr>
        <w:pStyle w:val="Odstavecseseznamem"/>
        <w:numPr>
          <w:ilvl w:val="3"/>
          <w:numId w:val="39"/>
        </w:numPr>
        <w:spacing w:before="120" w:after="60" w:line="240" w:lineRule="auto"/>
        <w:ind w:left="993"/>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vedení el. Sítě VN – ve vazbě na distribuční transformační stanice </w:t>
      </w:r>
    </w:p>
    <w:p w14:paraId="2E9C10F9"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obce </w:t>
      </w:r>
    </w:p>
    <w:p w14:paraId="3443FAE6"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bude řešit zásobování vodou a čištění odpadních vod v souladu se schváleným PRVK Středočeského kraje. Zvláštní pozornost zaměří na koncepční řešení odkanalizování místních částí Vápensko a Rozkoš v souladu se studií splaškové kanalizace (IKKO Hradec Králové). </w:t>
      </w:r>
    </w:p>
    <w:p w14:paraId="2EFD063F"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bude respektovat, případně aktualizovat stávající koncepci zásobování elektrickou energií a plynem. </w:t>
      </w:r>
    </w:p>
    <w:p w14:paraId="6F5DD893" w14:textId="77777777"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Územním plánem je respektována a dále rozvíjena veřejná technická infrastruktura řešeného území. Rozvojové záměry nejsou v kolizi s přírodními a krajinnými hodnotami v území.</w:t>
      </w:r>
    </w:p>
    <w:p w14:paraId="7E4A68E6" w14:textId="77777777"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 xml:space="preserve">Hlavní pozornost rozvoje se soustředí na přirozené centrum řešeného území, tedy obec Kostomlaty nad Labem a související části s dostatečně kapacitní dopravní i technickou infrastrukturou. Zastavitelné plochy jsou přitom vymezovány v návaznosti na zastavěné území a veřejnou infrastrukturu. </w:t>
      </w:r>
    </w:p>
    <w:p w14:paraId="07A7362C" w14:textId="77777777"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Územní plán prověřil stávající kapacity systému zásobování území elektrickou energií a stanovil koncepci rozvoje systému distribuce elektrické energie.</w:t>
      </w:r>
    </w:p>
    <w:p w14:paraId="34D5D7C7" w14:textId="0438BE17"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Územním plánem jsou respektovány a případně rozvíjeny stávající systémy technické infrastruktury. Pro koordinovaný rozvoj a napojení částí Vápensko, Hronětice a Rozkoš na vodovodní a kanalizační systém je vymezen koridor technické infrastruktury (</w:t>
      </w:r>
      <w:r w:rsidR="00346F8E" w:rsidRPr="006070EA">
        <w:rPr>
          <w:rFonts w:asciiTheme="majorHAnsi" w:hAnsiTheme="majorHAnsi" w:cstheme="majorHAnsi"/>
          <w:color w:val="auto"/>
        </w:rPr>
        <w:t>CNU.</w:t>
      </w:r>
      <w:r w:rsidRPr="006070EA">
        <w:rPr>
          <w:rFonts w:asciiTheme="majorHAnsi" w:hAnsiTheme="majorHAnsi" w:cstheme="majorHAnsi"/>
          <w:color w:val="auto"/>
        </w:rPr>
        <w:t>KTI1).</w:t>
      </w:r>
    </w:p>
    <w:p w14:paraId="3BE57DAC" w14:textId="77777777" w:rsidR="00044688" w:rsidRPr="006070EA" w:rsidRDefault="00044688" w:rsidP="00F90B15">
      <w:pPr>
        <w:keepNext/>
        <w:tabs>
          <w:tab w:val="left" w:pos="567"/>
          <w:tab w:val="left" w:pos="851"/>
        </w:tabs>
        <w:spacing w:before="120" w:after="60" w:line="240" w:lineRule="auto"/>
        <w:jc w:val="both"/>
        <w:rPr>
          <w:rFonts w:asciiTheme="majorHAnsi" w:hAnsiTheme="majorHAnsi" w:cstheme="majorHAnsi"/>
          <w:bCs/>
          <w:i/>
          <w:sz w:val="18"/>
          <w:szCs w:val="18"/>
          <w:u w:val="single"/>
          <w:lang w:eastAsia="ar-SA"/>
        </w:rPr>
      </w:pPr>
      <w:r w:rsidRPr="006070EA">
        <w:rPr>
          <w:rFonts w:asciiTheme="majorHAnsi" w:hAnsiTheme="majorHAnsi" w:cstheme="majorHAnsi"/>
          <w:bCs/>
          <w:i/>
          <w:sz w:val="18"/>
          <w:szCs w:val="18"/>
          <w:u w:val="single"/>
          <w:lang w:eastAsia="ar-SA"/>
        </w:rPr>
        <w:t xml:space="preserve">Občanské vybavení a veřejná prostranství </w:t>
      </w:r>
    </w:p>
    <w:p w14:paraId="6E1300B4" w14:textId="77777777" w:rsidR="00044688" w:rsidRPr="006070EA" w:rsidRDefault="00044688" w:rsidP="00F90B15">
      <w:pPr>
        <w:keepNext/>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Politiky Územního rozvoje </w:t>
      </w:r>
    </w:p>
    <w:p w14:paraId="6A0EF5B2"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Nad rámec výše zmíněných obecných priorit a vazeb PÚR ČR je třeba v případě koncepce občanského vybavení a veřejných prostranství sledovat zejména: </w:t>
      </w:r>
    </w:p>
    <w:p w14:paraId="5AF494B0" w14:textId="14F72FFE"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možnosti využití stávající veřejné infrastruktury a potřebu jejího dalšího rozvoje a dobudování při současném respektování přírodních, kulturních a civilizačních hodnot území, </w:t>
      </w:r>
    </w:p>
    <w:p w14:paraId="73F91AC5" w14:textId="0D66F1FD"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rozvoj bydlení při upřednostnění rozvoje uvnitř zastavěného území a předcházení prostorové sociální segregaci, fragmentaci krajiny nově vymezenými zastavitelnými plochami a záborům ploch veřejné zeleně sloužící svému účelu. </w:t>
      </w:r>
    </w:p>
    <w:p w14:paraId="269ACCE2"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ze ZÚR Středočeského kraje </w:t>
      </w:r>
    </w:p>
    <w:p w14:paraId="1BB2C6D5"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Nad rámec výše zmíněných obecných priorit a vazeb ZÚR SK je třeba v případě koncepce občanského vybavení a veřejných prostranství zohlednit zejména následující body: </w:t>
      </w:r>
    </w:p>
    <w:p w14:paraId="34828CDB" w14:textId="303E98A6"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rozvoj bydlení sledovat zejména do Kostomlat nad Labem, s vazbou na provozované systémy dopravní a technické infrastruktury </w:t>
      </w:r>
    </w:p>
    <w:p w14:paraId="0F627F3C" w14:textId="0E8FC056"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lastRenderedPageBreak/>
        <w:t xml:space="preserve">ověřit rozsah zastavitelných ploch a stanovit směry jejich využití s ohledem na kapacity obsluhy dopravní a technickou infrastrukturou, limity rozvoje území a ochranu krajiny. </w:t>
      </w:r>
    </w:p>
    <w:p w14:paraId="374613E1"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ÚAP ORP Nymburk </w:t>
      </w:r>
    </w:p>
    <w:p w14:paraId="170D0A3E" w14:textId="3BD25452"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Ve vztahu ke koncepci technické infrastruktury řešeného území budou kromě standardizovaných, ze zákona sledovaných jevů, prověřeny následující záměry a problémy:</w:t>
      </w:r>
    </w:p>
    <w:p w14:paraId="78C76D89" w14:textId="1A277B5E" w:rsidR="00044688" w:rsidRPr="006070EA" w:rsidRDefault="00044688" w:rsidP="0004468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nedostatečná občanská vybavenost místních částí – Rozkoš, Vápensko </w:t>
      </w:r>
    </w:p>
    <w:p w14:paraId="15C20A0C"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obce </w:t>
      </w:r>
    </w:p>
    <w:p w14:paraId="500829C7"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nebude zásadně měnit koncepci občanského vybavení ani umístění ploch veřejných prostranství. Budou respektovány stávající plochy a zohledněny případné nové požadavky. </w:t>
      </w:r>
    </w:p>
    <w:p w14:paraId="057860C6" w14:textId="77777777"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 xml:space="preserve">Územním plánem je respektována poloha řešeného území mimo rozvojové osy a oblasti jak republikového, tak krajského významu, ale současně na významné dopravní linii mezi vyššími centry osídlení (Lysá nad Labem, Nymburk) a rovněž v relativně dobré dostupnosti Prahy. Územním plánem jsou především rozvíjeny plochy trvalého bydlení (vč. ploch smíšených obytných), a to vždy v návaznosti na stávající zastavěné území a systém veřejné infrastruktury, aby nedocházelo k zakládání nových sídel v krajině či sociální segregaci. </w:t>
      </w:r>
    </w:p>
    <w:p w14:paraId="762531D7" w14:textId="77777777"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Územním plánem jsou rozvíjeny části Rozkoš a Vápensko s dominantní funkcí smíšeného venkovského bydlení (SV). V rámci této plochy s rozdílným způsobem využití je umožněn mimo jiné i rozvoj občanské vybavenosti. Podmínky ploch smíšených obytných jsou nastaveny pro zajištění maximální variability využití území, při zachování dominantní obytné funkce.</w:t>
      </w:r>
    </w:p>
    <w:p w14:paraId="0BF601DD" w14:textId="6943C01C"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 xml:space="preserve">Stávající občanské vybavení v rámci řešeného území je respektováno a umožněno buď v rámci ploch občanského vybavení </w:t>
      </w:r>
      <w:r w:rsidR="00346F8E" w:rsidRPr="006070EA">
        <w:rPr>
          <w:rFonts w:asciiTheme="majorHAnsi" w:hAnsiTheme="majorHAnsi" w:cstheme="majorHAnsi"/>
          <w:color w:val="auto"/>
        </w:rPr>
        <w:t xml:space="preserve">veřejného </w:t>
      </w:r>
      <w:r w:rsidRPr="006070EA">
        <w:rPr>
          <w:rFonts w:asciiTheme="majorHAnsi" w:hAnsiTheme="majorHAnsi" w:cstheme="majorHAnsi"/>
          <w:color w:val="auto"/>
        </w:rPr>
        <w:t>(OV) nebo v rámci dalších ploch s rozdílným způsobem využití v rámci přípustného či podmíněně přípustného využití.</w:t>
      </w:r>
    </w:p>
    <w:p w14:paraId="59B03CCF" w14:textId="77777777" w:rsidR="00044688" w:rsidRPr="006070EA" w:rsidRDefault="00044688" w:rsidP="00044688">
      <w:pPr>
        <w:keepNext/>
        <w:spacing w:before="120" w:after="120" w:line="240" w:lineRule="auto"/>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 xml:space="preserve">Požadavky na koncepci uspořádání krajiny, zejména na prověření plošného a prostorového uspořádání nezastavěného území a na prověření možných změn, včetně prověření, ve kterých plochách je vhodné vyloučit umísťování staveb, zařízení a jiných opatření pro účely uvedené v § 18 odst. 5 stavebního zákona </w:t>
      </w:r>
    </w:p>
    <w:p w14:paraId="5919C6C3"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Krajina bude v Územním plánu členěna na části (lokality) na základě typických znaků, v členění dle stávajícího nebo požadovaného způsobu využití. Budou definovány především stabilizované plochy, v nichž nebudou navrhovány změny stávajícího způsobu využití a případně plochy změn v krajině, vymezené za účelem změny využití nebo prostorového uspořádání. </w:t>
      </w:r>
    </w:p>
    <w:p w14:paraId="4CEB0074"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Urbanizace volné krajiny je z hlediska ochrany hodnot území nežádoucí. Územní plán prověří, zda a za jakých podmínek je možné v dané konkrétní lokalitě umožnit zástavbu. Kromě hledisek urbanistických budou posouzena i hlediska sociální a ekonomická. </w:t>
      </w:r>
    </w:p>
    <w:p w14:paraId="6E7D4545"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 Politiky Územního rozvoje </w:t>
      </w:r>
    </w:p>
    <w:p w14:paraId="56D74DD1"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 rámci PÚR ČR nejsou z hlediska koncepce uspořádání krajiny na řešené území kladeny zvláštní nároky nad rámec výše zmíněných republikových priorit. </w:t>
      </w:r>
    </w:p>
    <w:p w14:paraId="1CD13E8B"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vyplývající ze ZÚR Středočeského kraje </w:t>
      </w:r>
    </w:p>
    <w:p w14:paraId="22591864"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Nad rámec obecných priorit a vazeb ZÚR SK je třeba v případě koncepce uspořádání krajiny zohlednit zejména následující body: </w:t>
      </w:r>
    </w:p>
    <w:p w14:paraId="4F096927" w14:textId="78099714" w:rsidR="00044688" w:rsidRPr="006070EA" w:rsidRDefault="00044688"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chránit vysoce hodnotný zemědělský půdní fond, </w:t>
      </w:r>
    </w:p>
    <w:p w14:paraId="3713D92E" w14:textId="4B9D2CFF" w:rsidR="00044688" w:rsidRPr="006070EA" w:rsidRDefault="00044688"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respektovat požadavky na ochranu a upřesnit vymezení skladebných částí ÚSES. </w:t>
      </w:r>
    </w:p>
    <w:p w14:paraId="2C9CD646"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Do řešeného území zasahují prvky ÚSES nadregionálního a regionálního významu: </w:t>
      </w:r>
    </w:p>
    <w:p w14:paraId="17D51486"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 biokoridor NK10 Stříbrný roh – Polabský luh </w:t>
      </w:r>
    </w:p>
    <w:p w14:paraId="64810B08"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 regionální biocentrum RC 349 Niva Labe u Semic a Ostré </w:t>
      </w:r>
    </w:p>
    <w:p w14:paraId="45910E25" w14:textId="77777777" w:rsidR="00044688" w:rsidRPr="006070EA" w:rsidRDefault="00044688" w:rsidP="00044688">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Pro územní plán platí tyto zásady pro usměrňování územního rozvoje a úkoly pro územní plánování: </w:t>
      </w:r>
    </w:p>
    <w:p w14:paraId="68D86BEB" w14:textId="46121077" w:rsidR="00044688" w:rsidRPr="006070EA" w:rsidRDefault="00044688"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respektovat plochy a koridory pro biocentra a biokoridory ÚSES na regionální a nadregionální úrovni jako nezastavitelné s využitím pro zvýšení biodiverzity a ekologické stability krajiny, </w:t>
      </w:r>
    </w:p>
    <w:p w14:paraId="51B10557" w14:textId="4AFA408F" w:rsidR="00044688" w:rsidRPr="006070EA" w:rsidRDefault="00044688"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stavby dopravní a technické infrastruktury v plochách a koridorech pro biocentra a biokoridory ÚSES připouštět v nezbytných případech za podmínky, že nedojde k významnému snížení schopnosti ekosystému odolávat znečištění, erozi či jiné fyzikální nebo chemické zátěži prostředí, a zároveň nedojde k podstatnému snížení schopnosti bez dalších opatření plnit stabilizující funkce v krajině, </w:t>
      </w:r>
    </w:p>
    <w:p w14:paraId="0F26B4D3" w14:textId="67D3FE50" w:rsidR="00044688" w:rsidRPr="006070EA" w:rsidRDefault="00044688"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zpřesnit vymezení regionálních a nadregionálních biocenter a biokoridorů v souladu s metodikou ÚSES a požadavky specifických oborových dokumentací tak, aby byly dodrženy jejich minimální parametry a zajištěna jejich funkčnost. </w:t>
      </w:r>
    </w:p>
    <w:p w14:paraId="7EA7E18D" w14:textId="77777777" w:rsidR="00A05E2D" w:rsidRPr="006070EA" w:rsidRDefault="00A05E2D" w:rsidP="00A05E2D">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Řešené území spadá v rámci krajinných typů vymezených ZÚR SK do krajiny polní (O04). Pro Územní plán platí tyto zásady pro usměrňování územního rozvoje a úkoly pro územní plánování: </w:t>
      </w:r>
    </w:p>
    <w:p w14:paraId="0984D7D6" w14:textId="46574492" w:rsidR="00A05E2D" w:rsidRPr="006070EA" w:rsidRDefault="00A05E2D"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zachování komparativních výhod pro zemědělské hospodaření; </w:t>
      </w:r>
    </w:p>
    <w:p w14:paraId="4858D8BA" w14:textId="02BE984D" w:rsidR="00A05E2D" w:rsidRPr="006070EA" w:rsidRDefault="00A05E2D"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neohrozit podmínky pro vysokou nebo specifickou zemědělskou funkci. </w:t>
      </w:r>
    </w:p>
    <w:p w14:paraId="0F6C93C8" w14:textId="77777777" w:rsidR="00A05E2D" w:rsidRPr="006070EA" w:rsidRDefault="00A05E2D" w:rsidP="00A05E2D">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lastRenderedPageBreak/>
        <w:t xml:space="preserve">Požadavky vyplývající z ÚAP ORP Nymburk </w:t>
      </w:r>
    </w:p>
    <w:p w14:paraId="536E086B" w14:textId="77777777" w:rsidR="00A05E2D" w:rsidRPr="006070EA" w:rsidRDefault="00A05E2D" w:rsidP="00A05E2D">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Ve vztahu ke koncepci uspořádání krajiny řešeného území budou kromě standardizovaných, ze zákona sledovaných jevů, prověřeny následující záměry a problémy: </w:t>
      </w:r>
    </w:p>
    <w:p w14:paraId="3F45C384" w14:textId="236B8104" w:rsidR="00A05E2D" w:rsidRPr="006070EA" w:rsidRDefault="00A05E2D"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záplavové území prochází částí obce – omezen rozvoj obce </w:t>
      </w:r>
    </w:p>
    <w:p w14:paraId="726A8634" w14:textId="57F1DE9A" w:rsidR="00A05E2D" w:rsidRPr="006070EA" w:rsidRDefault="00A05E2D" w:rsidP="00A05E2D">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zemědělská půda I. a II. tř. ochrany ZPF </w:t>
      </w:r>
    </w:p>
    <w:p w14:paraId="784C4DC3" w14:textId="77777777" w:rsidR="00A05E2D" w:rsidRPr="006070EA" w:rsidRDefault="00A05E2D" w:rsidP="00A05E2D">
      <w:pPr>
        <w:tabs>
          <w:tab w:val="left" w:pos="567"/>
          <w:tab w:val="left" w:pos="851"/>
        </w:tabs>
        <w:spacing w:before="120" w:after="60" w:line="240" w:lineRule="auto"/>
        <w:jc w:val="both"/>
        <w:rPr>
          <w:rFonts w:asciiTheme="majorHAnsi" w:hAnsiTheme="majorHAnsi" w:cstheme="majorHAnsi"/>
          <w:b/>
          <w:i/>
          <w:sz w:val="18"/>
          <w:szCs w:val="18"/>
          <w:lang w:eastAsia="ar-SA"/>
        </w:rPr>
      </w:pPr>
      <w:r w:rsidRPr="006070EA">
        <w:rPr>
          <w:rFonts w:asciiTheme="majorHAnsi" w:hAnsiTheme="majorHAnsi" w:cstheme="majorHAnsi"/>
          <w:b/>
          <w:i/>
          <w:sz w:val="18"/>
          <w:szCs w:val="18"/>
          <w:lang w:eastAsia="ar-SA"/>
        </w:rPr>
        <w:t xml:space="preserve">Požadavky obce </w:t>
      </w:r>
    </w:p>
    <w:p w14:paraId="225023CF" w14:textId="77777777" w:rsidR="00A05E2D" w:rsidRPr="006070EA" w:rsidRDefault="00A05E2D" w:rsidP="00A05E2D">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vyhodnotí a navrhne možnosti dalšího prostorového rozvoje zástavby ve vztahu k okolnímu nezastavěnému území (pozemky zařazené do I. a II. třídy ZPF, záplavová území Labe a Vlkavy). </w:t>
      </w:r>
    </w:p>
    <w:p w14:paraId="777A7A50" w14:textId="77777777" w:rsidR="00A05E2D" w:rsidRPr="006070EA" w:rsidRDefault="00A05E2D" w:rsidP="00A05E2D">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prověří síť místních a účelových komunikací a navrhne jejich případné doplnění zejména s ohledem na potřeby zemědělství, cykloturistiky a pěší turistiky. Budou umožněna protierozní opatření, včetně návrhu převodu vybraných lokalit orné půdy do trvalých travních porostů. Rovněž bude umožněno posílení retenční schopnosti území. </w:t>
      </w:r>
    </w:p>
    <w:p w14:paraId="30B33F28" w14:textId="77777777" w:rsidR="00A05E2D" w:rsidRPr="006070EA" w:rsidRDefault="00A05E2D" w:rsidP="00A05E2D">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vymezí a zpřesní prvky územního systému ekologické stability lokální úrovně (dále jen „ÚSES“). </w:t>
      </w:r>
    </w:p>
    <w:p w14:paraId="678AB12E" w14:textId="77777777" w:rsidR="00A05E2D" w:rsidRPr="006070EA" w:rsidRDefault="00A05E2D" w:rsidP="00A05E2D">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Územní plán plošně umožní výsadbu vhodné zeleně podél stávajících vodotečí a polních cest v úsecích, kde dosud chybí. Zaměří se na možnosti revitalizace zaniklých prvků v krajině. </w:t>
      </w:r>
    </w:p>
    <w:p w14:paraId="00D057E2" w14:textId="4EBC0EC5" w:rsidR="00A05E2D" w:rsidRPr="006070EA" w:rsidRDefault="00A05E2D" w:rsidP="00A05E2D">
      <w:pPr>
        <w:tabs>
          <w:tab w:val="left" w:pos="567"/>
          <w:tab w:val="left" w:pos="851"/>
        </w:tabs>
        <w:spacing w:before="120"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Územní plán prověří možnost vymezení ploch, ve kterých bude vyloučena možnost umisťování staveb, zařízení a jiných opatření pro účely uvedené v § 18 odst. 5 stavebního zákona.</w:t>
      </w:r>
    </w:p>
    <w:p w14:paraId="56FAF366" w14:textId="77777777"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Územní plán člení řešené území bezvýhradně na jednotlivé plochy s rozdílným způsobem využití a stabilizuje v řešeném území další funkce, zejména klade důraz na zachování a rozvoj občanského vybavení, podnikatelských aktivit včetně zemědělské výroby, technické infrastruktury a zachování stability charakteristického uspořádání krajiny, a to dle platných metodik.</w:t>
      </w:r>
    </w:p>
    <w:p w14:paraId="74587851" w14:textId="4AD48EC7"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Územním plánem je chráněn vysoce hodnotný zemědělský půdní fond a zachován zemědělský charakter území i s ohledem na cílové charakteristiky stanovené v ZÚR SK (viz kapitolu 3.2. tohoto Odůvodnění). V rámci ochrany ZPF byla stanovena specifická ekostabilizační opatření v krajině. Územním plánem jsou vymezeny a zpřesněny prvky ÚSES vyplývající z nadřazené ÚPD a doplněné o systém lokálních prvků ÚSES.</w:t>
      </w:r>
    </w:p>
    <w:p w14:paraId="0EDD3305" w14:textId="552FD75C"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Územním plánem jsou respektovány přírodní hodnoty a limity. Rozvoj zástavby je soustředěn mimo záplavová území v návaznosti na zastavěné území obce. Průchodnost krajinou je zajišťována stabilizací stávající cestní sítě a doplněním ploch smíšených nezastavěných – zeměděls</w:t>
      </w:r>
      <w:r w:rsidR="00346F8E" w:rsidRPr="006070EA">
        <w:rPr>
          <w:rFonts w:asciiTheme="majorHAnsi" w:hAnsiTheme="majorHAnsi" w:cstheme="majorHAnsi"/>
          <w:color w:val="auto"/>
        </w:rPr>
        <w:t>tví extenzivní,</w:t>
      </w:r>
      <w:r w:rsidRPr="006070EA">
        <w:rPr>
          <w:rFonts w:asciiTheme="majorHAnsi" w:hAnsiTheme="majorHAnsi" w:cstheme="majorHAnsi"/>
          <w:color w:val="auto"/>
        </w:rPr>
        <w:t xml:space="preserve"> přírodní</w:t>
      </w:r>
      <w:r w:rsidR="00346F8E" w:rsidRPr="006070EA">
        <w:rPr>
          <w:rFonts w:asciiTheme="majorHAnsi" w:hAnsiTheme="majorHAnsi" w:cstheme="majorHAnsi"/>
          <w:color w:val="auto"/>
        </w:rPr>
        <w:t xml:space="preserve"> priority</w:t>
      </w:r>
      <w:r w:rsidRPr="006070EA">
        <w:rPr>
          <w:rFonts w:asciiTheme="majorHAnsi" w:hAnsiTheme="majorHAnsi" w:cstheme="majorHAnsi"/>
          <w:color w:val="auto"/>
        </w:rPr>
        <w:t xml:space="preserve"> (</w:t>
      </w:r>
      <w:proofErr w:type="gramStart"/>
      <w:r w:rsidR="00346F8E" w:rsidRPr="006070EA">
        <w:rPr>
          <w:rFonts w:asciiTheme="majorHAnsi" w:hAnsiTheme="majorHAnsi" w:cstheme="majorHAnsi"/>
          <w:color w:val="auto"/>
        </w:rPr>
        <w:t>MU.zp</w:t>
      </w:r>
      <w:proofErr w:type="gramEnd"/>
      <w:r w:rsidRPr="006070EA">
        <w:rPr>
          <w:rFonts w:asciiTheme="majorHAnsi" w:hAnsiTheme="majorHAnsi" w:cstheme="majorHAnsi"/>
          <w:color w:val="auto"/>
        </w:rPr>
        <w:t>), ve kterých je průchod krajinou umožněn.</w:t>
      </w:r>
    </w:p>
    <w:p w14:paraId="6F3D99B1" w14:textId="726521E3" w:rsidR="00550188" w:rsidRPr="006070EA" w:rsidRDefault="00550188" w:rsidP="00FD436B">
      <w:pPr>
        <w:keepNext/>
        <w:tabs>
          <w:tab w:val="left" w:pos="567"/>
        </w:tabs>
        <w:spacing w:before="120" w:after="120" w:line="240" w:lineRule="auto"/>
        <w:ind w:left="567" w:hanging="567"/>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Požadavky na vymezení ploch a koridorů územních rezerv a na stanovení jejich využití, které bude nutno prověřit</w:t>
      </w:r>
    </w:p>
    <w:p w14:paraId="10ADA240" w14:textId="6B703F9B" w:rsidR="002C27F8" w:rsidRPr="006070EA" w:rsidRDefault="002C27F8" w:rsidP="0017792C">
      <w:pPr>
        <w:tabs>
          <w:tab w:val="left" w:pos="567"/>
          <w:tab w:val="left" w:pos="851"/>
        </w:tabs>
        <w:spacing w:after="60" w:line="240" w:lineRule="auto"/>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Územní plán prověří potřebu a možnosti vymezení ploch a koridorů Územních rezerv a stanoví případně podmínky pro jejich využívání. Jedná se zejména o koridor pro přeložku silnice II/331 (jižní obchvat Kostomlat nad Labem).</w:t>
      </w:r>
    </w:p>
    <w:p w14:paraId="6C26DDC0" w14:textId="63BA8F13" w:rsidR="00BC3F41" w:rsidRPr="006070EA" w:rsidRDefault="00BC3F41" w:rsidP="0017792C">
      <w:pPr>
        <w:pStyle w:val="Mra-Vyjden"/>
        <w:spacing w:before="0"/>
        <w:rPr>
          <w:rFonts w:asciiTheme="majorHAnsi" w:hAnsiTheme="majorHAnsi" w:cstheme="majorHAnsi"/>
        </w:rPr>
      </w:pPr>
      <w:r w:rsidRPr="006070EA">
        <w:rPr>
          <w:rFonts w:asciiTheme="majorHAnsi" w:hAnsiTheme="majorHAnsi" w:cstheme="majorHAnsi"/>
          <w:color w:val="auto"/>
        </w:rPr>
        <w:t xml:space="preserve">Územním plánem byla prověřena potřeba vymezení územních rezerv. Vymezena je územní rezerva bydlení </w:t>
      </w:r>
      <w:r w:rsidR="004F5B3B" w:rsidRPr="006070EA">
        <w:rPr>
          <w:rFonts w:asciiTheme="majorHAnsi" w:hAnsiTheme="majorHAnsi" w:cstheme="majorHAnsi"/>
          <w:color w:val="auto"/>
        </w:rPr>
        <w:t xml:space="preserve">individuálního </w:t>
      </w:r>
      <w:r w:rsidRPr="006070EA">
        <w:rPr>
          <w:rFonts w:asciiTheme="majorHAnsi" w:hAnsiTheme="majorHAnsi" w:cstheme="majorHAnsi"/>
          <w:color w:val="auto"/>
        </w:rPr>
        <w:t xml:space="preserve">(BI) pod označením </w:t>
      </w:r>
      <w:r w:rsidR="000C479F" w:rsidRPr="006070EA">
        <w:rPr>
          <w:rFonts w:asciiTheme="majorHAnsi" w:hAnsiTheme="majorHAnsi" w:cstheme="majorHAnsi"/>
          <w:color w:val="auto"/>
        </w:rPr>
        <w:t>R</w:t>
      </w:r>
      <w:r w:rsidR="004F5B3B" w:rsidRPr="006070EA">
        <w:rPr>
          <w:rFonts w:asciiTheme="majorHAnsi" w:hAnsiTheme="majorHAnsi" w:cstheme="majorHAnsi"/>
          <w:color w:val="auto"/>
        </w:rPr>
        <w:t>.</w:t>
      </w:r>
      <w:r w:rsidR="000C479F" w:rsidRPr="006070EA">
        <w:rPr>
          <w:rFonts w:asciiTheme="majorHAnsi" w:hAnsiTheme="majorHAnsi" w:cstheme="majorHAnsi"/>
          <w:color w:val="auto"/>
        </w:rPr>
        <w:t>1</w:t>
      </w:r>
      <w:r w:rsidRPr="006070EA">
        <w:rPr>
          <w:rFonts w:asciiTheme="majorHAnsi" w:hAnsiTheme="majorHAnsi" w:cstheme="majorHAnsi"/>
          <w:color w:val="auto"/>
        </w:rPr>
        <w:t xml:space="preserve">, která urbanisticky doplňuje zastavěné území v jihovýchodní části Kostomlat nad Labem. </w:t>
      </w:r>
      <w:r w:rsidR="000C479F" w:rsidRPr="006070EA">
        <w:rPr>
          <w:rFonts w:asciiTheme="majorHAnsi" w:hAnsiTheme="majorHAnsi" w:cstheme="majorHAnsi"/>
          <w:color w:val="auto"/>
        </w:rPr>
        <w:t>Potřeba pro vymezení přeložky silnice II/331 byla prověřena a v rámci návrhu ÚP pro společné jednání byl za tímto záměrem vymezen koridor územní rezervy, který byl však</w:t>
      </w:r>
      <w:r w:rsidR="004F5B3B" w:rsidRPr="006070EA">
        <w:rPr>
          <w:rFonts w:asciiTheme="majorHAnsi" w:hAnsiTheme="majorHAnsi" w:cstheme="majorHAnsi"/>
          <w:color w:val="auto"/>
        </w:rPr>
        <w:t xml:space="preserve"> z návrhu ÚP</w:t>
      </w:r>
      <w:r w:rsidR="000C479F" w:rsidRPr="006070EA">
        <w:rPr>
          <w:rFonts w:asciiTheme="majorHAnsi" w:hAnsiTheme="majorHAnsi" w:cstheme="majorHAnsi"/>
          <w:color w:val="auto"/>
        </w:rPr>
        <w:t xml:space="preserve"> vypuštěn na základě vyhodnocení </w:t>
      </w:r>
      <w:r w:rsidR="004F5B3B" w:rsidRPr="006070EA">
        <w:rPr>
          <w:rFonts w:asciiTheme="majorHAnsi" w:hAnsiTheme="majorHAnsi" w:cstheme="majorHAnsi"/>
          <w:color w:val="auto"/>
        </w:rPr>
        <w:t xml:space="preserve">výsledků </w:t>
      </w:r>
      <w:r w:rsidR="000C479F" w:rsidRPr="006070EA">
        <w:rPr>
          <w:rFonts w:asciiTheme="majorHAnsi" w:hAnsiTheme="majorHAnsi" w:cstheme="majorHAnsi"/>
          <w:color w:val="auto"/>
        </w:rPr>
        <w:t>společného jednání.</w:t>
      </w:r>
    </w:p>
    <w:p w14:paraId="320CF797" w14:textId="6ED8C75E" w:rsidR="00282607" w:rsidRPr="006070EA" w:rsidRDefault="00BB50A7" w:rsidP="002C27F8">
      <w:pPr>
        <w:keepNext/>
        <w:spacing w:before="120" w:after="120" w:line="240" w:lineRule="auto"/>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Požadavky na prověření vymezení veřejně prospěšných staveb, veřejně prospěšných opatření a asanací, pro které bude možné uplatnit vyvlastnění nebo předkupní právo</w:t>
      </w:r>
    </w:p>
    <w:p w14:paraId="6D9652A5" w14:textId="36888AF4" w:rsidR="002C27F8" w:rsidRPr="006070EA" w:rsidRDefault="002C27F8" w:rsidP="0017792C">
      <w:pPr>
        <w:pStyle w:val="Anadpiskurzva"/>
        <w:spacing w:after="60"/>
        <w:rPr>
          <w:rFonts w:asciiTheme="majorHAnsi" w:hAnsiTheme="majorHAnsi" w:cstheme="majorHAnsi"/>
        </w:rPr>
      </w:pPr>
      <w:r w:rsidRPr="006070EA">
        <w:rPr>
          <w:rFonts w:asciiTheme="majorHAnsi" w:hAnsiTheme="majorHAnsi" w:cstheme="majorHAnsi"/>
        </w:rPr>
        <w:t>Územní plán v případě potřeby vymezí veřejně prospěšné stavby a opatření zejména pro veřejnou infrastrukturu a stavby a</w:t>
      </w:r>
      <w:r w:rsidR="00BC3F41" w:rsidRPr="006070EA">
        <w:rPr>
          <w:rFonts w:asciiTheme="majorHAnsi" w:hAnsiTheme="majorHAnsi" w:cstheme="majorHAnsi"/>
        </w:rPr>
        <w:t> </w:t>
      </w:r>
      <w:r w:rsidRPr="006070EA">
        <w:rPr>
          <w:rFonts w:asciiTheme="majorHAnsi" w:hAnsiTheme="majorHAnsi" w:cstheme="majorHAnsi"/>
        </w:rPr>
        <w:t xml:space="preserve">opatření pro snižování ohrožení přírodními katastrofami a zvyšování retenčních schopností území. </w:t>
      </w:r>
    </w:p>
    <w:p w14:paraId="71ED2003" w14:textId="77777777"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Územní plán prověřil potřebu vymezení veřejně prospěšných staveb a opatření, pro které lze uplatnit vyvlastnění či předkupní právo.</w:t>
      </w:r>
    </w:p>
    <w:p w14:paraId="30F20B6D" w14:textId="6C8501D2"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ab/>
        <w:t>Možnost uplatnění předkupního práva je vymezena pro plochy veřejných prostranství, konkrétně pro zastavitelné plochy veřejné zeleně Z</w:t>
      </w:r>
      <w:r w:rsidR="004F5B3B" w:rsidRPr="006070EA">
        <w:rPr>
          <w:rFonts w:asciiTheme="majorHAnsi" w:hAnsiTheme="majorHAnsi" w:cstheme="majorHAnsi"/>
          <w:color w:val="auto"/>
        </w:rPr>
        <w:t>.</w:t>
      </w:r>
      <w:r w:rsidRPr="006070EA">
        <w:rPr>
          <w:rFonts w:asciiTheme="majorHAnsi" w:hAnsiTheme="majorHAnsi" w:cstheme="majorHAnsi"/>
          <w:color w:val="auto"/>
        </w:rPr>
        <w:t>08, Z</w:t>
      </w:r>
      <w:r w:rsidR="004F5B3B" w:rsidRPr="006070EA">
        <w:rPr>
          <w:rFonts w:asciiTheme="majorHAnsi" w:hAnsiTheme="majorHAnsi" w:cstheme="majorHAnsi"/>
          <w:color w:val="auto"/>
        </w:rPr>
        <w:t>.</w:t>
      </w:r>
      <w:r w:rsidRPr="006070EA">
        <w:rPr>
          <w:rFonts w:asciiTheme="majorHAnsi" w:hAnsiTheme="majorHAnsi" w:cstheme="majorHAnsi"/>
          <w:color w:val="auto"/>
        </w:rPr>
        <w:t>12 v Kostomlatech nad Labem a zastavitelnou plochu veřejného prostranství Z</w:t>
      </w:r>
      <w:r w:rsidR="004F5B3B" w:rsidRPr="006070EA">
        <w:rPr>
          <w:rFonts w:asciiTheme="majorHAnsi" w:hAnsiTheme="majorHAnsi" w:cstheme="majorHAnsi"/>
          <w:color w:val="auto"/>
        </w:rPr>
        <w:t>.</w:t>
      </w:r>
      <w:r w:rsidRPr="006070EA">
        <w:rPr>
          <w:rFonts w:asciiTheme="majorHAnsi" w:hAnsiTheme="majorHAnsi" w:cstheme="majorHAnsi"/>
          <w:color w:val="auto"/>
        </w:rPr>
        <w:t>2</w:t>
      </w:r>
      <w:r w:rsidR="0079659D" w:rsidRPr="006070EA">
        <w:rPr>
          <w:rFonts w:asciiTheme="majorHAnsi" w:hAnsiTheme="majorHAnsi" w:cstheme="majorHAnsi"/>
          <w:color w:val="auto"/>
        </w:rPr>
        <w:t>2</w:t>
      </w:r>
      <w:r w:rsidRPr="006070EA">
        <w:rPr>
          <w:rFonts w:asciiTheme="majorHAnsi" w:hAnsiTheme="majorHAnsi" w:cstheme="majorHAnsi"/>
          <w:color w:val="auto"/>
        </w:rPr>
        <w:t xml:space="preserve"> v</w:t>
      </w:r>
      <w:r w:rsidR="0079659D" w:rsidRPr="006070EA">
        <w:rPr>
          <w:rFonts w:asciiTheme="majorHAnsi" w:hAnsiTheme="majorHAnsi" w:cstheme="majorHAnsi"/>
          <w:color w:val="auto"/>
        </w:rPr>
        <w:t> sídle Vápensko</w:t>
      </w:r>
      <w:r w:rsidRPr="006070EA">
        <w:rPr>
          <w:rFonts w:asciiTheme="majorHAnsi" w:hAnsiTheme="majorHAnsi" w:cstheme="majorHAnsi"/>
          <w:color w:val="auto"/>
        </w:rPr>
        <w:t>.</w:t>
      </w:r>
    </w:p>
    <w:p w14:paraId="50AD23A5" w14:textId="6E01811D" w:rsidR="00BC3F41" w:rsidRPr="006070EA" w:rsidRDefault="00BC3F41" w:rsidP="00BC3F41">
      <w:pPr>
        <w:pStyle w:val="Mra-Vyjden"/>
        <w:spacing w:before="0"/>
        <w:rPr>
          <w:rFonts w:asciiTheme="majorHAnsi" w:hAnsiTheme="majorHAnsi" w:cstheme="majorHAnsi"/>
          <w:color w:val="auto"/>
        </w:rPr>
      </w:pPr>
      <w:r w:rsidRPr="006070EA">
        <w:rPr>
          <w:rFonts w:asciiTheme="majorHAnsi" w:hAnsiTheme="majorHAnsi" w:cstheme="majorHAnsi"/>
          <w:color w:val="auto"/>
        </w:rPr>
        <w:tab/>
        <w:t xml:space="preserve">Územním plánem byly vymezeny veřejně prospěšné stavby, pro které lze práva k pozemkům vyvlastnit. Jedná se výhradně o koridory veřejné dopravní či technické infrastruktury, konkrétně a modernizace železniční trati s realizací mimoúrovňového křížení (koridor </w:t>
      </w:r>
      <w:r w:rsidR="0097451F" w:rsidRPr="006070EA">
        <w:rPr>
          <w:rFonts w:asciiTheme="majorHAnsi" w:hAnsiTheme="majorHAnsi" w:cstheme="majorHAnsi"/>
          <w:color w:val="auto"/>
        </w:rPr>
        <w:t>CN</w:t>
      </w:r>
      <w:r w:rsidR="0097451F">
        <w:rPr>
          <w:rFonts w:asciiTheme="majorHAnsi" w:hAnsiTheme="majorHAnsi" w:cstheme="majorHAnsi"/>
          <w:color w:val="auto"/>
        </w:rPr>
        <w:t>Z</w:t>
      </w:r>
      <w:r w:rsidR="0097451F" w:rsidRPr="006070EA">
        <w:rPr>
          <w:rFonts w:asciiTheme="majorHAnsi" w:hAnsiTheme="majorHAnsi" w:cstheme="majorHAnsi"/>
          <w:color w:val="auto"/>
        </w:rPr>
        <w:t>.</w:t>
      </w:r>
      <w:r w:rsidR="0097451F">
        <w:rPr>
          <w:rFonts w:asciiTheme="majorHAnsi" w:hAnsiTheme="majorHAnsi" w:cstheme="majorHAnsi"/>
          <w:color w:val="auto"/>
        </w:rPr>
        <w:t>D322</w:t>
      </w:r>
      <w:r w:rsidRPr="006070EA">
        <w:rPr>
          <w:rFonts w:asciiTheme="majorHAnsi" w:hAnsiTheme="majorHAnsi" w:cstheme="majorHAnsi"/>
          <w:color w:val="auto"/>
        </w:rPr>
        <w:t xml:space="preserve">) </w:t>
      </w:r>
      <w:r w:rsidR="0097451F">
        <w:rPr>
          <w:rFonts w:asciiTheme="majorHAnsi" w:hAnsiTheme="majorHAnsi" w:cstheme="majorHAnsi"/>
          <w:color w:val="auto"/>
        </w:rPr>
        <w:t>včetně souvisejících staveb (koridory CNU.KD1, CNU.KD2</w:t>
      </w:r>
      <w:r w:rsidR="00C208DE">
        <w:rPr>
          <w:rFonts w:asciiTheme="majorHAnsi" w:hAnsiTheme="majorHAnsi" w:cstheme="majorHAnsi"/>
          <w:color w:val="auto"/>
        </w:rPr>
        <w:t>, CNU.KD3</w:t>
      </w:r>
      <w:r w:rsidR="0097451F">
        <w:rPr>
          <w:rFonts w:asciiTheme="majorHAnsi" w:hAnsiTheme="majorHAnsi" w:cstheme="majorHAnsi"/>
          <w:color w:val="auto"/>
        </w:rPr>
        <w:t xml:space="preserve">) </w:t>
      </w:r>
      <w:r w:rsidRPr="006070EA">
        <w:rPr>
          <w:rFonts w:asciiTheme="majorHAnsi" w:hAnsiTheme="majorHAnsi" w:cstheme="majorHAnsi"/>
          <w:color w:val="auto"/>
        </w:rPr>
        <w:t>a</w:t>
      </w:r>
      <w:r w:rsidR="00F62C4F" w:rsidRPr="006070EA">
        <w:rPr>
          <w:rFonts w:asciiTheme="majorHAnsi" w:hAnsiTheme="majorHAnsi" w:cstheme="majorHAnsi"/>
          <w:color w:val="auto"/>
        </w:rPr>
        <w:t> </w:t>
      </w:r>
      <w:r w:rsidRPr="006070EA">
        <w:rPr>
          <w:rFonts w:asciiTheme="majorHAnsi" w:hAnsiTheme="majorHAnsi" w:cstheme="majorHAnsi"/>
          <w:color w:val="auto"/>
        </w:rPr>
        <w:t xml:space="preserve">lávka přes řeku Labe (koridor </w:t>
      </w:r>
      <w:r w:rsidR="004F5B3B" w:rsidRPr="006070EA">
        <w:rPr>
          <w:rFonts w:asciiTheme="majorHAnsi" w:hAnsiTheme="majorHAnsi" w:cstheme="majorHAnsi"/>
          <w:color w:val="auto"/>
        </w:rPr>
        <w:t>CNU.</w:t>
      </w:r>
      <w:r w:rsidRPr="006070EA">
        <w:rPr>
          <w:rFonts w:asciiTheme="majorHAnsi" w:hAnsiTheme="majorHAnsi" w:cstheme="majorHAnsi"/>
          <w:color w:val="auto"/>
        </w:rPr>
        <w:t xml:space="preserve">KDN1). Z hlediska technické infrastruktury byl jako VPS vymezen koridor vedení kanalizace a vodovodu do částí Hronětice, Vápensko a Rozkoš (koridor </w:t>
      </w:r>
      <w:r w:rsidR="004F5B3B" w:rsidRPr="006070EA">
        <w:rPr>
          <w:rFonts w:asciiTheme="majorHAnsi" w:hAnsiTheme="majorHAnsi" w:cstheme="majorHAnsi"/>
          <w:color w:val="auto"/>
        </w:rPr>
        <w:t>CNU.</w:t>
      </w:r>
      <w:r w:rsidRPr="006070EA">
        <w:rPr>
          <w:rFonts w:asciiTheme="majorHAnsi" w:hAnsiTheme="majorHAnsi" w:cstheme="majorHAnsi"/>
          <w:color w:val="auto"/>
        </w:rPr>
        <w:t>KTI1).</w:t>
      </w:r>
    </w:p>
    <w:p w14:paraId="126CC5CE" w14:textId="49BF29E5" w:rsidR="00BC3F41" w:rsidRPr="006070EA" w:rsidRDefault="00BC3F41" w:rsidP="00BC3F41">
      <w:pPr>
        <w:pStyle w:val="Mra-Vyjden"/>
        <w:spacing w:before="0"/>
        <w:ind w:firstLine="709"/>
        <w:rPr>
          <w:rFonts w:asciiTheme="majorHAnsi" w:hAnsiTheme="majorHAnsi" w:cstheme="majorHAnsi"/>
          <w:color w:val="auto"/>
        </w:rPr>
      </w:pPr>
      <w:r w:rsidRPr="006070EA">
        <w:rPr>
          <w:rFonts w:asciiTheme="majorHAnsi" w:hAnsiTheme="majorHAnsi" w:cstheme="majorHAnsi"/>
          <w:color w:val="auto"/>
        </w:rPr>
        <w:t>Jako veřejně prospěšná opatření (VPO) jsou územním plánem vymezeny dosud nestabilizované části lokálních prvků ÚSES (L</w:t>
      </w:r>
      <w:r w:rsidR="004F5B3B" w:rsidRPr="006070EA">
        <w:rPr>
          <w:rFonts w:asciiTheme="majorHAnsi" w:hAnsiTheme="majorHAnsi" w:cstheme="majorHAnsi"/>
          <w:color w:val="auto"/>
        </w:rPr>
        <w:t>B</w:t>
      </w:r>
      <w:r w:rsidRPr="006070EA">
        <w:rPr>
          <w:rFonts w:asciiTheme="majorHAnsi" w:hAnsiTheme="majorHAnsi" w:cstheme="majorHAnsi"/>
          <w:color w:val="auto"/>
        </w:rPr>
        <w:t>C</w:t>
      </w:r>
      <w:r w:rsidR="004F5B3B" w:rsidRPr="006070EA">
        <w:rPr>
          <w:rFonts w:asciiTheme="majorHAnsi" w:hAnsiTheme="majorHAnsi" w:cstheme="majorHAnsi"/>
          <w:color w:val="auto"/>
        </w:rPr>
        <w:t>.</w:t>
      </w:r>
      <w:r w:rsidRPr="006070EA">
        <w:rPr>
          <w:rFonts w:asciiTheme="majorHAnsi" w:hAnsiTheme="majorHAnsi" w:cstheme="majorHAnsi"/>
          <w:color w:val="auto"/>
        </w:rPr>
        <w:t>1 – plochy</w:t>
      </w:r>
      <w:r w:rsidR="004F5B3B" w:rsidRPr="006070EA">
        <w:rPr>
          <w:rFonts w:asciiTheme="majorHAnsi" w:hAnsiTheme="majorHAnsi" w:cstheme="majorHAnsi"/>
          <w:color w:val="auto"/>
        </w:rPr>
        <w:t xml:space="preserve"> změn v krajině</w:t>
      </w:r>
      <w:r w:rsidRPr="006070EA">
        <w:rPr>
          <w:rFonts w:asciiTheme="majorHAnsi" w:hAnsiTheme="majorHAnsi" w:cstheme="majorHAnsi"/>
          <w:color w:val="auto"/>
        </w:rPr>
        <w:t xml:space="preserve"> K</w:t>
      </w:r>
      <w:r w:rsidR="004F5B3B" w:rsidRPr="006070EA">
        <w:rPr>
          <w:rFonts w:asciiTheme="majorHAnsi" w:hAnsiTheme="majorHAnsi" w:cstheme="majorHAnsi"/>
          <w:color w:val="auto"/>
        </w:rPr>
        <w:t>.</w:t>
      </w:r>
      <w:r w:rsidRPr="006070EA">
        <w:rPr>
          <w:rFonts w:asciiTheme="majorHAnsi" w:hAnsiTheme="majorHAnsi" w:cstheme="majorHAnsi"/>
          <w:color w:val="auto"/>
        </w:rPr>
        <w:t>02 a K</w:t>
      </w:r>
      <w:r w:rsidR="004F5B3B" w:rsidRPr="006070EA">
        <w:rPr>
          <w:rFonts w:asciiTheme="majorHAnsi" w:hAnsiTheme="majorHAnsi" w:cstheme="majorHAnsi"/>
          <w:color w:val="auto"/>
        </w:rPr>
        <w:t>.</w:t>
      </w:r>
      <w:r w:rsidRPr="006070EA">
        <w:rPr>
          <w:rFonts w:asciiTheme="majorHAnsi" w:hAnsiTheme="majorHAnsi" w:cstheme="majorHAnsi"/>
          <w:color w:val="auto"/>
        </w:rPr>
        <w:t>03, L</w:t>
      </w:r>
      <w:r w:rsidR="004F5B3B" w:rsidRPr="006070EA">
        <w:rPr>
          <w:rFonts w:asciiTheme="majorHAnsi" w:hAnsiTheme="majorHAnsi" w:cstheme="majorHAnsi"/>
          <w:color w:val="auto"/>
        </w:rPr>
        <w:t>B</w:t>
      </w:r>
      <w:r w:rsidRPr="006070EA">
        <w:rPr>
          <w:rFonts w:asciiTheme="majorHAnsi" w:hAnsiTheme="majorHAnsi" w:cstheme="majorHAnsi"/>
          <w:color w:val="auto"/>
        </w:rPr>
        <w:t>C</w:t>
      </w:r>
      <w:r w:rsidR="004F5B3B" w:rsidRPr="006070EA">
        <w:rPr>
          <w:rFonts w:asciiTheme="majorHAnsi" w:hAnsiTheme="majorHAnsi" w:cstheme="majorHAnsi"/>
          <w:color w:val="auto"/>
        </w:rPr>
        <w:t>.</w:t>
      </w:r>
      <w:r w:rsidRPr="006070EA">
        <w:rPr>
          <w:rFonts w:asciiTheme="majorHAnsi" w:hAnsiTheme="majorHAnsi" w:cstheme="majorHAnsi"/>
          <w:color w:val="auto"/>
        </w:rPr>
        <w:t>2 – plochy K</w:t>
      </w:r>
      <w:r w:rsidR="004F5B3B" w:rsidRPr="006070EA">
        <w:rPr>
          <w:rFonts w:asciiTheme="majorHAnsi" w:hAnsiTheme="majorHAnsi" w:cstheme="majorHAnsi"/>
          <w:color w:val="auto"/>
        </w:rPr>
        <w:t>.</w:t>
      </w:r>
      <w:r w:rsidRPr="006070EA">
        <w:rPr>
          <w:rFonts w:asciiTheme="majorHAnsi" w:hAnsiTheme="majorHAnsi" w:cstheme="majorHAnsi"/>
          <w:color w:val="auto"/>
        </w:rPr>
        <w:t>04 a K</w:t>
      </w:r>
      <w:r w:rsidR="004F5B3B" w:rsidRPr="006070EA">
        <w:rPr>
          <w:rFonts w:asciiTheme="majorHAnsi" w:hAnsiTheme="majorHAnsi" w:cstheme="majorHAnsi"/>
          <w:color w:val="auto"/>
        </w:rPr>
        <w:t>.</w:t>
      </w:r>
      <w:r w:rsidRPr="006070EA">
        <w:rPr>
          <w:rFonts w:asciiTheme="majorHAnsi" w:hAnsiTheme="majorHAnsi" w:cstheme="majorHAnsi"/>
          <w:color w:val="auto"/>
        </w:rPr>
        <w:t xml:space="preserve">05). </w:t>
      </w:r>
    </w:p>
    <w:p w14:paraId="48CFBAA6" w14:textId="30EA2E7D" w:rsidR="00282607" w:rsidRPr="006070EA" w:rsidRDefault="002C27F8" w:rsidP="002C27F8">
      <w:pPr>
        <w:keepNext/>
        <w:spacing w:before="120" w:after="120" w:line="240" w:lineRule="auto"/>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lastRenderedPageBreak/>
        <w:t>P</w:t>
      </w:r>
      <w:r w:rsidR="00BB50A7" w:rsidRPr="006070EA">
        <w:rPr>
          <w:rFonts w:asciiTheme="majorHAnsi" w:hAnsiTheme="majorHAnsi" w:cstheme="majorHAnsi"/>
          <w:b/>
          <w:i/>
          <w:sz w:val="20"/>
          <w:szCs w:val="20"/>
          <w:lang w:eastAsia="ar-SA"/>
        </w:rPr>
        <w:t>ožadavky na prověření vymezení ploch a koridorů, ve kterých bude rozhodování o změnách v území podmíněno vydáním regulačního plánu, zpracováním územní studie nebo uzavřením dohody o parcelaci</w:t>
      </w:r>
    </w:p>
    <w:p w14:paraId="7C749EB1" w14:textId="77777777" w:rsidR="002C27F8" w:rsidRPr="006070EA" w:rsidRDefault="002C27F8" w:rsidP="002C27F8">
      <w:pPr>
        <w:pStyle w:val="Anadpiskurzva"/>
        <w:spacing w:after="60"/>
        <w:rPr>
          <w:rFonts w:asciiTheme="majorHAnsi" w:hAnsiTheme="majorHAnsi" w:cstheme="majorHAnsi"/>
          <w:b/>
          <w:bCs/>
        </w:rPr>
      </w:pPr>
      <w:r w:rsidRPr="006070EA">
        <w:rPr>
          <w:rFonts w:asciiTheme="majorHAnsi" w:hAnsiTheme="majorHAnsi" w:cstheme="majorHAnsi"/>
          <w:b/>
          <w:bCs/>
        </w:rPr>
        <w:t xml:space="preserve">Vymezení ploch a koridorů, ve kterých bude rozhodování o změnách v území podmíněno vydáním regulačního plánu: </w:t>
      </w:r>
    </w:p>
    <w:p w14:paraId="20F8E2EA" w14:textId="13CEBB98" w:rsidR="002C27F8" w:rsidRPr="006070EA" w:rsidRDefault="002C27F8" w:rsidP="002C27F8">
      <w:pPr>
        <w:pStyle w:val="Anadpiskurzva"/>
        <w:spacing w:after="60"/>
        <w:rPr>
          <w:rFonts w:asciiTheme="majorHAnsi" w:hAnsiTheme="majorHAnsi" w:cstheme="majorHAnsi"/>
        </w:rPr>
      </w:pPr>
      <w:r w:rsidRPr="006070EA">
        <w:rPr>
          <w:rFonts w:asciiTheme="majorHAnsi" w:hAnsiTheme="majorHAnsi" w:cstheme="majorHAnsi"/>
        </w:rPr>
        <w:t xml:space="preserve">Územní plán prověří potřebu vymezení ploch a koridorů, ve kterých bude rozhodování o změnách v území podmíněno vydáním regulačních plánů. </w:t>
      </w:r>
    </w:p>
    <w:p w14:paraId="25DFF3DA" w14:textId="403A9CAF" w:rsidR="004F5B3B" w:rsidRPr="006070EA" w:rsidRDefault="004F5B3B" w:rsidP="00F62C4F">
      <w:pPr>
        <w:pStyle w:val="Mra-Vyjden"/>
        <w:spacing w:before="0"/>
        <w:rPr>
          <w:rFonts w:asciiTheme="majorHAnsi" w:hAnsiTheme="majorHAnsi" w:cstheme="majorHAnsi"/>
          <w:b/>
          <w:bCs/>
        </w:rPr>
      </w:pPr>
      <w:r w:rsidRPr="00A76411">
        <w:rPr>
          <w:rFonts w:asciiTheme="majorHAnsi" w:hAnsiTheme="majorHAnsi" w:cstheme="majorHAnsi"/>
          <w:color w:val="auto"/>
        </w:rPr>
        <w:t xml:space="preserve">Územním plánem jsou vymezeny dvě plochy, ve kterých bude rozhodování o změnách v území podmíněno vydáním regulačního plánu </w:t>
      </w:r>
      <w:r w:rsidR="007F4A1A" w:rsidRPr="00A76411">
        <w:rPr>
          <w:rFonts w:asciiTheme="majorHAnsi" w:hAnsiTheme="majorHAnsi" w:cstheme="majorHAnsi"/>
          <w:color w:val="auto"/>
        </w:rPr>
        <w:t>z podnětu</w:t>
      </w:r>
      <w:r w:rsidRPr="00A76411">
        <w:rPr>
          <w:rFonts w:asciiTheme="majorHAnsi" w:hAnsiTheme="majorHAnsi" w:cstheme="majorHAnsi"/>
          <w:color w:val="auto"/>
        </w:rPr>
        <w:t>. Jedná se o plošně rozsáhlé zastavitelné plochy bydlení individuálního (BI) s označením Z.14 a Z.07 + Z.08 (ZP) v Kostomlatech nad Labem.</w:t>
      </w:r>
    </w:p>
    <w:p w14:paraId="0725F32B" w14:textId="77777777" w:rsidR="002C27F8" w:rsidRPr="006070EA" w:rsidRDefault="002C27F8" w:rsidP="002C27F8">
      <w:pPr>
        <w:pStyle w:val="Anadpiskurzva"/>
        <w:spacing w:after="60"/>
        <w:rPr>
          <w:rFonts w:asciiTheme="majorHAnsi" w:hAnsiTheme="majorHAnsi" w:cstheme="majorHAnsi"/>
          <w:b/>
          <w:bCs/>
        </w:rPr>
      </w:pPr>
      <w:r w:rsidRPr="006070EA">
        <w:rPr>
          <w:rFonts w:asciiTheme="majorHAnsi" w:hAnsiTheme="majorHAnsi" w:cstheme="majorHAnsi"/>
          <w:b/>
          <w:bCs/>
        </w:rPr>
        <w:t xml:space="preserve">Vymezení ploch a koridorů, ve kterých bude rozhodování o změnách v území podmíněno zpracováním Územní studie: </w:t>
      </w:r>
    </w:p>
    <w:p w14:paraId="55EE6906" w14:textId="39DDF11B" w:rsidR="002C27F8" w:rsidRPr="006070EA" w:rsidRDefault="002C27F8" w:rsidP="002C27F8">
      <w:pPr>
        <w:pStyle w:val="Anadpiskurzva"/>
        <w:spacing w:after="60"/>
        <w:rPr>
          <w:rFonts w:asciiTheme="majorHAnsi" w:hAnsiTheme="majorHAnsi" w:cstheme="majorHAnsi"/>
        </w:rPr>
      </w:pPr>
      <w:r w:rsidRPr="006070EA">
        <w:rPr>
          <w:rFonts w:asciiTheme="majorHAnsi" w:hAnsiTheme="majorHAnsi" w:cstheme="majorHAnsi"/>
        </w:rPr>
        <w:t xml:space="preserve">Územní plán prověří potřebu vymezení ploch, ve kterých bude rozhodování o změnách v území podmíněno zpracováním územních studií. </w:t>
      </w:r>
    </w:p>
    <w:p w14:paraId="08769E83" w14:textId="5E5ABCD3" w:rsidR="00F62C4F" w:rsidRPr="006070EA" w:rsidRDefault="00F62C4F" w:rsidP="00F62C4F">
      <w:pPr>
        <w:pStyle w:val="Mra-Vyjden"/>
        <w:spacing w:before="0"/>
        <w:rPr>
          <w:rFonts w:asciiTheme="majorHAnsi" w:hAnsiTheme="majorHAnsi" w:cstheme="majorHAnsi"/>
          <w:b/>
          <w:bCs/>
        </w:rPr>
      </w:pPr>
      <w:r w:rsidRPr="006070EA">
        <w:rPr>
          <w:rFonts w:asciiTheme="majorHAnsi" w:hAnsiTheme="majorHAnsi" w:cstheme="majorHAnsi"/>
          <w:color w:val="auto"/>
        </w:rPr>
        <w:t xml:space="preserve">Územním plánem jsou vymezeny </w:t>
      </w:r>
      <w:r w:rsidR="004F5B3B" w:rsidRPr="006070EA">
        <w:rPr>
          <w:rFonts w:asciiTheme="majorHAnsi" w:hAnsiTheme="majorHAnsi" w:cstheme="majorHAnsi"/>
          <w:color w:val="auto"/>
        </w:rPr>
        <w:t>dvě</w:t>
      </w:r>
      <w:r w:rsidRPr="006070EA">
        <w:rPr>
          <w:rFonts w:asciiTheme="majorHAnsi" w:hAnsiTheme="majorHAnsi" w:cstheme="majorHAnsi"/>
          <w:color w:val="auto"/>
        </w:rPr>
        <w:t xml:space="preserve"> plochy, ve kterých bude rozhodování o změnách v území podmíněno zpracováním územní studie. Jedná se o </w:t>
      </w:r>
      <w:r w:rsidR="004F5B3B" w:rsidRPr="006070EA">
        <w:rPr>
          <w:rFonts w:asciiTheme="majorHAnsi" w:hAnsiTheme="majorHAnsi" w:cstheme="majorHAnsi"/>
          <w:color w:val="auto"/>
        </w:rPr>
        <w:t xml:space="preserve">komplikovaně dostupnou zastavitelnou plochu smíšenou obytnou venkovskou (SV) s označením Z.03 v části Rozkoš a soubor zastavitelných ploch Z.17, Z.18 a Z.19 (SV) obestavující západní část hlavní dopravní komunikace v sídle Lány. </w:t>
      </w:r>
    </w:p>
    <w:p w14:paraId="363FF20F" w14:textId="77777777" w:rsidR="002C27F8" w:rsidRPr="006070EA" w:rsidRDefault="002C27F8" w:rsidP="002C27F8">
      <w:pPr>
        <w:pStyle w:val="Anadpiskurzva"/>
        <w:spacing w:after="60"/>
        <w:rPr>
          <w:rFonts w:asciiTheme="majorHAnsi" w:hAnsiTheme="majorHAnsi" w:cstheme="majorHAnsi"/>
          <w:b/>
          <w:bCs/>
        </w:rPr>
      </w:pPr>
      <w:r w:rsidRPr="006070EA">
        <w:rPr>
          <w:rFonts w:asciiTheme="majorHAnsi" w:hAnsiTheme="majorHAnsi" w:cstheme="majorHAnsi"/>
          <w:b/>
          <w:bCs/>
        </w:rPr>
        <w:t xml:space="preserve">Vymezení ploch a koridorů, ve kterých bude rozhodování o změnách v území podmíněno uzavřením dohody o parcelaci: </w:t>
      </w:r>
    </w:p>
    <w:p w14:paraId="79DFC001" w14:textId="4E35EBFC" w:rsidR="002C27F8" w:rsidRPr="006070EA" w:rsidRDefault="002C27F8" w:rsidP="002C27F8">
      <w:pPr>
        <w:pStyle w:val="Anadpiskurzva"/>
        <w:spacing w:after="60"/>
        <w:rPr>
          <w:rFonts w:asciiTheme="majorHAnsi" w:hAnsiTheme="majorHAnsi" w:cstheme="majorHAnsi"/>
        </w:rPr>
      </w:pPr>
      <w:r w:rsidRPr="006070EA">
        <w:rPr>
          <w:rFonts w:asciiTheme="majorHAnsi" w:hAnsiTheme="majorHAnsi" w:cstheme="majorHAnsi"/>
        </w:rPr>
        <w:t>Územní plán prověří potřebu vymezení ploch, ve kterých bude rozhodování o změnách v území podmíněno uzavřením dohod o parcelacích.</w:t>
      </w:r>
    </w:p>
    <w:p w14:paraId="106A5D94" w14:textId="5848BD1D" w:rsidR="00F62C4F" w:rsidRPr="006070EA" w:rsidRDefault="00F62C4F" w:rsidP="00F62C4F">
      <w:pPr>
        <w:pStyle w:val="Mra-Vyjden"/>
        <w:spacing w:before="0"/>
        <w:rPr>
          <w:rFonts w:asciiTheme="majorHAnsi" w:hAnsiTheme="majorHAnsi" w:cstheme="majorHAnsi"/>
          <w:b/>
          <w:bCs/>
        </w:rPr>
      </w:pPr>
      <w:r w:rsidRPr="006070EA">
        <w:rPr>
          <w:rFonts w:asciiTheme="majorHAnsi" w:hAnsiTheme="majorHAnsi" w:cstheme="majorHAnsi"/>
          <w:color w:val="auto"/>
        </w:rPr>
        <w:t>Plochy a koridory, jejichž využití by bylo podmíněno uzavřením dohody o parcelaci nejsou územním plánem Kostomlaty nad Labem vymezeny.</w:t>
      </w:r>
    </w:p>
    <w:p w14:paraId="13C9ED49" w14:textId="5F401642" w:rsidR="00282607" w:rsidRPr="006070EA" w:rsidRDefault="002C27F8" w:rsidP="00FD436B">
      <w:pPr>
        <w:keepNext/>
        <w:tabs>
          <w:tab w:val="left" w:pos="567"/>
        </w:tabs>
        <w:spacing w:before="120" w:after="120" w:line="240" w:lineRule="auto"/>
        <w:jc w:val="both"/>
        <w:rPr>
          <w:rFonts w:asciiTheme="majorHAnsi" w:hAnsiTheme="majorHAnsi" w:cstheme="majorHAnsi"/>
          <w:b/>
          <w:i/>
          <w:iCs/>
          <w:sz w:val="20"/>
          <w:szCs w:val="20"/>
          <w:lang w:eastAsia="ar-SA"/>
        </w:rPr>
      </w:pPr>
      <w:r w:rsidRPr="006070EA">
        <w:rPr>
          <w:rFonts w:asciiTheme="majorHAnsi" w:hAnsiTheme="majorHAnsi" w:cstheme="majorHAnsi"/>
          <w:b/>
          <w:i/>
          <w:iCs/>
          <w:sz w:val="20"/>
          <w:szCs w:val="20"/>
          <w:lang w:eastAsia="ar-SA"/>
        </w:rPr>
        <w:t>P</w:t>
      </w:r>
      <w:r w:rsidR="00BB50A7" w:rsidRPr="006070EA">
        <w:rPr>
          <w:rFonts w:asciiTheme="majorHAnsi" w:hAnsiTheme="majorHAnsi" w:cstheme="majorHAnsi"/>
          <w:b/>
          <w:i/>
          <w:iCs/>
          <w:sz w:val="20"/>
          <w:szCs w:val="20"/>
          <w:lang w:eastAsia="ar-SA"/>
        </w:rPr>
        <w:t>ožadavek na zpracování variant řešení</w:t>
      </w:r>
    </w:p>
    <w:p w14:paraId="44A0BD5F" w14:textId="3F62F87E" w:rsidR="00781786" w:rsidRPr="006070EA" w:rsidRDefault="002C27F8" w:rsidP="00781786">
      <w:pPr>
        <w:pStyle w:val="Anadpiskurzva"/>
        <w:keepNext w:val="0"/>
        <w:rPr>
          <w:rFonts w:asciiTheme="majorHAnsi" w:hAnsiTheme="majorHAnsi" w:cstheme="majorHAnsi"/>
        </w:rPr>
      </w:pPr>
      <w:r w:rsidRPr="006070EA">
        <w:rPr>
          <w:rFonts w:asciiTheme="majorHAnsi" w:hAnsiTheme="majorHAnsi" w:cstheme="majorHAnsi"/>
        </w:rPr>
        <w:t>Nepožaduje se zpracování variant řešení</w:t>
      </w:r>
      <w:r w:rsidR="00781786" w:rsidRPr="006070EA">
        <w:rPr>
          <w:rFonts w:asciiTheme="majorHAnsi" w:hAnsiTheme="majorHAnsi" w:cstheme="majorHAnsi"/>
        </w:rPr>
        <w:t>.</w:t>
      </w:r>
    </w:p>
    <w:p w14:paraId="658DB3A9" w14:textId="6ED2594D" w:rsidR="00C86905" w:rsidRPr="006070EA" w:rsidRDefault="00F62C4F" w:rsidP="00742F2C">
      <w:pPr>
        <w:pStyle w:val="Mra-Vyjden"/>
        <w:spacing w:before="0"/>
        <w:rPr>
          <w:rFonts w:asciiTheme="majorHAnsi" w:hAnsiTheme="majorHAnsi" w:cstheme="majorHAnsi"/>
          <w:color w:val="auto"/>
        </w:rPr>
      </w:pPr>
      <w:r w:rsidRPr="006070EA">
        <w:rPr>
          <w:rFonts w:asciiTheme="majorHAnsi" w:hAnsiTheme="majorHAnsi" w:cstheme="majorHAnsi"/>
          <w:color w:val="auto"/>
        </w:rPr>
        <w:t>Variantní řešení není zpracováno.</w:t>
      </w:r>
      <w:r w:rsidR="00C86905" w:rsidRPr="006070EA">
        <w:rPr>
          <w:rFonts w:asciiTheme="majorHAnsi" w:hAnsiTheme="majorHAnsi" w:cstheme="majorHAnsi"/>
          <w:color w:val="auto"/>
        </w:rPr>
        <w:t xml:space="preserve"> </w:t>
      </w:r>
      <w:r w:rsidR="00983EDE" w:rsidRPr="006070EA">
        <w:rPr>
          <w:rFonts w:asciiTheme="majorHAnsi" w:hAnsiTheme="majorHAnsi" w:cstheme="majorHAnsi"/>
          <w:color w:val="auto"/>
        </w:rPr>
        <w:t>Územní plán je zpracován jako invariantní.</w:t>
      </w:r>
    </w:p>
    <w:p w14:paraId="7B40FAE6" w14:textId="77777777" w:rsidR="002C27F8" w:rsidRPr="006070EA" w:rsidRDefault="002C27F8" w:rsidP="002C27F8">
      <w:pPr>
        <w:keepNext/>
        <w:spacing w:before="120" w:after="120" w:line="240" w:lineRule="auto"/>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 xml:space="preserve">Požadavky na uspořádání obsahu návrhu územního plánu a na uspořádání obsahu jeho odůvodnění včetně měřítek výkresů a počtu vyhotovení </w:t>
      </w:r>
    </w:p>
    <w:p w14:paraId="06E6323C" w14:textId="77777777" w:rsidR="002C27F8" w:rsidRPr="006070EA" w:rsidRDefault="002C27F8" w:rsidP="002C27F8">
      <w:pPr>
        <w:pStyle w:val="Anadpiskurzva"/>
        <w:keepNext w:val="0"/>
        <w:rPr>
          <w:rFonts w:asciiTheme="majorHAnsi" w:hAnsiTheme="majorHAnsi" w:cstheme="majorHAnsi"/>
        </w:rPr>
      </w:pPr>
      <w:r w:rsidRPr="006070EA">
        <w:rPr>
          <w:rFonts w:asciiTheme="majorHAnsi" w:hAnsiTheme="majorHAnsi" w:cstheme="majorHAnsi"/>
        </w:rPr>
        <w:t xml:space="preserve">Územní plán bude zpracován v souladu se stavebním zákonem, s vyhláškou č. 500/2006 Sb., s vyhláškou č. 501/2006 Sb. a s ostatními právními předpisy. Územní plán bude zpracován rovněž v souladu s metodikou Minimálního standardu pro digitální zpracování Územních plánů nad katastrální mapou měřítka 1:5000. </w:t>
      </w:r>
    </w:p>
    <w:p w14:paraId="4821D1D5" w14:textId="77777777" w:rsidR="002C27F8" w:rsidRPr="006070EA" w:rsidRDefault="002C27F8" w:rsidP="002C27F8">
      <w:pPr>
        <w:pStyle w:val="Anadpiskurzva"/>
        <w:keepNext w:val="0"/>
        <w:rPr>
          <w:rFonts w:asciiTheme="majorHAnsi" w:hAnsiTheme="majorHAnsi" w:cstheme="majorHAnsi"/>
        </w:rPr>
      </w:pPr>
      <w:r w:rsidRPr="006070EA">
        <w:rPr>
          <w:rFonts w:asciiTheme="majorHAnsi" w:hAnsiTheme="majorHAnsi" w:cstheme="majorHAnsi"/>
        </w:rPr>
        <w:t xml:space="preserve">Návrh ÚP bude pro účely společného jednání odevzdán ve dvou vyhotoveních. Upravený návrh ÚP podle výsledků společného jednání s dotčenými orgány a posouzení návrhu krajským úřadem bude odevzdán pro účely veřejného projednání ve dvou vyhotoveních. Bude-li nutné na základě veřejného projednání návrh ÚP upravit, bude odevzdán výsledný návrh ÚP ve čtyřech vyhotoveních. Nebude-li vyžadována na základě veřejného projednání úprava návrhu, budou dotištěna další dvě vyhotovení návrhu. Výsledný návrh bude odevzdán spolu s datovým nosičem. Pro každý stupeň jednání bude předáno rovněž digitální vyhotovení dokumentace. </w:t>
      </w:r>
    </w:p>
    <w:p w14:paraId="6BDE9918" w14:textId="5F069B8E" w:rsidR="002C27F8" w:rsidRPr="006070EA" w:rsidRDefault="002C27F8" w:rsidP="002C27F8">
      <w:pPr>
        <w:pStyle w:val="Anadpiskurzva"/>
        <w:keepNext w:val="0"/>
        <w:rPr>
          <w:rFonts w:asciiTheme="majorHAnsi" w:hAnsiTheme="majorHAnsi" w:cstheme="majorHAnsi"/>
        </w:rPr>
      </w:pPr>
      <w:r w:rsidRPr="006070EA">
        <w:rPr>
          <w:rFonts w:asciiTheme="majorHAnsi" w:hAnsiTheme="majorHAnsi" w:cstheme="majorHAnsi"/>
        </w:rPr>
        <w:t>Výkresy budou zpracovány nad aktuální digitální katastrální mapou, ve vektorové podobě (SHP, DGN) a v této podobě také budou předány po vydání Územního plánu.</w:t>
      </w:r>
    </w:p>
    <w:p w14:paraId="5842D462" w14:textId="77777777" w:rsidR="002C27F8" w:rsidRPr="006070EA" w:rsidRDefault="002C27F8" w:rsidP="002C27F8">
      <w:pPr>
        <w:pStyle w:val="Anadpiskurzva"/>
        <w:spacing w:after="60"/>
        <w:rPr>
          <w:rFonts w:asciiTheme="majorHAnsi" w:hAnsiTheme="majorHAnsi" w:cstheme="majorHAnsi"/>
          <w:b/>
          <w:bCs/>
        </w:rPr>
      </w:pPr>
      <w:r w:rsidRPr="006070EA">
        <w:rPr>
          <w:rFonts w:asciiTheme="majorHAnsi" w:hAnsiTheme="majorHAnsi" w:cstheme="majorHAnsi"/>
          <w:b/>
          <w:bCs/>
        </w:rPr>
        <w:t xml:space="preserve">Územní plán bude obsahovat: </w:t>
      </w:r>
    </w:p>
    <w:p w14:paraId="16DA9E27" w14:textId="4D493E96" w:rsidR="002C27F8" w:rsidRPr="006070EA" w:rsidRDefault="002C27F8" w:rsidP="002C27F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textová část </w:t>
      </w:r>
    </w:p>
    <w:p w14:paraId="5BF1FCE2" w14:textId="3B18C4BF" w:rsidR="002C27F8" w:rsidRPr="006070EA" w:rsidRDefault="002C27F8" w:rsidP="002C27F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grafická část </w:t>
      </w:r>
    </w:p>
    <w:p w14:paraId="6D7F4536" w14:textId="54069EE1" w:rsidR="002C27F8" w:rsidRPr="006070EA" w:rsidRDefault="002C27F8" w:rsidP="00EB05CF">
      <w:pPr>
        <w:pStyle w:val="Odstavecseseznamem"/>
        <w:numPr>
          <w:ilvl w:val="3"/>
          <w:numId w:val="39"/>
        </w:numPr>
        <w:spacing w:before="120" w:after="60" w:line="240" w:lineRule="auto"/>
        <w:ind w:left="993"/>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Výkres základního členění území </w:t>
      </w:r>
      <w:proofErr w:type="gramStart"/>
      <w:r w:rsidRPr="006070EA">
        <w:rPr>
          <w:rFonts w:asciiTheme="majorHAnsi" w:hAnsiTheme="majorHAnsi" w:cstheme="majorHAnsi"/>
          <w:bCs/>
          <w:i/>
          <w:sz w:val="18"/>
          <w:szCs w:val="18"/>
          <w:lang w:eastAsia="ar-SA"/>
        </w:rPr>
        <w:t>1 :</w:t>
      </w:r>
      <w:proofErr w:type="gramEnd"/>
      <w:r w:rsidRPr="006070EA">
        <w:rPr>
          <w:rFonts w:asciiTheme="majorHAnsi" w:hAnsiTheme="majorHAnsi" w:cstheme="majorHAnsi"/>
          <w:bCs/>
          <w:i/>
          <w:sz w:val="18"/>
          <w:szCs w:val="18"/>
          <w:lang w:eastAsia="ar-SA"/>
        </w:rPr>
        <w:t xml:space="preserve"> 5 000 </w:t>
      </w:r>
    </w:p>
    <w:p w14:paraId="468F2406" w14:textId="21C7E1D0" w:rsidR="002C27F8" w:rsidRPr="006070EA" w:rsidRDefault="002C27F8" w:rsidP="00EB05CF">
      <w:pPr>
        <w:pStyle w:val="Odstavecseseznamem"/>
        <w:numPr>
          <w:ilvl w:val="3"/>
          <w:numId w:val="39"/>
        </w:numPr>
        <w:spacing w:before="120" w:after="60" w:line="240" w:lineRule="auto"/>
        <w:ind w:left="993"/>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Hlavní výkres </w:t>
      </w:r>
      <w:proofErr w:type="gramStart"/>
      <w:r w:rsidRPr="006070EA">
        <w:rPr>
          <w:rFonts w:asciiTheme="majorHAnsi" w:hAnsiTheme="majorHAnsi" w:cstheme="majorHAnsi"/>
          <w:bCs/>
          <w:i/>
          <w:sz w:val="18"/>
          <w:szCs w:val="18"/>
          <w:lang w:eastAsia="ar-SA"/>
        </w:rPr>
        <w:t>1 :</w:t>
      </w:r>
      <w:proofErr w:type="gramEnd"/>
      <w:r w:rsidRPr="006070EA">
        <w:rPr>
          <w:rFonts w:asciiTheme="majorHAnsi" w:hAnsiTheme="majorHAnsi" w:cstheme="majorHAnsi"/>
          <w:bCs/>
          <w:i/>
          <w:sz w:val="18"/>
          <w:szCs w:val="18"/>
          <w:lang w:eastAsia="ar-SA"/>
        </w:rPr>
        <w:t xml:space="preserve"> 5 000 </w:t>
      </w:r>
    </w:p>
    <w:p w14:paraId="7C65DA4F" w14:textId="73C8D5EE" w:rsidR="002C27F8" w:rsidRPr="006070EA" w:rsidRDefault="002C27F8" w:rsidP="00EB05CF">
      <w:pPr>
        <w:pStyle w:val="Odstavecseseznamem"/>
        <w:numPr>
          <w:ilvl w:val="3"/>
          <w:numId w:val="39"/>
        </w:numPr>
        <w:spacing w:before="120" w:after="60" w:line="240" w:lineRule="auto"/>
        <w:ind w:left="993"/>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Výkres veřejně prospěšných staveb, opatření a asanací </w:t>
      </w:r>
      <w:proofErr w:type="gramStart"/>
      <w:r w:rsidRPr="006070EA">
        <w:rPr>
          <w:rFonts w:asciiTheme="majorHAnsi" w:hAnsiTheme="majorHAnsi" w:cstheme="majorHAnsi"/>
          <w:bCs/>
          <w:i/>
          <w:sz w:val="18"/>
          <w:szCs w:val="18"/>
          <w:lang w:eastAsia="ar-SA"/>
        </w:rPr>
        <w:t>1 :</w:t>
      </w:r>
      <w:proofErr w:type="gramEnd"/>
      <w:r w:rsidRPr="006070EA">
        <w:rPr>
          <w:rFonts w:asciiTheme="majorHAnsi" w:hAnsiTheme="majorHAnsi" w:cstheme="majorHAnsi"/>
          <w:bCs/>
          <w:i/>
          <w:sz w:val="18"/>
          <w:szCs w:val="18"/>
          <w:lang w:eastAsia="ar-SA"/>
        </w:rPr>
        <w:t xml:space="preserve"> 5 000 </w:t>
      </w:r>
    </w:p>
    <w:p w14:paraId="272574C4" w14:textId="77777777" w:rsidR="002C27F8" w:rsidRPr="006070EA" w:rsidRDefault="002C27F8" w:rsidP="002C27F8">
      <w:pPr>
        <w:pStyle w:val="Anadpiskurzva"/>
        <w:spacing w:after="60"/>
        <w:rPr>
          <w:rFonts w:asciiTheme="majorHAnsi" w:hAnsiTheme="majorHAnsi" w:cstheme="majorHAnsi"/>
          <w:b/>
          <w:bCs/>
        </w:rPr>
      </w:pPr>
      <w:r w:rsidRPr="006070EA">
        <w:rPr>
          <w:rFonts w:asciiTheme="majorHAnsi" w:hAnsiTheme="majorHAnsi" w:cstheme="majorHAnsi"/>
          <w:b/>
          <w:bCs/>
        </w:rPr>
        <w:t xml:space="preserve">Odůvodnění Územního plánu bude obsahovat: </w:t>
      </w:r>
    </w:p>
    <w:p w14:paraId="62FD5878" w14:textId="4AA5C375" w:rsidR="002C27F8" w:rsidRPr="006070EA" w:rsidRDefault="002C27F8" w:rsidP="002C27F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textová část </w:t>
      </w:r>
    </w:p>
    <w:p w14:paraId="2C37E88F" w14:textId="73C3C001" w:rsidR="002C27F8" w:rsidRPr="006070EA" w:rsidRDefault="002C27F8" w:rsidP="002C27F8">
      <w:pPr>
        <w:pStyle w:val="Odstavecseseznamem"/>
        <w:numPr>
          <w:ilvl w:val="2"/>
          <w:numId w:val="18"/>
        </w:numPr>
        <w:spacing w:before="120" w:after="60" w:line="240" w:lineRule="auto"/>
        <w:ind w:left="567"/>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grafická část </w:t>
      </w:r>
    </w:p>
    <w:p w14:paraId="77E17E2D" w14:textId="261B28C3" w:rsidR="002C27F8" w:rsidRPr="006070EA" w:rsidRDefault="002C27F8" w:rsidP="00EB05CF">
      <w:pPr>
        <w:pStyle w:val="Odstavecseseznamem"/>
        <w:numPr>
          <w:ilvl w:val="3"/>
          <w:numId w:val="39"/>
        </w:numPr>
        <w:spacing w:before="120" w:after="60" w:line="240" w:lineRule="auto"/>
        <w:ind w:left="993"/>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Koordinační výkres </w:t>
      </w:r>
      <w:proofErr w:type="gramStart"/>
      <w:r w:rsidRPr="006070EA">
        <w:rPr>
          <w:rFonts w:asciiTheme="majorHAnsi" w:hAnsiTheme="majorHAnsi" w:cstheme="majorHAnsi"/>
          <w:bCs/>
          <w:i/>
          <w:sz w:val="18"/>
          <w:szCs w:val="18"/>
          <w:lang w:eastAsia="ar-SA"/>
        </w:rPr>
        <w:t>1 :</w:t>
      </w:r>
      <w:proofErr w:type="gramEnd"/>
      <w:r w:rsidRPr="006070EA">
        <w:rPr>
          <w:rFonts w:asciiTheme="majorHAnsi" w:hAnsiTheme="majorHAnsi" w:cstheme="majorHAnsi"/>
          <w:bCs/>
          <w:i/>
          <w:sz w:val="18"/>
          <w:szCs w:val="18"/>
          <w:lang w:eastAsia="ar-SA"/>
        </w:rPr>
        <w:t xml:space="preserve"> 5 000 </w:t>
      </w:r>
    </w:p>
    <w:p w14:paraId="20B28873" w14:textId="04835E97" w:rsidR="002C27F8" w:rsidRPr="006070EA" w:rsidRDefault="002C27F8" w:rsidP="00EB05CF">
      <w:pPr>
        <w:pStyle w:val="Odstavecseseznamem"/>
        <w:numPr>
          <w:ilvl w:val="3"/>
          <w:numId w:val="39"/>
        </w:numPr>
        <w:spacing w:before="120" w:after="60" w:line="240" w:lineRule="auto"/>
        <w:ind w:left="993"/>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Výkres širších vztahů </w:t>
      </w:r>
      <w:proofErr w:type="gramStart"/>
      <w:r w:rsidRPr="006070EA">
        <w:rPr>
          <w:rFonts w:asciiTheme="majorHAnsi" w:hAnsiTheme="majorHAnsi" w:cstheme="majorHAnsi"/>
          <w:bCs/>
          <w:i/>
          <w:sz w:val="18"/>
          <w:szCs w:val="18"/>
          <w:lang w:eastAsia="ar-SA"/>
        </w:rPr>
        <w:t>1 :</w:t>
      </w:r>
      <w:proofErr w:type="gramEnd"/>
      <w:r w:rsidRPr="006070EA">
        <w:rPr>
          <w:rFonts w:asciiTheme="majorHAnsi" w:hAnsiTheme="majorHAnsi" w:cstheme="majorHAnsi"/>
          <w:bCs/>
          <w:i/>
          <w:sz w:val="18"/>
          <w:szCs w:val="18"/>
          <w:lang w:eastAsia="ar-SA"/>
        </w:rPr>
        <w:t xml:space="preserve"> 100 000 </w:t>
      </w:r>
    </w:p>
    <w:p w14:paraId="7C29603E" w14:textId="5EC3E29E" w:rsidR="002C27F8" w:rsidRPr="006070EA" w:rsidRDefault="002C27F8" w:rsidP="00EB05CF">
      <w:pPr>
        <w:pStyle w:val="Odstavecseseznamem"/>
        <w:numPr>
          <w:ilvl w:val="3"/>
          <w:numId w:val="39"/>
        </w:numPr>
        <w:spacing w:before="120" w:after="60" w:line="240" w:lineRule="auto"/>
        <w:ind w:left="993"/>
        <w:jc w:val="both"/>
        <w:rPr>
          <w:rFonts w:asciiTheme="majorHAnsi" w:hAnsiTheme="majorHAnsi" w:cstheme="majorHAnsi"/>
          <w:bCs/>
          <w:i/>
          <w:sz w:val="18"/>
          <w:szCs w:val="18"/>
          <w:lang w:eastAsia="ar-SA"/>
        </w:rPr>
      </w:pPr>
      <w:r w:rsidRPr="006070EA">
        <w:rPr>
          <w:rFonts w:asciiTheme="majorHAnsi" w:hAnsiTheme="majorHAnsi" w:cstheme="majorHAnsi"/>
          <w:bCs/>
          <w:i/>
          <w:sz w:val="18"/>
          <w:szCs w:val="18"/>
          <w:lang w:eastAsia="ar-SA"/>
        </w:rPr>
        <w:t xml:space="preserve">Výkres předpokládaných záborů PF </w:t>
      </w:r>
      <w:proofErr w:type="gramStart"/>
      <w:r w:rsidRPr="006070EA">
        <w:rPr>
          <w:rFonts w:asciiTheme="majorHAnsi" w:hAnsiTheme="majorHAnsi" w:cstheme="majorHAnsi"/>
          <w:bCs/>
          <w:i/>
          <w:sz w:val="18"/>
          <w:szCs w:val="18"/>
          <w:lang w:eastAsia="ar-SA"/>
        </w:rPr>
        <w:t>1 :</w:t>
      </w:r>
      <w:proofErr w:type="gramEnd"/>
      <w:r w:rsidRPr="006070EA">
        <w:rPr>
          <w:rFonts w:asciiTheme="majorHAnsi" w:hAnsiTheme="majorHAnsi" w:cstheme="majorHAnsi"/>
          <w:bCs/>
          <w:i/>
          <w:sz w:val="18"/>
          <w:szCs w:val="18"/>
          <w:lang w:eastAsia="ar-SA"/>
        </w:rPr>
        <w:t xml:space="preserve"> 5 000 </w:t>
      </w:r>
    </w:p>
    <w:p w14:paraId="15EA3CAE" w14:textId="453CAD70" w:rsidR="00F62C4F" w:rsidRPr="006070EA" w:rsidRDefault="00F62C4F" w:rsidP="00F62C4F">
      <w:pPr>
        <w:pStyle w:val="Mra-Vyjden"/>
        <w:spacing w:before="0"/>
        <w:rPr>
          <w:rFonts w:asciiTheme="majorHAnsi" w:hAnsiTheme="majorHAnsi" w:cstheme="majorHAnsi"/>
          <w:color w:val="auto"/>
        </w:rPr>
      </w:pPr>
      <w:r w:rsidRPr="006070EA">
        <w:rPr>
          <w:rFonts w:asciiTheme="majorHAnsi" w:hAnsiTheme="majorHAnsi" w:cstheme="majorHAnsi"/>
          <w:color w:val="auto"/>
        </w:rPr>
        <w:t xml:space="preserve">Územní plán je zpracován v souladu se stavebním zákonem a jeho prováděcími vyhláškami. Požadavky na uspořádání dokumentace a počty vyhotovení jsou respektovány. Zpracování dokumentace ÚP Kostomlaty nad Labem odpovídá požadavkům Zadání ÚP. Uspořádání obsahů textových částí Územního plánu Kostomlaty nad Labem odpovídá požadovanému rozsahu ve schváleném Zadání ÚP. Požadavek na uspořádání grafické části územního plánu </w:t>
      </w:r>
      <w:r w:rsidRPr="006070EA">
        <w:rPr>
          <w:rFonts w:asciiTheme="majorHAnsi" w:hAnsiTheme="majorHAnsi" w:cstheme="majorHAnsi"/>
          <w:color w:val="auto"/>
        </w:rPr>
        <w:lastRenderedPageBreak/>
        <w:t>a</w:t>
      </w:r>
      <w:r w:rsidR="00433C39" w:rsidRPr="006070EA">
        <w:rPr>
          <w:rFonts w:asciiTheme="majorHAnsi" w:hAnsiTheme="majorHAnsi" w:cstheme="majorHAnsi"/>
          <w:color w:val="auto"/>
        </w:rPr>
        <w:t> </w:t>
      </w:r>
      <w:r w:rsidRPr="006070EA">
        <w:rPr>
          <w:rFonts w:asciiTheme="majorHAnsi" w:hAnsiTheme="majorHAnsi" w:cstheme="majorHAnsi"/>
          <w:color w:val="auto"/>
        </w:rPr>
        <w:t xml:space="preserve">odůvodnění byl splněn. Splnění požadavků lze dokladovat na samotné dokumentaci. </w:t>
      </w:r>
      <w:r w:rsidR="004F5B3B" w:rsidRPr="006070EA">
        <w:rPr>
          <w:rFonts w:asciiTheme="majorHAnsi" w:hAnsiTheme="majorHAnsi" w:cstheme="majorHAnsi"/>
          <w:color w:val="auto"/>
        </w:rPr>
        <w:t>Územní plán je zpracován v souladu s aktuální legislativou na úseku územního plánování a v souladu s metodickým pokynem MMR je zpracován v datovém modelu a podle požadavků Standardu vybraných částí územního plánu (jednotný standard ÚPD).</w:t>
      </w:r>
    </w:p>
    <w:p w14:paraId="7C1D68B9" w14:textId="1F13EE89" w:rsidR="00282607" w:rsidRPr="006070EA" w:rsidRDefault="00BB50A7" w:rsidP="00FD436B">
      <w:pPr>
        <w:keepNext/>
        <w:spacing w:before="120" w:after="120" w:line="240" w:lineRule="auto"/>
        <w:ind w:left="567" w:hanging="567"/>
        <w:jc w:val="both"/>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Požadavky na vyhodnocení předpokládaných vlivů územního plánu na udržitelný rozvoj území</w:t>
      </w:r>
    </w:p>
    <w:p w14:paraId="2613805C" w14:textId="55300C42" w:rsidR="00706D4E" w:rsidRPr="006070EA" w:rsidRDefault="00706D4E" w:rsidP="00742F2C">
      <w:pPr>
        <w:pStyle w:val="Anadpiskurzva"/>
        <w:keepNext w:val="0"/>
        <w:rPr>
          <w:rFonts w:asciiTheme="majorHAnsi" w:hAnsiTheme="majorHAnsi" w:cstheme="majorHAnsi"/>
        </w:rPr>
      </w:pPr>
      <w:r w:rsidRPr="006070EA">
        <w:rPr>
          <w:rFonts w:asciiTheme="majorHAnsi" w:hAnsiTheme="majorHAnsi" w:cstheme="majorHAnsi"/>
        </w:rPr>
        <w:t>Krajský úřad Středočeského kraje, oddělení ochrany přírody, ve svém stanovisku ze dne 8.4.2019 vyloučil významný vliv koncepce územního plánu na předmět ochrany nebo celistvost evropsky významných lokalit nebo ptačích oblastí. Krajský úřad Středočeského kraj, odbor životního prostředí a zemědělství ve svém stanovisku ze dne 16.8.2021 k doplněnému zadání územního plánu nepožaduje posouzení vlivů územního plánu na životní prostředí a nepožaduje posouzení vlivu územního plánu na životní prostředí, tzv. SEA.</w:t>
      </w:r>
    </w:p>
    <w:p w14:paraId="73BAADFD" w14:textId="77777777" w:rsidR="00F62C4F" w:rsidRPr="006070EA" w:rsidRDefault="00F62C4F" w:rsidP="00F62C4F">
      <w:pPr>
        <w:pStyle w:val="Mra-Vyjden"/>
        <w:spacing w:before="0"/>
        <w:rPr>
          <w:rFonts w:asciiTheme="majorHAnsi" w:hAnsiTheme="majorHAnsi" w:cstheme="majorHAnsi"/>
          <w:color w:val="auto"/>
        </w:rPr>
      </w:pPr>
      <w:r w:rsidRPr="006070EA">
        <w:rPr>
          <w:rFonts w:asciiTheme="majorHAnsi" w:hAnsiTheme="majorHAnsi" w:cstheme="majorHAnsi"/>
          <w:color w:val="auto"/>
        </w:rPr>
        <w:t>Ze stanoviska příslušného úřadu podle zákona o posuzování vlivů na životní prostředí nevyplynula potřeba Vyhodnocení vlivů na udržitelný rozvoj území (viz kapitola 13</w:t>
      </w:r>
      <w:r w:rsidRPr="006070EA">
        <w:rPr>
          <w:rFonts w:asciiTheme="majorHAnsi" w:hAnsiTheme="majorHAnsi" w:cstheme="majorHAnsi"/>
          <w:bCs/>
          <w:i/>
          <w:iCs/>
          <w:color w:val="auto"/>
          <w:szCs w:val="20"/>
        </w:rPr>
        <w:t xml:space="preserve"> Zpráva o vyhodnocení vlivů na udržitelný rozvoj území obsahující základní informace o výsledcích tohoto vyhodnocení včetně výsledků vyhodnocení vlivů na životní prostředí</w:t>
      </w:r>
      <w:r w:rsidRPr="006070EA">
        <w:rPr>
          <w:rFonts w:asciiTheme="majorHAnsi" w:hAnsiTheme="majorHAnsi" w:cstheme="majorHAnsi"/>
          <w:color w:val="auto"/>
        </w:rPr>
        <w:t xml:space="preserve"> tohoto Odůvodnění). </w:t>
      </w:r>
    </w:p>
    <w:p w14:paraId="44470FD9" w14:textId="602173BA" w:rsidR="00706D4E" w:rsidRPr="006070EA" w:rsidRDefault="00F62C4F" w:rsidP="00F62C4F">
      <w:pPr>
        <w:pStyle w:val="Mra-Vyjden"/>
        <w:spacing w:before="0"/>
        <w:rPr>
          <w:rFonts w:asciiTheme="majorHAnsi" w:hAnsiTheme="majorHAnsi" w:cstheme="majorHAnsi"/>
          <w:color w:val="auto"/>
        </w:rPr>
      </w:pPr>
      <w:r w:rsidRPr="006070EA">
        <w:rPr>
          <w:rFonts w:asciiTheme="majorHAnsi" w:hAnsiTheme="majorHAnsi" w:cstheme="majorHAnsi"/>
          <w:color w:val="auto"/>
        </w:rPr>
        <w:t xml:space="preserve">Územní plán stanovenou rozvojovou koncepcí jednoznačně chrání a rozvíjí uvedený současný charakter řešeného území. Koncepce rozvoje území je založena na vyváženém vztahu pilířů udržitelného rozvoje území. Řešení obsahuje zásady ochrany všech složek životního prostředí, vymezuje ucelený a vzájemně propojený ÚSES. Územní plán řeší nevyhovující způsob odkanalizování obce, čímž přispívá k snížení zátěže životního prostředí. </w:t>
      </w:r>
    </w:p>
    <w:p w14:paraId="1A739566" w14:textId="77777777" w:rsidR="00F62C4F" w:rsidRPr="006070EA" w:rsidRDefault="00706D4E" w:rsidP="00706D4E">
      <w:pPr>
        <w:keepNext/>
        <w:spacing w:before="120" w:after="120" w:line="240" w:lineRule="auto"/>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Souhrn problémů k řešení v územním plán</w:t>
      </w:r>
      <w:r w:rsidR="00F62C4F" w:rsidRPr="006070EA">
        <w:rPr>
          <w:rFonts w:asciiTheme="majorHAnsi" w:hAnsiTheme="majorHAnsi" w:cstheme="majorHAnsi"/>
          <w:b/>
          <w:i/>
          <w:sz w:val="20"/>
          <w:szCs w:val="20"/>
          <w:lang w:eastAsia="ar-SA"/>
        </w:rPr>
        <w:t>u</w:t>
      </w: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4427"/>
        <w:gridCol w:w="4427"/>
      </w:tblGrid>
      <w:tr w:rsidR="00F62C4F" w:rsidRPr="006070EA" w14:paraId="2F1FFFBE" w14:textId="77777777" w:rsidTr="00752A9E">
        <w:trPr>
          <w:jc w:val="center"/>
        </w:trPr>
        <w:tc>
          <w:tcPr>
            <w:tcW w:w="4427" w:type="dxa"/>
            <w:vAlign w:val="center"/>
          </w:tcPr>
          <w:p w14:paraId="6C9B47C6" w14:textId="77777777" w:rsidR="00F62C4F" w:rsidRPr="006070EA" w:rsidRDefault="00F62C4F"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urbanistická závada k řešení v ÚP </w:t>
            </w:r>
          </w:p>
        </w:tc>
        <w:tc>
          <w:tcPr>
            <w:tcW w:w="4427" w:type="dxa"/>
            <w:vAlign w:val="center"/>
          </w:tcPr>
          <w:p w14:paraId="1C1D67B3" w14:textId="77777777" w:rsidR="00F62C4F" w:rsidRPr="006070EA" w:rsidRDefault="00F62C4F"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lokalizace </w:t>
            </w:r>
          </w:p>
        </w:tc>
      </w:tr>
      <w:tr w:rsidR="00F62C4F" w:rsidRPr="006070EA" w14:paraId="427041B8" w14:textId="77777777" w:rsidTr="00752A9E">
        <w:trPr>
          <w:jc w:val="center"/>
        </w:trPr>
        <w:tc>
          <w:tcPr>
            <w:tcW w:w="4427" w:type="dxa"/>
            <w:vAlign w:val="center"/>
          </w:tcPr>
          <w:p w14:paraId="79A2DAF6"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rozvojový potenciál obce mimo významné plošné limity využití území </w:t>
            </w:r>
          </w:p>
        </w:tc>
        <w:tc>
          <w:tcPr>
            <w:tcW w:w="4427" w:type="dxa"/>
            <w:vAlign w:val="center"/>
          </w:tcPr>
          <w:p w14:paraId="77B6FF62"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r w:rsidR="00F62C4F" w:rsidRPr="006070EA" w14:paraId="4928C549" w14:textId="77777777" w:rsidTr="00752A9E">
        <w:trPr>
          <w:jc w:val="center"/>
        </w:trPr>
        <w:tc>
          <w:tcPr>
            <w:tcW w:w="4427" w:type="dxa"/>
            <w:vAlign w:val="center"/>
          </w:tcPr>
          <w:p w14:paraId="67961811"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plocha nebo objekt brownfield </w:t>
            </w:r>
          </w:p>
        </w:tc>
        <w:tc>
          <w:tcPr>
            <w:tcW w:w="4427" w:type="dxa"/>
            <w:vAlign w:val="center"/>
          </w:tcPr>
          <w:p w14:paraId="0426376B"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r w:rsidR="00F62C4F" w:rsidRPr="006070EA" w14:paraId="43039E0E" w14:textId="77777777" w:rsidTr="00752A9E">
        <w:trPr>
          <w:jc w:val="center"/>
        </w:trPr>
        <w:tc>
          <w:tcPr>
            <w:tcW w:w="4427" w:type="dxa"/>
            <w:vAlign w:val="center"/>
          </w:tcPr>
          <w:p w14:paraId="3C254AF3"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absence základního občanského vybavení a služeb v malých sídlech </w:t>
            </w:r>
          </w:p>
        </w:tc>
        <w:tc>
          <w:tcPr>
            <w:tcW w:w="4427" w:type="dxa"/>
            <w:vAlign w:val="center"/>
          </w:tcPr>
          <w:p w14:paraId="7DB9266A"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Vápensko, Rozkoš </w:t>
            </w:r>
          </w:p>
        </w:tc>
      </w:tr>
      <w:tr w:rsidR="00F62C4F" w:rsidRPr="006070EA" w14:paraId="5CA2B099" w14:textId="77777777" w:rsidTr="00752A9E">
        <w:trPr>
          <w:jc w:val="center"/>
        </w:trPr>
        <w:tc>
          <w:tcPr>
            <w:tcW w:w="4427" w:type="dxa"/>
            <w:vAlign w:val="center"/>
          </w:tcPr>
          <w:p w14:paraId="7CD34823"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slabé vazby mezi jádrovým sídlem a místními částmi </w:t>
            </w:r>
          </w:p>
        </w:tc>
        <w:tc>
          <w:tcPr>
            <w:tcW w:w="4427" w:type="dxa"/>
            <w:vAlign w:val="center"/>
          </w:tcPr>
          <w:p w14:paraId="50836ABD"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Vápensko </w:t>
            </w:r>
          </w:p>
        </w:tc>
      </w:tr>
      <w:tr w:rsidR="00F62C4F" w:rsidRPr="006070EA" w14:paraId="6D8769C6" w14:textId="77777777" w:rsidTr="00752A9E">
        <w:trPr>
          <w:jc w:val="center"/>
        </w:trPr>
        <w:tc>
          <w:tcPr>
            <w:tcW w:w="4427" w:type="dxa"/>
            <w:vAlign w:val="center"/>
          </w:tcPr>
          <w:p w14:paraId="685DB28C"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liniová bariéra železniční trati rozdělující území a narušující vzájemné vazby mezi sídly a propojení sídel s krajinou </w:t>
            </w:r>
          </w:p>
        </w:tc>
        <w:tc>
          <w:tcPr>
            <w:tcW w:w="4427" w:type="dxa"/>
            <w:vAlign w:val="center"/>
          </w:tcPr>
          <w:p w14:paraId="6D97A44F"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celé území </w:t>
            </w:r>
          </w:p>
        </w:tc>
      </w:tr>
      <w:tr w:rsidR="00F62C4F" w:rsidRPr="006070EA" w14:paraId="0445F705" w14:textId="77777777" w:rsidTr="00752A9E">
        <w:trPr>
          <w:jc w:val="center"/>
        </w:trPr>
        <w:tc>
          <w:tcPr>
            <w:tcW w:w="4427" w:type="dxa"/>
            <w:vAlign w:val="center"/>
          </w:tcPr>
          <w:p w14:paraId="7EF1D387"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vymezení ÚSES ve stabilizovaných plochách bydlení </w:t>
            </w:r>
          </w:p>
        </w:tc>
        <w:tc>
          <w:tcPr>
            <w:tcW w:w="4427" w:type="dxa"/>
            <w:vAlign w:val="center"/>
          </w:tcPr>
          <w:p w14:paraId="1E4CD2F6"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r w:rsidR="00F62C4F" w:rsidRPr="006070EA" w14:paraId="56A10E0F" w14:textId="77777777" w:rsidTr="00752A9E">
        <w:trPr>
          <w:jc w:val="center"/>
        </w:trPr>
        <w:tc>
          <w:tcPr>
            <w:tcW w:w="4427" w:type="dxa"/>
            <w:vAlign w:val="center"/>
          </w:tcPr>
          <w:p w14:paraId="0B223185" w14:textId="77777777" w:rsidR="00F62C4F" w:rsidRPr="006070EA" w:rsidRDefault="00F62C4F"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dopravní závada k řešení v ÚP </w:t>
            </w:r>
          </w:p>
        </w:tc>
        <w:tc>
          <w:tcPr>
            <w:tcW w:w="4427" w:type="dxa"/>
            <w:vAlign w:val="center"/>
          </w:tcPr>
          <w:p w14:paraId="39D25F5C" w14:textId="77777777" w:rsidR="00F62C4F" w:rsidRPr="006070EA" w:rsidRDefault="00F62C4F"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lokalizace </w:t>
            </w:r>
          </w:p>
        </w:tc>
      </w:tr>
      <w:tr w:rsidR="00F62C4F" w:rsidRPr="006070EA" w14:paraId="71272190" w14:textId="77777777" w:rsidTr="00752A9E">
        <w:trPr>
          <w:jc w:val="center"/>
        </w:trPr>
        <w:tc>
          <w:tcPr>
            <w:tcW w:w="4427" w:type="dxa"/>
            <w:vAlign w:val="center"/>
          </w:tcPr>
          <w:p w14:paraId="7BA533C8"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dopravní zátěž silnice II/331 v zastavěném území sídla Kostomlaty nad Labem </w:t>
            </w:r>
          </w:p>
        </w:tc>
        <w:tc>
          <w:tcPr>
            <w:tcW w:w="4427" w:type="dxa"/>
            <w:vAlign w:val="center"/>
          </w:tcPr>
          <w:p w14:paraId="0BC073CC"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r w:rsidR="00F62C4F" w:rsidRPr="006070EA" w14:paraId="417E5269" w14:textId="77777777" w:rsidTr="00752A9E">
        <w:trPr>
          <w:jc w:val="center"/>
        </w:trPr>
        <w:tc>
          <w:tcPr>
            <w:tcW w:w="4427" w:type="dxa"/>
            <w:vAlign w:val="center"/>
          </w:tcPr>
          <w:p w14:paraId="053F83F5"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nepřehledná křižovatka u kostela </w:t>
            </w:r>
          </w:p>
          <w:p w14:paraId="70B5FE2E"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křižovatka silnic II/331 a III/3319 </w:t>
            </w:r>
          </w:p>
        </w:tc>
        <w:tc>
          <w:tcPr>
            <w:tcW w:w="4427" w:type="dxa"/>
            <w:vAlign w:val="center"/>
          </w:tcPr>
          <w:p w14:paraId="10E5230D"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r w:rsidR="00F62C4F" w:rsidRPr="006070EA" w14:paraId="3090C866" w14:textId="77777777" w:rsidTr="00752A9E">
        <w:trPr>
          <w:jc w:val="center"/>
        </w:trPr>
        <w:tc>
          <w:tcPr>
            <w:tcW w:w="4427" w:type="dxa"/>
            <w:vAlign w:val="center"/>
          </w:tcPr>
          <w:p w14:paraId="262C51D3"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kolizní místa úrovňového křížení železniční trati a silnice </w:t>
            </w:r>
          </w:p>
        </w:tc>
        <w:tc>
          <w:tcPr>
            <w:tcW w:w="4427" w:type="dxa"/>
            <w:vAlign w:val="center"/>
          </w:tcPr>
          <w:p w14:paraId="0D4BD0AA"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Rozkoš </w:t>
            </w:r>
          </w:p>
        </w:tc>
      </w:tr>
      <w:tr w:rsidR="00F62C4F" w:rsidRPr="006070EA" w14:paraId="10B67BFD" w14:textId="77777777" w:rsidTr="00752A9E">
        <w:trPr>
          <w:jc w:val="center"/>
        </w:trPr>
        <w:tc>
          <w:tcPr>
            <w:tcW w:w="4427" w:type="dxa"/>
            <w:vAlign w:val="center"/>
          </w:tcPr>
          <w:p w14:paraId="3D64C533"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nedostatečně zajištěná pěší prostupnost území včetně propojení sídel a krajiny</w:t>
            </w:r>
          </w:p>
        </w:tc>
        <w:tc>
          <w:tcPr>
            <w:tcW w:w="4427" w:type="dxa"/>
            <w:vAlign w:val="center"/>
          </w:tcPr>
          <w:p w14:paraId="5DEE0EB1"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celé území </w:t>
            </w:r>
          </w:p>
        </w:tc>
      </w:tr>
      <w:tr w:rsidR="00F62C4F" w:rsidRPr="006070EA" w14:paraId="46F61A1E" w14:textId="77777777" w:rsidTr="00752A9E">
        <w:trPr>
          <w:jc w:val="center"/>
        </w:trPr>
        <w:tc>
          <w:tcPr>
            <w:tcW w:w="4427" w:type="dxa"/>
            <w:vAlign w:val="center"/>
          </w:tcPr>
          <w:p w14:paraId="43BF4AAA" w14:textId="77777777" w:rsidR="00F62C4F" w:rsidRPr="006070EA" w:rsidRDefault="00F62C4F"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technická závada k řešení v ÚP </w:t>
            </w:r>
          </w:p>
        </w:tc>
        <w:tc>
          <w:tcPr>
            <w:tcW w:w="4427" w:type="dxa"/>
            <w:vAlign w:val="center"/>
          </w:tcPr>
          <w:p w14:paraId="1CA0269D" w14:textId="77777777" w:rsidR="00F62C4F" w:rsidRPr="006070EA" w:rsidRDefault="00F62C4F"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lokalizace </w:t>
            </w:r>
          </w:p>
        </w:tc>
      </w:tr>
      <w:tr w:rsidR="00F62C4F" w:rsidRPr="006070EA" w14:paraId="1EA85DD0" w14:textId="77777777" w:rsidTr="00752A9E">
        <w:trPr>
          <w:jc w:val="center"/>
        </w:trPr>
        <w:tc>
          <w:tcPr>
            <w:tcW w:w="4427" w:type="dxa"/>
            <w:vAlign w:val="center"/>
          </w:tcPr>
          <w:p w14:paraId="6A54DCDE"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absence veřejného vodovodu v malých sídlech </w:t>
            </w:r>
          </w:p>
        </w:tc>
        <w:tc>
          <w:tcPr>
            <w:tcW w:w="4427" w:type="dxa"/>
            <w:vAlign w:val="center"/>
          </w:tcPr>
          <w:p w14:paraId="54AA2709"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Lány, Hronětice, Rozkoš, Vápensko </w:t>
            </w:r>
          </w:p>
        </w:tc>
      </w:tr>
      <w:tr w:rsidR="00F62C4F" w:rsidRPr="006070EA" w14:paraId="4CDFB156" w14:textId="77777777" w:rsidTr="00752A9E">
        <w:trPr>
          <w:jc w:val="center"/>
        </w:trPr>
        <w:tc>
          <w:tcPr>
            <w:tcW w:w="4427" w:type="dxa"/>
            <w:vAlign w:val="center"/>
          </w:tcPr>
          <w:p w14:paraId="3C23AA5D"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špatná kvalita pitné vody (obyvatelé připojeni na veřejný vodovod se potýkají se špatnou kvalitou vody) – nelze řešit v ÚP </w:t>
            </w:r>
          </w:p>
        </w:tc>
        <w:tc>
          <w:tcPr>
            <w:tcW w:w="4427" w:type="dxa"/>
            <w:vAlign w:val="center"/>
          </w:tcPr>
          <w:p w14:paraId="3F4B754C"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celé území </w:t>
            </w:r>
          </w:p>
        </w:tc>
      </w:tr>
      <w:tr w:rsidR="00F62C4F" w:rsidRPr="006070EA" w14:paraId="3EF3F85D" w14:textId="77777777" w:rsidTr="00752A9E">
        <w:trPr>
          <w:jc w:val="center"/>
        </w:trPr>
        <w:tc>
          <w:tcPr>
            <w:tcW w:w="4427" w:type="dxa"/>
            <w:vAlign w:val="center"/>
          </w:tcPr>
          <w:p w14:paraId="3CA30A15"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absence veřejné kanalizace a systémů na likvidaci a odstraňování odpadních vod v malých sídlech </w:t>
            </w:r>
          </w:p>
        </w:tc>
        <w:tc>
          <w:tcPr>
            <w:tcW w:w="4427" w:type="dxa"/>
            <w:vAlign w:val="center"/>
          </w:tcPr>
          <w:p w14:paraId="55C6994D"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Rozkoš, Vápensko </w:t>
            </w:r>
          </w:p>
        </w:tc>
      </w:tr>
      <w:tr w:rsidR="00F62C4F" w:rsidRPr="006070EA" w14:paraId="6AF9B672" w14:textId="77777777" w:rsidTr="00752A9E">
        <w:trPr>
          <w:jc w:val="center"/>
        </w:trPr>
        <w:tc>
          <w:tcPr>
            <w:tcW w:w="4427" w:type="dxa"/>
            <w:vAlign w:val="center"/>
          </w:tcPr>
          <w:p w14:paraId="308BD603"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absence plynovodu v malých sídlech </w:t>
            </w:r>
          </w:p>
        </w:tc>
        <w:tc>
          <w:tcPr>
            <w:tcW w:w="4427" w:type="dxa"/>
            <w:vAlign w:val="center"/>
          </w:tcPr>
          <w:p w14:paraId="7F9DFCD7"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celé území vyjma Kostomlat nad Labem </w:t>
            </w:r>
          </w:p>
        </w:tc>
      </w:tr>
      <w:tr w:rsidR="00F62C4F" w:rsidRPr="006070EA" w14:paraId="09F28749" w14:textId="77777777" w:rsidTr="00752A9E">
        <w:trPr>
          <w:jc w:val="center"/>
        </w:trPr>
        <w:tc>
          <w:tcPr>
            <w:tcW w:w="4427" w:type="dxa"/>
            <w:vAlign w:val="center"/>
          </w:tcPr>
          <w:p w14:paraId="08D91473" w14:textId="77777777" w:rsidR="00F62C4F" w:rsidRPr="006070EA" w:rsidRDefault="00F62C4F"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přírodní a krajinná závada k řešení v ÚP </w:t>
            </w:r>
          </w:p>
        </w:tc>
        <w:tc>
          <w:tcPr>
            <w:tcW w:w="4427" w:type="dxa"/>
            <w:vAlign w:val="center"/>
          </w:tcPr>
          <w:p w14:paraId="0AF23BF3" w14:textId="77777777" w:rsidR="00F62C4F" w:rsidRPr="006070EA" w:rsidRDefault="00F62C4F"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lokalizace </w:t>
            </w:r>
          </w:p>
        </w:tc>
      </w:tr>
      <w:tr w:rsidR="00F62C4F" w:rsidRPr="006070EA" w14:paraId="2430E492" w14:textId="77777777" w:rsidTr="00752A9E">
        <w:trPr>
          <w:jc w:val="center"/>
        </w:trPr>
        <w:tc>
          <w:tcPr>
            <w:tcW w:w="4427" w:type="dxa"/>
            <w:vAlign w:val="center"/>
          </w:tcPr>
          <w:p w14:paraId="383CC33A"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zaměření na intenzivní zemědělské hospodaření v krajině a nízký podíl ekologicky stabilních ploch </w:t>
            </w:r>
          </w:p>
        </w:tc>
        <w:tc>
          <w:tcPr>
            <w:tcW w:w="4427" w:type="dxa"/>
            <w:vAlign w:val="center"/>
          </w:tcPr>
          <w:p w14:paraId="0E1A5B65"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celé území </w:t>
            </w:r>
          </w:p>
        </w:tc>
      </w:tr>
      <w:tr w:rsidR="00F62C4F" w:rsidRPr="006070EA" w14:paraId="0A39CBD3" w14:textId="77777777" w:rsidTr="00752A9E">
        <w:trPr>
          <w:jc w:val="center"/>
        </w:trPr>
        <w:tc>
          <w:tcPr>
            <w:tcW w:w="4427" w:type="dxa"/>
            <w:vAlign w:val="center"/>
          </w:tcPr>
          <w:p w14:paraId="02BD7555"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nezbytnost koordinace vymezení prvků ÚSES se sousedními obcemi </w:t>
            </w:r>
          </w:p>
        </w:tc>
        <w:tc>
          <w:tcPr>
            <w:tcW w:w="4427" w:type="dxa"/>
            <w:vAlign w:val="center"/>
          </w:tcPr>
          <w:p w14:paraId="394AEB83" w14:textId="77777777" w:rsidR="00F62C4F" w:rsidRPr="006070EA" w:rsidRDefault="00F62C4F"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celé území </w:t>
            </w:r>
          </w:p>
        </w:tc>
      </w:tr>
    </w:tbl>
    <w:p w14:paraId="77BE98D0" w14:textId="4ED5ADA6" w:rsidR="00706D4E" w:rsidRPr="006070EA" w:rsidRDefault="00F62C4F" w:rsidP="00F62C4F">
      <w:pPr>
        <w:pStyle w:val="Mra-Vyjden"/>
        <w:rPr>
          <w:rFonts w:asciiTheme="majorHAnsi" w:hAnsiTheme="majorHAnsi" w:cstheme="majorHAnsi"/>
          <w:color w:val="auto"/>
        </w:rPr>
      </w:pPr>
      <w:r w:rsidRPr="006070EA">
        <w:rPr>
          <w:rFonts w:asciiTheme="majorHAnsi" w:hAnsiTheme="majorHAnsi" w:cstheme="majorHAnsi"/>
          <w:color w:val="auto"/>
        </w:rPr>
        <w:t>Všechny výše uvedené závady byly řešeny v rámci příslušných koncepcí ÚP Kostomlaty nad Labem. Pro jejich odstranění byla navržena konkrétní opatření (např. formou koridorů dopravní infrastruktury, v rámci stanoveného plošného uspořádání území</w:t>
      </w:r>
      <w:r w:rsidR="008B684A" w:rsidRPr="006070EA">
        <w:rPr>
          <w:rFonts w:asciiTheme="majorHAnsi" w:hAnsiTheme="majorHAnsi" w:cstheme="majorHAnsi"/>
          <w:color w:val="auto"/>
        </w:rPr>
        <w:t xml:space="preserve"> atp.) případně obecné zásady, podmínky a požadavky pro uplatňování ÚP.</w:t>
      </w:r>
    </w:p>
    <w:p w14:paraId="30CE27F9" w14:textId="1F339574" w:rsidR="00706D4E" w:rsidRPr="006070EA" w:rsidRDefault="00706D4E" w:rsidP="00706D4E">
      <w:pPr>
        <w:keepNext/>
        <w:spacing w:before="120" w:after="120" w:line="240" w:lineRule="auto"/>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Střety v</w:t>
      </w:r>
      <w:r w:rsidR="008B684A" w:rsidRPr="006070EA">
        <w:rPr>
          <w:rFonts w:asciiTheme="majorHAnsi" w:hAnsiTheme="majorHAnsi" w:cstheme="majorHAnsi"/>
          <w:b/>
          <w:i/>
          <w:sz w:val="20"/>
          <w:szCs w:val="20"/>
          <w:lang w:eastAsia="ar-SA"/>
        </w:rPr>
        <w:t> </w:t>
      </w:r>
      <w:r w:rsidRPr="006070EA">
        <w:rPr>
          <w:rFonts w:asciiTheme="majorHAnsi" w:hAnsiTheme="majorHAnsi" w:cstheme="majorHAnsi"/>
          <w:b/>
          <w:i/>
          <w:sz w:val="20"/>
          <w:szCs w:val="20"/>
          <w:lang w:eastAsia="ar-SA"/>
        </w:rPr>
        <w:t>území</w:t>
      </w: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5500"/>
        <w:gridCol w:w="3230"/>
      </w:tblGrid>
      <w:tr w:rsidR="008B684A" w:rsidRPr="006070EA" w14:paraId="0A8EF8AF" w14:textId="77777777" w:rsidTr="00752A9E">
        <w:trPr>
          <w:trHeight w:val="110"/>
          <w:jc w:val="center"/>
        </w:trPr>
        <w:tc>
          <w:tcPr>
            <w:tcW w:w="5500" w:type="dxa"/>
          </w:tcPr>
          <w:p w14:paraId="0A77D096" w14:textId="77777777" w:rsidR="008B684A" w:rsidRPr="006070EA" w:rsidRDefault="008B684A"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střet záměru s limitem využití území k řešení v ÚP </w:t>
            </w:r>
          </w:p>
        </w:tc>
        <w:tc>
          <w:tcPr>
            <w:tcW w:w="3230" w:type="dxa"/>
          </w:tcPr>
          <w:p w14:paraId="3189B26E" w14:textId="77777777" w:rsidR="008B684A" w:rsidRPr="006070EA" w:rsidRDefault="008B684A" w:rsidP="00765F24">
            <w:pPr>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lokalizace </w:t>
            </w:r>
          </w:p>
        </w:tc>
      </w:tr>
      <w:tr w:rsidR="008B684A" w:rsidRPr="006070EA" w14:paraId="7B759F57" w14:textId="77777777" w:rsidTr="00752A9E">
        <w:trPr>
          <w:trHeight w:val="110"/>
          <w:jc w:val="center"/>
        </w:trPr>
        <w:tc>
          <w:tcPr>
            <w:tcW w:w="5500" w:type="dxa"/>
          </w:tcPr>
          <w:p w14:paraId="29E7196F" w14:textId="77777777" w:rsidR="008B684A" w:rsidRPr="006070EA" w:rsidRDefault="008B684A"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střet vymezení zastavitelné plochy v záplavovém území </w:t>
            </w:r>
          </w:p>
        </w:tc>
        <w:tc>
          <w:tcPr>
            <w:tcW w:w="3230" w:type="dxa"/>
          </w:tcPr>
          <w:p w14:paraId="21C77238" w14:textId="77777777" w:rsidR="008B684A" w:rsidRPr="006070EA" w:rsidRDefault="008B684A"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r w:rsidR="008B684A" w:rsidRPr="006070EA" w14:paraId="786E4497" w14:textId="77777777" w:rsidTr="00752A9E">
        <w:trPr>
          <w:trHeight w:val="265"/>
          <w:jc w:val="center"/>
        </w:trPr>
        <w:tc>
          <w:tcPr>
            <w:tcW w:w="5500" w:type="dxa"/>
          </w:tcPr>
          <w:p w14:paraId="6A6EB401" w14:textId="77777777" w:rsidR="008B684A" w:rsidRPr="006070EA" w:rsidRDefault="008B684A"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střet záměru územní zastavovací studie s půdami I. a II. třídy ochrany ZPF </w:t>
            </w:r>
          </w:p>
        </w:tc>
        <w:tc>
          <w:tcPr>
            <w:tcW w:w="3230" w:type="dxa"/>
          </w:tcPr>
          <w:p w14:paraId="33FC7DAE" w14:textId="77777777" w:rsidR="008B684A" w:rsidRPr="006070EA" w:rsidRDefault="008B684A"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r w:rsidR="008B684A" w:rsidRPr="006070EA" w14:paraId="6BD3F27A" w14:textId="77777777" w:rsidTr="00752A9E">
        <w:trPr>
          <w:trHeight w:val="110"/>
          <w:jc w:val="center"/>
        </w:trPr>
        <w:tc>
          <w:tcPr>
            <w:tcW w:w="5500" w:type="dxa"/>
          </w:tcPr>
          <w:p w14:paraId="394A4087" w14:textId="77777777" w:rsidR="008B684A" w:rsidRPr="006070EA" w:rsidRDefault="008B684A"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lastRenderedPageBreak/>
              <w:t xml:space="preserve">střet záměru s jiným záměrem k řešení v ÚP </w:t>
            </w:r>
          </w:p>
        </w:tc>
        <w:tc>
          <w:tcPr>
            <w:tcW w:w="3230" w:type="dxa"/>
          </w:tcPr>
          <w:p w14:paraId="709A55A1" w14:textId="77777777" w:rsidR="008B684A" w:rsidRPr="006070EA" w:rsidRDefault="008B684A"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lokalizace </w:t>
            </w:r>
          </w:p>
        </w:tc>
      </w:tr>
      <w:tr w:rsidR="008B684A" w:rsidRPr="006070EA" w14:paraId="2605D2C5" w14:textId="77777777" w:rsidTr="00752A9E">
        <w:trPr>
          <w:trHeight w:val="110"/>
          <w:jc w:val="center"/>
        </w:trPr>
        <w:tc>
          <w:tcPr>
            <w:tcW w:w="5500" w:type="dxa"/>
          </w:tcPr>
          <w:p w14:paraId="3D0A2F3A" w14:textId="77777777" w:rsidR="008B684A" w:rsidRPr="006070EA" w:rsidRDefault="008B684A"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střet zastavitelné plochy s lokálním skladebním prvkem ÚSES </w:t>
            </w:r>
          </w:p>
        </w:tc>
        <w:tc>
          <w:tcPr>
            <w:tcW w:w="3230" w:type="dxa"/>
          </w:tcPr>
          <w:p w14:paraId="4AC2961E" w14:textId="77777777" w:rsidR="008B684A" w:rsidRPr="006070EA" w:rsidRDefault="008B684A" w:rsidP="00765F24">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bl>
    <w:p w14:paraId="2B063890" w14:textId="6863B383" w:rsidR="008B684A" w:rsidRPr="006070EA" w:rsidRDefault="008B684A" w:rsidP="008B684A">
      <w:pPr>
        <w:pStyle w:val="Mra-Vyjden"/>
        <w:rPr>
          <w:rFonts w:asciiTheme="majorHAnsi" w:hAnsiTheme="majorHAnsi" w:cstheme="majorHAnsi"/>
          <w:color w:val="auto"/>
        </w:rPr>
      </w:pPr>
      <w:r w:rsidRPr="006070EA">
        <w:rPr>
          <w:rFonts w:asciiTheme="majorHAnsi" w:hAnsiTheme="majorHAnsi" w:cstheme="majorHAnsi"/>
          <w:color w:val="auto"/>
        </w:rPr>
        <w:t xml:space="preserve">Všechny výše uvedené střety byly řešeny v rámci ÚP Kostomlaty nad Labem. Nové zastavitelné plochy jsou vymezeny </w:t>
      </w:r>
      <w:r w:rsidR="00A13D9A" w:rsidRPr="006070EA">
        <w:rPr>
          <w:rFonts w:asciiTheme="majorHAnsi" w:hAnsiTheme="majorHAnsi" w:cstheme="majorHAnsi"/>
          <w:color w:val="auto"/>
        </w:rPr>
        <w:t>výhradně</w:t>
      </w:r>
      <w:r w:rsidRPr="006070EA">
        <w:rPr>
          <w:rFonts w:asciiTheme="majorHAnsi" w:hAnsiTheme="majorHAnsi" w:cstheme="majorHAnsi"/>
          <w:color w:val="auto"/>
        </w:rPr>
        <w:t xml:space="preserve"> mimo kontakt se stanoveným záplavovým územím a jeho aktivní zónou. </w:t>
      </w:r>
      <w:r w:rsidR="00F90B15" w:rsidRPr="006070EA">
        <w:rPr>
          <w:rFonts w:asciiTheme="majorHAnsi" w:hAnsiTheme="majorHAnsi" w:cstheme="majorHAnsi"/>
          <w:color w:val="auto"/>
        </w:rPr>
        <w:t xml:space="preserve">Vzhledem k dominantnímu zastoupení </w:t>
      </w:r>
      <w:r w:rsidRPr="006070EA">
        <w:rPr>
          <w:rFonts w:asciiTheme="majorHAnsi" w:hAnsiTheme="majorHAnsi" w:cstheme="majorHAnsi"/>
          <w:color w:val="auto"/>
        </w:rPr>
        <w:t>pozemky ZPF, zařazen</w:t>
      </w:r>
      <w:r w:rsidR="00F90B15" w:rsidRPr="006070EA">
        <w:rPr>
          <w:rFonts w:asciiTheme="majorHAnsi" w:hAnsiTheme="majorHAnsi" w:cstheme="majorHAnsi"/>
          <w:color w:val="auto"/>
        </w:rPr>
        <w:t>ých</w:t>
      </w:r>
      <w:r w:rsidRPr="006070EA">
        <w:rPr>
          <w:rFonts w:asciiTheme="majorHAnsi" w:hAnsiTheme="majorHAnsi" w:cstheme="majorHAnsi"/>
          <w:color w:val="auto"/>
        </w:rPr>
        <w:t xml:space="preserve"> do I. a II. třídy ochrany ZPF</w:t>
      </w:r>
      <w:r w:rsidR="00F90B15" w:rsidRPr="006070EA">
        <w:rPr>
          <w:rFonts w:asciiTheme="majorHAnsi" w:hAnsiTheme="majorHAnsi" w:cstheme="majorHAnsi"/>
          <w:color w:val="auto"/>
        </w:rPr>
        <w:t>, v přímé vazbě na zastavěné území sídel nebylo možné vymezit zastavitelné plochy bez dotčení zvláště chráněné zemědělské půdy</w:t>
      </w:r>
      <w:r w:rsidRPr="006070EA">
        <w:rPr>
          <w:rFonts w:asciiTheme="majorHAnsi" w:hAnsiTheme="majorHAnsi" w:cstheme="majorHAnsi"/>
          <w:color w:val="auto"/>
        </w:rPr>
        <w:t xml:space="preserve">, podrobněji viz kapitola 12.1 tohoto Odůvodnění. </w:t>
      </w:r>
      <w:r w:rsidR="00752A9E" w:rsidRPr="006070EA">
        <w:rPr>
          <w:rFonts w:asciiTheme="majorHAnsi" w:hAnsiTheme="majorHAnsi" w:cstheme="majorHAnsi"/>
          <w:color w:val="auto"/>
        </w:rPr>
        <w:t>Zastavitelné plochy jsou vymezeny výhradně mimo vymezené skladebné části ÚSES.</w:t>
      </w:r>
    </w:p>
    <w:p w14:paraId="02624D5D" w14:textId="0C77B9C7" w:rsidR="00706D4E" w:rsidRPr="006070EA" w:rsidRDefault="00706D4E" w:rsidP="00B64E3A">
      <w:pPr>
        <w:keepNext/>
        <w:spacing w:before="120" w:after="120" w:line="240" w:lineRule="auto"/>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Rizika a ohrožení</w:t>
      </w: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5771"/>
        <w:gridCol w:w="2367"/>
      </w:tblGrid>
      <w:tr w:rsidR="00706D4E" w:rsidRPr="006070EA" w14:paraId="10611A29" w14:textId="77777777" w:rsidTr="00752A9E">
        <w:trPr>
          <w:trHeight w:val="110"/>
          <w:jc w:val="center"/>
        </w:trPr>
        <w:tc>
          <w:tcPr>
            <w:tcW w:w="5771" w:type="dxa"/>
          </w:tcPr>
          <w:p w14:paraId="615FE731" w14:textId="77777777" w:rsidR="00706D4E" w:rsidRPr="006070EA" w:rsidRDefault="00706D4E" w:rsidP="00B64E3A">
            <w:pPr>
              <w:keepNext/>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rizika a ohrožení k řešení v ÚP </w:t>
            </w:r>
          </w:p>
        </w:tc>
        <w:tc>
          <w:tcPr>
            <w:tcW w:w="2367" w:type="dxa"/>
          </w:tcPr>
          <w:p w14:paraId="37353C8F" w14:textId="77777777" w:rsidR="00706D4E" w:rsidRPr="006070EA" w:rsidRDefault="00706D4E" w:rsidP="00B64E3A">
            <w:pPr>
              <w:keepNext/>
              <w:autoSpaceDE w:val="0"/>
              <w:autoSpaceDN w:val="0"/>
              <w:adjustRightInd w:val="0"/>
              <w:spacing w:after="0" w:line="240" w:lineRule="auto"/>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 xml:space="preserve">lokalizace </w:t>
            </w:r>
          </w:p>
        </w:tc>
      </w:tr>
      <w:tr w:rsidR="00706D4E" w:rsidRPr="006070EA" w14:paraId="5F5D0FEE" w14:textId="77777777" w:rsidTr="00752A9E">
        <w:trPr>
          <w:trHeight w:val="265"/>
          <w:jc w:val="center"/>
        </w:trPr>
        <w:tc>
          <w:tcPr>
            <w:tcW w:w="5771" w:type="dxa"/>
          </w:tcPr>
          <w:p w14:paraId="7835530F"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zastavěné území a objekty k bydlení dotčené záplavovým územím a aktivní zónou (Labe, Vlkava) </w:t>
            </w:r>
          </w:p>
        </w:tc>
        <w:tc>
          <w:tcPr>
            <w:tcW w:w="2367" w:type="dxa"/>
          </w:tcPr>
          <w:p w14:paraId="30C0612F"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Kostomlaty nad Labem </w:t>
            </w:r>
          </w:p>
        </w:tc>
      </w:tr>
    </w:tbl>
    <w:p w14:paraId="4D49E82E" w14:textId="00EDADF9" w:rsidR="00706D4E" w:rsidRPr="006070EA" w:rsidRDefault="00752A9E" w:rsidP="00752A9E">
      <w:pPr>
        <w:pStyle w:val="Mra-Vyjden"/>
        <w:rPr>
          <w:rFonts w:asciiTheme="majorHAnsi" w:hAnsiTheme="majorHAnsi" w:cstheme="majorHAnsi"/>
          <w:color w:val="auto"/>
        </w:rPr>
      </w:pPr>
      <w:r w:rsidRPr="006070EA">
        <w:rPr>
          <w:rFonts w:asciiTheme="majorHAnsi" w:hAnsiTheme="majorHAnsi" w:cstheme="majorHAnsi"/>
          <w:color w:val="auto"/>
        </w:rPr>
        <w:t>Územní plán vytváří podmínky pro eliminaci ohrožení zastavěného území záplavami, a to zejména v rámci stanovených podmínek pro využití jednotlivých ploch s rozdílným způsobem využití, vymezených v rozsahu záplavového území Q</w:t>
      </w:r>
      <w:r w:rsidRPr="006070EA">
        <w:rPr>
          <w:rFonts w:asciiTheme="majorHAnsi" w:hAnsiTheme="majorHAnsi" w:cstheme="majorHAnsi"/>
          <w:color w:val="auto"/>
          <w:vertAlign w:val="subscript"/>
        </w:rPr>
        <w:t>100</w:t>
      </w:r>
      <w:r w:rsidRPr="006070EA">
        <w:rPr>
          <w:rFonts w:asciiTheme="majorHAnsi" w:hAnsiTheme="majorHAnsi" w:cstheme="majorHAnsi"/>
          <w:color w:val="auto"/>
        </w:rPr>
        <w:t xml:space="preserve"> a jeho aktivní zóny, přičemž jako podmíněně přípustné využití těchto ploch jsou umožněny „stavby a opatření nestavební povahy ke snižování ohrožení území živelnými nebo jinými pohromami za podmínky, že nebude narušeno a omezeno hlavní využití (zejm. protipovodňová ochrana území).“</w:t>
      </w:r>
    </w:p>
    <w:p w14:paraId="004E6DF4" w14:textId="784E95CF" w:rsidR="00706D4E" w:rsidRPr="006070EA" w:rsidRDefault="00706D4E" w:rsidP="00706D4E">
      <w:pPr>
        <w:keepNext/>
        <w:spacing w:before="120" w:after="120" w:line="240" w:lineRule="auto"/>
        <w:rPr>
          <w:rFonts w:asciiTheme="majorHAnsi" w:hAnsiTheme="majorHAnsi" w:cstheme="majorHAnsi"/>
          <w:b/>
          <w:i/>
          <w:sz w:val="20"/>
          <w:szCs w:val="20"/>
          <w:lang w:eastAsia="ar-SA"/>
        </w:rPr>
      </w:pPr>
      <w:r w:rsidRPr="006070EA">
        <w:rPr>
          <w:rFonts w:asciiTheme="majorHAnsi" w:hAnsiTheme="majorHAnsi" w:cstheme="majorHAnsi"/>
          <w:b/>
          <w:i/>
          <w:sz w:val="20"/>
          <w:szCs w:val="20"/>
          <w:lang w:eastAsia="ar-SA"/>
        </w:rPr>
        <w:t>Záměry k prověření v územním plánu</w:t>
      </w:r>
    </w:p>
    <w:tbl>
      <w:tblPr>
        <w:tblW w:w="0" w:type="auto"/>
        <w:jc w:val="center"/>
        <w:tblBorders>
          <w:insideH w:val="single" w:sz="4" w:space="0" w:color="auto"/>
          <w:insideV w:val="single" w:sz="4" w:space="0" w:color="auto"/>
        </w:tblBorders>
        <w:tblLayout w:type="fixed"/>
        <w:tblLook w:val="0000" w:firstRow="0" w:lastRow="0" w:firstColumn="0" w:lastColumn="0" w:noHBand="0" w:noVBand="0"/>
      </w:tblPr>
      <w:tblGrid>
        <w:gridCol w:w="8233"/>
      </w:tblGrid>
      <w:tr w:rsidR="00706D4E" w:rsidRPr="006070EA" w14:paraId="3CB8764E" w14:textId="77777777" w:rsidTr="004F1641">
        <w:trPr>
          <w:trHeight w:val="110"/>
          <w:jc w:val="center"/>
        </w:trPr>
        <w:tc>
          <w:tcPr>
            <w:tcW w:w="8233" w:type="dxa"/>
          </w:tcPr>
          <w:p w14:paraId="7B851D0D"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Lávka pro pěší a cyklisty přes Labe mezi Kostomlaty nad Labem a Hradištkem </w:t>
            </w:r>
          </w:p>
        </w:tc>
      </w:tr>
      <w:tr w:rsidR="00706D4E" w:rsidRPr="006070EA" w14:paraId="7E5DCD27" w14:textId="77777777" w:rsidTr="004F1641">
        <w:trPr>
          <w:trHeight w:val="110"/>
          <w:jc w:val="center"/>
        </w:trPr>
        <w:tc>
          <w:tcPr>
            <w:tcW w:w="8233" w:type="dxa"/>
          </w:tcPr>
          <w:p w14:paraId="0B9F6E79"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Síť cyklostezek v návaznosti na koncepci cyklodopravy Středočeského kraje </w:t>
            </w:r>
          </w:p>
        </w:tc>
      </w:tr>
      <w:tr w:rsidR="00706D4E" w:rsidRPr="006070EA" w14:paraId="27CEBD97" w14:textId="77777777" w:rsidTr="004F1641">
        <w:trPr>
          <w:trHeight w:val="110"/>
          <w:jc w:val="center"/>
        </w:trPr>
        <w:tc>
          <w:tcPr>
            <w:tcW w:w="8233" w:type="dxa"/>
          </w:tcPr>
          <w:p w14:paraId="6F945005"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Regulační a zastavovací studie na rodinnou bytovou zástavbu </w:t>
            </w:r>
          </w:p>
        </w:tc>
      </w:tr>
      <w:tr w:rsidR="00706D4E" w:rsidRPr="006070EA" w14:paraId="1BDDB092" w14:textId="77777777" w:rsidTr="004F1641">
        <w:trPr>
          <w:trHeight w:val="110"/>
          <w:jc w:val="center"/>
        </w:trPr>
        <w:tc>
          <w:tcPr>
            <w:tcW w:w="8233" w:type="dxa"/>
          </w:tcPr>
          <w:p w14:paraId="414C0161"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Rekonstrukce lávky přes potok Vlkava v Kostomlatech </w:t>
            </w:r>
          </w:p>
        </w:tc>
      </w:tr>
      <w:tr w:rsidR="00706D4E" w:rsidRPr="006070EA" w14:paraId="75BB8135" w14:textId="77777777" w:rsidTr="004F1641">
        <w:trPr>
          <w:trHeight w:val="110"/>
          <w:jc w:val="center"/>
        </w:trPr>
        <w:tc>
          <w:tcPr>
            <w:tcW w:w="8233" w:type="dxa"/>
          </w:tcPr>
          <w:p w14:paraId="22CB8BB6"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Rekonstrukce areálu školního hřiště Kostomlaty nad Labem </w:t>
            </w:r>
          </w:p>
        </w:tc>
      </w:tr>
      <w:tr w:rsidR="00706D4E" w:rsidRPr="006070EA" w14:paraId="291805B8" w14:textId="77777777" w:rsidTr="004F1641">
        <w:trPr>
          <w:trHeight w:val="110"/>
          <w:jc w:val="center"/>
        </w:trPr>
        <w:tc>
          <w:tcPr>
            <w:tcW w:w="8233" w:type="dxa"/>
          </w:tcPr>
          <w:p w14:paraId="3558C205"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Splašková kanalizace Vápensko a Rozkoš </w:t>
            </w:r>
          </w:p>
        </w:tc>
      </w:tr>
      <w:tr w:rsidR="00706D4E" w:rsidRPr="006070EA" w14:paraId="4C9E3EF3" w14:textId="77777777" w:rsidTr="004F1641">
        <w:trPr>
          <w:trHeight w:val="110"/>
          <w:jc w:val="center"/>
        </w:trPr>
        <w:tc>
          <w:tcPr>
            <w:tcW w:w="8233" w:type="dxa"/>
          </w:tcPr>
          <w:p w14:paraId="18C159C9"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Vodovod pro veřejnou potřebu Lány, Hronětice </w:t>
            </w:r>
          </w:p>
        </w:tc>
      </w:tr>
      <w:tr w:rsidR="00706D4E" w:rsidRPr="006070EA" w14:paraId="0802CA5F" w14:textId="77777777" w:rsidTr="004F1641">
        <w:trPr>
          <w:trHeight w:val="110"/>
          <w:jc w:val="center"/>
        </w:trPr>
        <w:tc>
          <w:tcPr>
            <w:tcW w:w="8233" w:type="dxa"/>
          </w:tcPr>
          <w:p w14:paraId="6DE1BC54"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Plynofikace území obce </w:t>
            </w:r>
          </w:p>
        </w:tc>
      </w:tr>
      <w:tr w:rsidR="00706D4E" w:rsidRPr="006070EA" w14:paraId="0163B89F" w14:textId="77777777" w:rsidTr="004F1641">
        <w:trPr>
          <w:trHeight w:val="110"/>
          <w:jc w:val="center"/>
        </w:trPr>
        <w:tc>
          <w:tcPr>
            <w:tcW w:w="8233" w:type="dxa"/>
          </w:tcPr>
          <w:p w14:paraId="6E1A48B2"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Pěší propojení ulic 9. května a stávající trasy mezi nádražím a obecním úřadem </w:t>
            </w:r>
          </w:p>
        </w:tc>
      </w:tr>
      <w:tr w:rsidR="00706D4E" w:rsidRPr="006070EA" w14:paraId="63546424" w14:textId="77777777" w:rsidTr="004F1641">
        <w:trPr>
          <w:trHeight w:val="110"/>
          <w:jc w:val="center"/>
        </w:trPr>
        <w:tc>
          <w:tcPr>
            <w:tcW w:w="8233" w:type="dxa"/>
          </w:tcPr>
          <w:p w14:paraId="69AE6B39" w14:textId="77777777" w:rsidR="00706D4E" w:rsidRPr="006070EA" w:rsidRDefault="00706D4E" w:rsidP="00706D4E">
            <w:pPr>
              <w:autoSpaceDE w:val="0"/>
              <w:autoSpaceDN w:val="0"/>
              <w:adjustRightInd w:val="0"/>
              <w:spacing w:after="0" w:line="240" w:lineRule="auto"/>
              <w:rPr>
                <w:rFonts w:asciiTheme="majorHAnsi" w:hAnsiTheme="majorHAnsi" w:cstheme="majorHAnsi"/>
                <w:color w:val="000000"/>
                <w:sz w:val="18"/>
                <w:szCs w:val="18"/>
              </w:rPr>
            </w:pPr>
            <w:r w:rsidRPr="006070EA">
              <w:rPr>
                <w:rFonts w:asciiTheme="majorHAnsi" w:hAnsiTheme="majorHAnsi" w:cstheme="majorHAnsi"/>
                <w:color w:val="000000"/>
                <w:sz w:val="18"/>
                <w:szCs w:val="18"/>
              </w:rPr>
              <w:t xml:space="preserve">Řešení veřejných prostranství a dopravy v souvislosti s modernizací traťového úseku Nymburk Lysá nad Labem </w:t>
            </w:r>
          </w:p>
        </w:tc>
      </w:tr>
    </w:tbl>
    <w:p w14:paraId="07E9BDD6" w14:textId="66719C86" w:rsidR="00F62C4F" w:rsidRPr="006070EA" w:rsidRDefault="00F62C4F" w:rsidP="00752A9E">
      <w:pPr>
        <w:pStyle w:val="Mra-Vyjden"/>
        <w:rPr>
          <w:rFonts w:asciiTheme="majorHAnsi" w:hAnsiTheme="majorHAnsi" w:cstheme="majorHAnsi"/>
          <w:color w:val="auto"/>
        </w:rPr>
      </w:pPr>
      <w:r w:rsidRPr="006070EA">
        <w:rPr>
          <w:rFonts w:asciiTheme="majorHAnsi" w:hAnsiTheme="majorHAnsi" w:cstheme="majorHAnsi"/>
          <w:color w:val="auto"/>
        </w:rPr>
        <w:t xml:space="preserve">Územní plán </w:t>
      </w:r>
      <w:r w:rsidR="00752A9E" w:rsidRPr="006070EA">
        <w:rPr>
          <w:rFonts w:asciiTheme="majorHAnsi" w:hAnsiTheme="majorHAnsi" w:cstheme="majorHAnsi"/>
          <w:color w:val="auto"/>
        </w:rPr>
        <w:t>Kostomlaty nad Labem prověřil všechny výše uvedené záměry</w:t>
      </w:r>
      <w:r w:rsidR="003F2A98" w:rsidRPr="006070EA">
        <w:rPr>
          <w:rFonts w:asciiTheme="majorHAnsi" w:hAnsiTheme="majorHAnsi" w:cstheme="majorHAnsi"/>
          <w:color w:val="auto"/>
        </w:rPr>
        <w:t xml:space="preserve"> a vytváří podmínky pro jejich realizaci. Pro realizaci lávky pro pěší a cyklisty přes Labe je vymezen koridor nemotorové dopravy </w:t>
      </w:r>
      <w:r w:rsidR="004F5B3B" w:rsidRPr="006070EA">
        <w:rPr>
          <w:rFonts w:asciiTheme="majorHAnsi" w:hAnsiTheme="majorHAnsi" w:cstheme="majorHAnsi"/>
          <w:color w:val="auto"/>
        </w:rPr>
        <w:t>CNU.</w:t>
      </w:r>
      <w:r w:rsidR="003F2A98" w:rsidRPr="006070EA">
        <w:rPr>
          <w:rFonts w:asciiTheme="majorHAnsi" w:hAnsiTheme="majorHAnsi" w:cstheme="majorHAnsi"/>
          <w:color w:val="auto"/>
        </w:rPr>
        <w:t xml:space="preserve">KDN1 a dále navržená trasa cyklotrasy s vazbou na stávající vymezenou a stabilizovanou cyklotrasu. </w:t>
      </w:r>
    </w:p>
    <w:p w14:paraId="49FE3311" w14:textId="625D744C" w:rsidR="003F2A98" w:rsidRPr="006070EA" w:rsidRDefault="003F2A98" w:rsidP="004F1641">
      <w:pPr>
        <w:pStyle w:val="Mra-Vyjden"/>
        <w:spacing w:before="0"/>
        <w:rPr>
          <w:rFonts w:asciiTheme="majorHAnsi" w:hAnsiTheme="majorHAnsi" w:cstheme="majorHAnsi"/>
          <w:color w:val="auto"/>
        </w:rPr>
      </w:pPr>
      <w:r w:rsidRPr="006070EA">
        <w:rPr>
          <w:rFonts w:asciiTheme="majorHAnsi" w:hAnsiTheme="majorHAnsi" w:cstheme="majorHAnsi"/>
          <w:color w:val="auto"/>
        </w:rPr>
        <w:tab/>
        <w:t xml:space="preserve">Využití plošně rozsáhlých a komplikovaných zastavitelných ploch, vymezených v ÚP Kostomlaty nad Labem, je podmíněno zpracováním územní studie, čímž je naplněn další z požadavků. Rekonstrukce lávky přes potok Vlkava a rekonstrukce areálu školního hřiště jsou umožněny v rámci podmínek využití, stanovených pro dotčené plochy s rozdílným způsobem využití v předmětných lokalitách. Rozvoj kanalizačního a vodovodního systému je v ÚP Kostomlaty nad Labem zajištěn mimo stanovení obecných zásad v rámci koncepce rozvoje technické infrastruktury také konkrétním opatřením, kterým je vymezený koridor technické infrastruktury </w:t>
      </w:r>
      <w:r w:rsidR="004F5B3B" w:rsidRPr="006070EA">
        <w:rPr>
          <w:rFonts w:asciiTheme="majorHAnsi" w:hAnsiTheme="majorHAnsi" w:cstheme="majorHAnsi"/>
          <w:color w:val="auto"/>
        </w:rPr>
        <w:t>CNU.</w:t>
      </w:r>
      <w:r w:rsidRPr="006070EA">
        <w:rPr>
          <w:rFonts w:asciiTheme="majorHAnsi" w:hAnsiTheme="majorHAnsi" w:cstheme="majorHAnsi"/>
          <w:color w:val="auto"/>
        </w:rPr>
        <w:t>KTI1 pro vodovod a kanalizaci včetně souvisejících staveb a zařízení. Plynofikace obce je podpořena v rámci obecných požadavků pro ochranu a</w:t>
      </w:r>
      <w:r w:rsidR="004F5B3B" w:rsidRPr="006070EA">
        <w:rPr>
          <w:rFonts w:asciiTheme="majorHAnsi" w:hAnsiTheme="majorHAnsi" w:cstheme="majorHAnsi"/>
          <w:color w:val="auto"/>
        </w:rPr>
        <w:t> </w:t>
      </w:r>
      <w:r w:rsidRPr="006070EA">
        <w:rPr>
          <w:rFonts w:asciiTheme="majorHAnsi" w:hAnsiTheme="majorHAnsi" w:cstheme="majorHAnsi"/>
          <w:color w:val="auto"/>
        </w:rPr>
        <w:t>rozvoj systémů zásobování teplem a plynem v</w:t>
      </w:r>
      <w:r w:rsidR="004F5B3B" w:rsidRPr="006070EA">
        <w:rPr>
          <w:rFonts w:asciiTheme="majorHAnsi" w:hAnsiTheme="majorHAnsi" w:cstheme="majorHAnsi"/>
          <w:color w:val="auto"/>
        </w:rPr>
        <w:t> </w:t>
      </w:r>
      <w:r w:rsidRPr="006070EA">
        <w:rPr>
          <w:rFonts w:asciiTheme="majorHAnsi" w:hAnsiTheme="majorHAnsi" w:cstheme="majorHAnsi"/>
          <w:color w:val="auto"/>
        </w:rPr>
        <w:t>rámci</w:t>
      </w:r>
      <w:r w:rsidR="004F5B3B" w:rsidRPr="006070EA">
        <w:rPr>
          <w:rFonts w:asciiTheme="majorHAnsi" w:hAnsiTheme="majorHAnsi" w:cstheme="majorHAnsi"/>
          <w:color w:val="auto"/>
        </w:rPr>
        <w:t xml:space="preserve"> </w:t>
      </w:r>
      <w:r w:rsidRPr="006070EA">
        <w:rPr>
          <w:rFonts w:asciiTheme="majorHAnsi" w:hAnsiTheme="majorHAnsi" w:cstheme="majorHAnsi"/>
          <w:color w:val="auto"/>
        </w:rPr>
        <w:t xml:space="preserve">koncepce technické infrastruktury. </w:t>
      </w:r>
    </w:p>
    <w:p w14:paraId="79D62114" w14:textId="40B7364C" w:rsidR="00706D4E" w:rsidRPr="006070EA" w:rsidRDefault="004F1641" w:rsidP="004F1641">
      <w:pPr>
        <w:pStyle w:val="Mra-Vyjden"/>
        <w:spacing w:before="0"/>
        <w:rPr>
          <w:rFonts w:asciiTheme="majorHAnsi" w:hAnsiTheme="majorHAnsi" w:cstheme="majorHAnsi"/>
          <w:color w:val="auto"/>
        </w:rPr>
      </w:pPr>
      <w:r w:rsidRPr="006070EA">
        <w:rPr>
          <w:rFonts w:asciiTheme="majorHAnsi" w:hAnsiTheme="majorHAnsi" w:cstheme="majorHAnsi"/>
          <w:color w:val="auto"/>
        </w:rPr>
        <w:tab/>
        <w:t xml:space="preserve">Dopravní záměry jsou řešeny a konkrétně vyhodnoceny, a to jak v rámci dopravy silniční, </w:t>
      </w:r>
      <w:r w:rsidR="004F5B3B" w:rsidRPr="006070EA">
        <w:rPr>
          <w:rFonts w:asciiTheme="majorHAnsi" w:hAnsiTheme="majorHAnsi" w:cstheme="majorHAnsi"/>
          <w:color w:val="auto"/>
        </w:rPr>
        <w:t>drážní (</w:t>
      </w:r>
      <w:r w:rsidRPr="006070EA">
        <w:rPr>
          <w:rFonts w:asciiTheme="majorHAnsi" w:hAnsiTheme="majorHAnsi" w:cstheme="majorHAnsi"/>
          <w:color w:val="auto"/>
        </w:rPr>
        <w:t>železniční</w:t>
      </w:r>
      <w:r w:rsidR="004F5B3B" w:rsidRPr="006070EA">
        <w:rPr>
          <w:rFonts w:asciiTheme="majorHAnsi" w:hAnsiTheme="majorHAnsi" w:cstheme="majorHAnsi"/>
          <w:color w:val="auto"/>
        </w:rPr>
        <w:t>)</w:t>
      </w:r>
      <w:r w:rsidRPr="006070EA">
        <w:rPr>
          <w:rFonts w:asciiTheme="majorHAnsi" w:hAnsiTheme="majorHAnsi" w:cstheme="majorHAnsi"/>
          <w:color w:val="auto"/>
        </w:rPr>
        <w:t>, veřejné hromadné či pěší, tak i v případě dopravy vodní a dopravy v klidu. Pro rozvoj veřejných prostranství jsou vytvořeny podmínky a stanoveny obecné zásady a požadavky.</w:t>
      </w:r>
    </w:p>
    <w:p w14:paraId="04554B21" w14:textId="77777777" w:rsidR="0064030C" w:rsidRPr="006070EA" w:rsidRDefault="0064030C" w:rsidP="00B64E3A">
      <w:pPr>
        <w:pStyle w:val="Odstavecseseznamem"/>
        <w:keepNext/>
        <w:pageBreakBefore/>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134" w:name="_Toc204678178"/>
      <w:r w:rsidRPr="006070EA">
        <w:rPr>
          <w:rFonts w:asciiTheme="majorHAnsi" w:hAnsiTheme="majorHAnsi" w:cstheme="majorHAnsi"/>
          <w:b/>
          <w:sz w:val="24"/>
          <w:szCs w:val="28"/>
        </w:rPr>
        <w:lastRenderedPageBreak/>
        <w:t>VYHODNOCENÍ ÚČELNÉHO VYUŽITÍ ZASTAVĚNÉHO ÚZEMÍ A VYHODNOCENÍ POTŘEBY VYMEZENÍ ZASTAVITELNÝCH PLOCH</w:t>
      </w:r>
      <w:bookmarkEnd w:id="134"/>
    </w:p>
    <w:p w14:paraId="572FE789" w14:textId="77777777" w:rsidR="002D0BFB" w:rsidRPr="006070EA" w:rsidRDefault="002D0BFB" w:rsidP="00B93C7C">
      <w:pPr>
        <w:pStyle w:val="Mra2-reakceern"/>
        <w:keepNext/>
        <w:pBdr>
          <w:left w:val="none" w:sz="0" w:space="0" w:color="auto"/>
        </w:pBdr>
        <w:spacing w:after="120"/>
        <w:ind w:left="0" w:firstLine="709"/>
        <w:rPr>
          <w:rFonts w:asciiTheme="majorHAnsi" w:hAnsiTheme="majorHAnsi" w:cstheme="majorHAnsi"/>
          <w:i/>
          <w:color w:val="auto"/>
        </w:rPr>
      </w:pPr>
      <w:r w:rsidRPr="006070EA">
        <w:rPr>
          <w:rFonts w:asciiTheme="majorHAnsi" w:hAnsiTheme="majorHAnsi" w:cstheme="majorHAnsi"/>
          <w:i/>
          <w:color w:val="auto"/>
        </w:rPr>
        <w:t>Zákon č. 183/2006 Sb., § 53, odst. 5 f)</w:t>
      </w:r>
    </w:p>
    <w:p w14:paraId="63D25599" w14:textId="77777777" w:rsidR="002D0BFB" w:rsidRPr="006070EA" w:rsidRDefault="002D0BFB" w:rsidP="00B93C7C">
      <w:pPr>
        <w:pStyle w:val="Mra2-reakceern"/>
        <w:keepNext/>
        <w:pBdr>
          <w:left w:val="none" w:sz="0" w:space="0" w:color="auto"/>
        </w:pBdr>
        <w:spacing w:after="120"/>
        <w:ind w:left="0" w:firstLine="709"/>
        <w:rPr>
          <w:rFonts w:asciiTheme="majorHAnsi" w:hAnsiTheme="majorHAnsi" w:cstheme="majorHAnsi"/>
          <w:b/>
          <w:i/>
          <w:color w:val="auto"/>
        </w:rPr>
      </w:pPr>
      <w:r w:rsidRPr="006070EA">
        <w:rPr>
          <w:rFonts w:asciiTheme="majorHAnsi" w:hAnsiTheme="majorHAnsi" w:cstheme="majorHAnsi"/>
          <w:b/>
          <w:i/>
          <w:color w:val="auto"/>
        </w:rPr>
        <w:t>Zpracovává projektant.</w:t>
      </w:r>
    </w:p>
    <w:p w14:paraId="172ABED4" w14:textId="77777777" w:rsidR="002D0BFB" w:rsidRPr="006070EA" w:rsidRDefault="002D0BFB" w:rsidP="00B93C7C">
      <w:pPr>
        <w:pStyle w:val="Mra2-reakceern"/>
        <w:keepNext/>
        <w:pBdr>
          <w:left w:val="none" w:sz="0" w:space="0" w:color="auto"/>
        </w:pBdr>
        <w:spacing w:after="60"/>
        <w:ind w:left="0" w:firstLine="709"/>
        <w:rPr>
          <w:rFonts w:asciiTheme="majorHAnsi" w:hAnsiTheme="majorHAnsi" w:cstheme="majorHAnsi"/>
          <w:color w:val="auto"/>
        </w:rPr>
      </w:pPr>
      <w:r w:rsidRPr="006070EA">
        <w:rPr>
          <w:rFonts w:asciiTheme="majorHAnsi" w:hAnsiTheme="majorHAnsi" w:cstheme="majorHAnsi"/>
          <w:color w:val="auto"/>
        </w:rPr>
        <w:t xml:space="preserve">S ohledem na ochranu </w:t>
      </w:r>
      <w:r w:rsidR="002A7F82" w:rsidRPr="006070EA">
        <w:rPr>
          <w:rFonts w:asciiTheme="majorHAnsi" w:hAnsiTheme="majorHAnsi" w:cstheme="majorHAnsi"/>
          <w:color w:val="auto"/>
        </w:rPr>
        <w:t xml:space="preserve">přírody a krajiny, jakožto podstatné složky prostředí života obyvatel, </w:t>
      </w:r>
      <w:r w:rsidR="00C46C0E" w:rsidRPr="006070EA">
        <w:rPr>
          <w:rFonts w:asciiTheme="majorHAnsi" w:hAnsiTheme="majorHAnsi" w:cstheme="majorHAnsi"/>
          <w:color w:val="auto"/>
        </w:rPr>
        <w:t>zajišťuje</w:t>
      </w:r>
      <w:r w:rsidR="002A7F82" w:rsidRPr="006070EA">
        <w:rPr>
          <w:rFonts w:asciiTheme="majorHAnsi" w:hAnsiTheme="majorHAnsi" w:cstheme="majorHAnsi"/>
          <w:color w:val="auto"/>
        </w:rPr>
        <w:t xml:space="preserve"> územní plán účelné využívání zastavěného území a </w:t>
      </w:r>
      <w:r w:rsidR="00C46C0E" w:rsidRPr="006070EA">
        <w:rPr>
          <w:rFonts w:asciiTheme="majorHAnsi" w:hAnsiTheme="majorHAnsi" w:cstheme="majorHAnsi"/>
          <w:color w:val="auto"/>
        </w:rPr>
        <w:t xml:space="preserve">v souvislosti s předpokládaným vývojem počtu obyvatel a domů vytváří podmínky pro rozvoj sídel v zastavitelných plochách. </w:t>
      </w:r>
    </w:p>
    <w:p w14:paraId="5DE7823C" w14:textId="77777777" w:rsidR="00C46C0E" w:rsidRPr="006070EA" w:rsidRDefault="00C46C0E" w:rsidP="009E07E1">
      <w:pPr>
        <w:pStyle w:val="Mra2-reakceern"/>
        <w:pBdr>
          <w:left w:val="none" w:sz="0" w:space="0" w:color="auto"/>
        </w:pBdr>
        <w:spacing w:after="60"/>
        <w:ind w:left="0" w:firstLine="709"/>
        <w:rPr>
          <w:rFonts w:asciiTheme="majorHAnsi" w:hAnsiTheme="majorHAnsi" w:cstheme="majorHAnsi"/>
          <w:color w:val="auto"/>
        </w:rPr>
      </w:pPr>
      <w:r w:rsidRPr="006070EA">
        <w:rPr>
          <w:rFonts w:asciiTheme="majorHAnsi" w:hAnsiTheme="majorHAnsi" w:cstheme="majorHAnsi"/>
          <w:color w:val="auto"/>
        </w:rPr>
        <w:t>Součástí této kapitoly jsou tematická vyhodnocení dosavadního vývoje a rozvojových předpokladů území. Každé z dílčích vyhodnocení bylo mimo jiné využito také jako podklad pro komplexní řešení územního plánu, zejména ve vztahu k stanovení rozvoje území obce a usměrnění urbanistického vývoje, vymezení zastavitelných ploch.</w:t>
      </w:r>
    </w:p>
    <w:p w14:paraId="157C32FB" w14:textId="77777777" w:rsidR="00C46C0E" w:rsidRPr="006070EA" w:rsidRDefault="00C46C0E" w:rsidP="003A4B1E">
      <w:pPr>
        <w:pStyle w:val="Odstavecseseznamem"/>
        <w:keepNext/>
        <w:numPr>
          <w:ilvl w:val="1"/>
          <w:numId w:val="29"/>
        </w:numPr>
        <w:spacing w:before="160" w:after="120" w:line="240" w:lineRule="auto"/>
        <w:ind w:left="709" w:hanging="709"/>
        <w:contextualSpacing w:val="0"/>
        <w:outlineLvl w:val="1"/>
        <w:rPr>
          <w:rFonts w:asciiTheme="majorHAnsi" w:hAnsiTheme="majorHAnsi" w:cstheme="majorHAnsi"/>
          <w:b/>
          <w:sz w:val="24"/>
          <w:szCs w:val="20"/>
        </w:rPr>
      </w:pPr>
      <w:bookmarkStart w:id="135" w:name="_Toc485214892"/>
      <w:bookmarkStart w:id="136" w:name="_Toc485378045"/>
      <w:bookmarkStart w:id="137" w:name="_Toc485378168"/>
      <w:bookmarkStart w:id="138" w:name="_Toc485214893"/>
      <w:bookmarkStart w:id="139" w:name="_Toc485378046"/>
      <w:bookmarkStart w:id="140" w:name="_Toc485378169"/>
      <w:bookmarkStart w:id="141" w:name="_Toc485214894"/>
      <w:bookmarkStart w:id="142" w:name="_Toc485378047"/>
      <w:bookmarkStart w:id="143" w:name="_Toc485378170"/>
      <w:bookmarkStart w:id="144" w:name="_Toc485214895"/>
      <w:bookmarkStart w:id="145" w:name="_Toc485378048"/>
      <w:bookmarkStart w:id="146" w:name="_Toc485378171"/>
      <w:bookmarkStart w:id="147" w:name="_Toc485214896"/>
      <w:bookmarkStart w:id="148" w:name="_Toc485378049"/>
      <w:bookmarkStart w:id="149" w:name="_Toc485378172"/>
      <w:bookmarkStart w:id="150" w:name="_Toc485214897"/>
      <w:bookmarkStart w:id="151" w:name="_Toc485378050"/>
      <w:bookmarkStart w:id="152" w:name="_Toc485378173"/>
      <w:bookmarkStart w:id="153" w:name="_Toc485214898"/>
      <w:bookmarkStart w:id="154" w:name="_Toc485378051"/>
      <w:bookmarkStart w:id="155" w:name="_Toc485378174"/>
      <w:bookmarkStart w:id="156" w:name="_Toc485214899"/>
      <w:bookmarkStart w:id="157" w:name="_Toc485378052"/>
      <w:bookmarkStart w:id="158" w:name="_Toc485378175"/>
      <w:bookmarkStart w:id="159" w:name="_Toc204678179"/>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r w:rsidRPr="006070EA">
        <w:rPr>
          <w:rFonts w:asciiTheme="majorHAnsi" w:hAnsiTheme="majorHAnsi" w:cstheme="majorHAnsi"/>
          <w:b/>
          <w:sz w:val="24"/>
          <w:szCs w:val="20"/>
        </w:rPr>
        <w:t>Vyhodnocení účelného využití zastavěného území</w:t>
      </w:r>
      <w:bookmarkEnd w:id="159"/>
    </w:p>
    <w:p w14:paraId="58BC9256" w14:textId="47A7A40C" w:rsidR="006A734D" w:rsidRPr="006070EA" w:rsidRDefault="00B651C8" w:rsidP="00D814A9">
      <w:pPr>
        <w:pStyle w:val="Mra2-reakceern"/>
        <w:pBdr>
          <w:left w:val="none" w:sz="0" w:space="0" w:color="auto"/>
        </w:pBdr>
        <w:spacing w:after="60"/>
        <w:ind w:left="0" w:firstLine="709"/>
        <w:rPr>
          <w:rFonts w:asciiTheme="majorHAnsi" w:hAnsiTheme="majorHAnsi" w:cstheme="majorHAnsi"/>
          <w:color w:val="auto"/>
        </w:rPr>
      </w:pPr>
      <w:r w:rsidRPr="00A76411">
        <w:rPr>
          <w:rFonts w:asciiTheme="majorHAnsi" w:hAnsiTheme="majorHAnsi" w:cstheme="majorHAnsi"/>
          <w:color w:val="auto"/>
        </w:rPr>
        <w:t xml:space="preserve">Zastavěné území bylo vymezeno k datu </w:t>
      </w:r>
      <w:r w:rsidR="00C2266C" w:rsidRPr="00A76411">
        <w:rPr>
          <w:rFonts w:asciiTheme="majorHAnsi" w:hAnsiTheme="majorHAnsi" w:cstheme="majorHAnsi"/>
          <w:color w:val="auto"/>
        </w:rPr>
        <w:t>5. 8. 2024</w:t>
      </w:r>
      <w:r w:rsidRPr="00A76411">
        <w:rPr>
          <w:rFonts w:asciiTheme="majorHAnsi" w:hAnsiTheme="majorHAnsi" w:cstheme="majorHAnsi"/>
          <w:color w:val="auto"/>
        </w:rPr>
        <w:t xml:space="preserve"> </w:t>
      </w:r>
      <w:r w:rsidR="006A734D" w:rsidRPr="00A76411">
        <w:rPr>
          <w:rFonts w:asciiTheme="majorHAnsi" w:hAnsiTheme="majorHAnsi" w:cstheme="majorHAnsi"/>
          <w:color w:val="auto"/>
        </w:rPr>
        <w:t xml:space="preserve">dle aktuálního stavu území a v souladu s ustanovením </w:t>
      </w:r>
      <w:r w:rsidRPr="00A76411">
        <w:rPr>
          <w:rFonts w:asciiTheme="majorHAnsi" w:hAnsiTheme="majorHAnsi" w:cstheme="majorHAnsi"/>
          <w:color w:val="auto"/>
        </w:rPr>
        <w:t xml:space="preserve">§ 58 </w:t>
      </w:r>
      <w:r w:rsidR="006A734D" w:rsidRPr="00A76411">
        <w:rPr>
          <w:rFonts w:asciiTheme="majorHAnsi" w:hAnsiTheme="majorHAnsi" w:cstheme="majorHAnsi"/>
          <w:color w:val="auto"/>
        </w:rPr>
        <w:t>z</w:t>
      </w:r>
      <w:r w:rsidRPr="00A76411">
        <w:rPr>
          <w:rFonts w:asciiTheme="majorHAnsi" w:hAnsiTheme="majorHAnsi" w:cstheme="majorHAnsi"/>
          <w:color w:val="auto"/>
        </w:rPr>
        <w:t>ákona č. 183/2006 Sb.</w:t>
      </w:r>
      <w:r w:rsidR="006A734D" w:rsidRPr="00A76411">
        <w:rPr>
          <w:rFonts w:asciiTheme="majorHAnsi" w:hAnsiTheme="majorHAnsi" w:cstheme="majorHAnsi"/>
          <w:color w:val="auto"/>
        </w:rPr>
        <w:t xml:space="preserve">, ve znění pozdějších předpisů (stavební zákon), podrobněji viz kapitola </w:t>
      </w:r>
      <w:r w:rsidR="00D814A9" w:rsidRPr="00A76411">
        <w:rPr>
          <w:rFonts w:asciiTheme="majorHAnsi" w:hAnsiTheme="majorHAnsi" w:cstheme="majorHAnsi"/>
          <w:i/>
          <w:color w:val="auto"/>
        </w:rPr>
        <w:t>11</w:t>
      </w:r>
      <w:r w:rsidR="006A734D" w:rsidRPr="00A76411">
        <w:rPr>
          <w:rFonts w:asciiTheme="majorHAnsi" w:hAnsiTheme="majorHAnsi" w:cstheme="majorHAnsi"/>
          <w:i/>
          <w:color w:val="auto"/>
        </w:rPr>
        <w:t>.</w:t>
      </w:r>
      <w:r w:rsidR="00D814A9" w:rsidRPr="00A76411">
        <w:rPr>
          <w:rFonts w:asciiTheme="majorHAnsi" w:hAnsiTheme="majorHAnsi" w:cstheme="majorHAnsi"/>
          <w:i/>
          <w:color w:val="auto"/>
        </w:rPr>
        <w:t>1</w:t>
      </w:r>
      <w:r w:rsidR="006A734D" w:rsidRPr="00A76411">
        <w:rPr>
          <w:rFonts w:asciiTheme="majorHAnsi" w:hAnsiTheme="majorHAnsi" w:cstheme="majorHAnsi"/>
          <w:i/>
          <w:color w:val="auto"/>
        </w:rPr>
        <w:t xml:space="preserve"> Odůvodnění vymezení zastavěného území</w:t>
      </w:r>
      <w:r w:rsidR="006A734D" w:rsidRPr="00A76411">
        <w:rPr>
          <w:rFonts w:asciiTheme="majorHAnsi" w:hAnsiTheme="majorHAnsi" w:cstheme="majorHAnsi"/>
          <w:color w:val="auto"/>
        </w:rPr>
        <w:t>.</w:t>
      </w:r>
      <w:r w:rsidRPr="006070EA">
        <w:rPr>
          <w:rFonts w:asciiTheme="majorHAnsi" w:hAnsiTheme="majorHAnsi" w:cstheme="majorHAnsi"/>
          <w:color w:val="auto"/>
        </w:rPr>
        <w:t xml:space="preserve"> </w:t>
      </w:r>
    </w:p>
    <w:p w14:paraId="5546CE33" w14:textId="4B052D3D" w:rsidR="009B6C1E" w:rsidRPr="006070EA" w:rsidRDefault="00462230" w:rsidP="00D814A9">
      <w:pPr>
        <w:pStyle w:val="Mra2-reakceern"/>
        <w:pBdr>
          <w:left w:val="none" w:sz="0" w:space="0" w:color="auto"/>
        </w:pBdr>
        <w:spacing w:before="60" w:after="120"/>
        <w:ind w:left="0" w:firstLine="709"/>
        <w:rPr>
          <w:rFonts w:asciiTheme="majorHAnsi" w:hAnsiTheme="majorHAnsi" w:cstheme="majorHAnsi"/>
          <w:color w:val="auto"/>
        </w:rPr>
      </w:pPr>
      <w:r w:rsidRPr="006070EA">
        <w:rPr>
          <w:rFonts w:asciiTheme="majorHAnsi" w:hAnsiTheme="majorHAnsi" w:cstheme="majorHAnsi"/>
          <w:color w:val="auto"/>
        </w:rPr>
        <w:t>Níže uvedené obráz</w:t>
      </w:r>
      <w:r w:rsidR="00515649" w:rsidRPr="006070EA">
        <w:rPr>
          <w:rFonts w:asciiTheme="majorHAnsi" w:hAnsiTheme="majorHAnsi" w:cstheme="majorHAnsi"/>
          <w:color w:val="auto"/>
        </w:rPr>
        <w:t>k</w:t>
      </w:r>
      <w:r w:rsidRPr="006070EA">
        <w:rPr>
          <w:rFonts w:asciiTheme="majorHAnsi" w:hAnsiTheme="majorHAnsi" w:cstheme="majorHAnsi"/>
          <w:color w:val="auto"/>
        </w:rPr>
        <w:t>y</w:t>
      </w:r>
      <w:r w:rsidR="00515649" w:rsidRPr="006070EA">
        <w:rPr>
          <w:rFonts w:asciiTheme="majorHAnsi" w:hAnsiTheme="majorHAnsi" w:cstheme="majorHAnsi"/>
          <w:color w:val="auto"/>
        </w:rPr>
        <w:t xml:space="preserve"> zobrazuj</w:t>
      </w:r>
      <w:r w:rsidRPr="006070EA">
        <w:rPr>
          <w:rFonts w:asciiTheme="majorHAnsi" w:hAnsiTheme="majorHAnsi" w:cstheme="majorHAnsi"/>
          <w:color w:val="auto"/>
        </w:rPr>
        <w:t>í</w:t>
      </w:r>
      <w:r w:rsidR="00515649" w:rsidRPr="006070EA">
        <w:rPr>
          <w:rFonts w:asciiTheme="majorHAnsi" w:hAnsiTheme="majorHAnsi" w:cstheme="majorHAnsi"/>
          <w:color w:val="auto"/>
        </w:rPr>
        <w:t xml:space="preserve"> na podkladu katastrální mapy</w:t>
      </w:r>
      <w:r w:rsidR="002D61BA" w:rsidRPr="006070EA">
        <w:rPr>
          <w:rFonts w:asciiTheme="majorHAnsi" w:hAnsiTheme="majorHAnsi" w:cstheme="majorHAnsi"/>
          <w:color w:val="auto"/>
        </w:rPr>
        <w:t xml:space="preserve"> a ortofotosnímku řešeného území</w:t>
      </w:r>
      <w:r w:rsidR="00515649" w:rsidRPr="006070EA">
        <w:rPr>
          <w:rFonts w:asciiTheme="majorHAnsi" w:hAnsiTheme="majorHAnsi" w:cstheme="majorHAnsi"/>
          <w:color w:val="auto"/>
        </w:rPr>
        <w:t xml:space="preserve"> zastavěné plochy a</w:t>
      </w:r>
      <w:r w:rsidR="002D61BA" w:rsidRPr="006070EA">
        <w:rPr>
          <w:rFonts w:asciiTheme="majorHAnsi" w:hAnsiTheme="majorHAnsi" w:cstheme="majorHAnsi"/>
          <w:color w:val="auto"/>
        </w:rPr>
        <w:t> </w:t>
      </w:r>
      <w:r w:rsidR="00515649" w:rsidRPr="006070EA">
        <w:rPr>
          <w:rFonts w:asciiTheme="majorHAnsi" w:hAnsiTheme="majorHAnsi" w:cstheme="majorHAnsi"/>
          <w:color w:val="auto"/>
        </w:rPr>
        <w:t>nádvoří</w:t>
      </w:r>
      <w:r w:rsidR="002D61BA" w:rsidRPr="006070EA">
        <w:rPr>
          <w:rFonts w:asciiTheme="majorHAnsi" w:hAnsiTheme="majorHAnsi" w:cstheme="majorHAnsi"/>
          <w:color w:val="auto"/>
        </w:rPr>
        <w:t xml:space="preserve"> (černě)</w:t>
      </w:r>
      <w:r w:rsidR="00515649" w:rsidRPr="006070EA">
        <w:rPr>
          <w:rFonts w:asciiTheme="majorHAnsi" w:hAnsiTheme="majorHAnsi" w:cstheme="majorHAnsi"/>
          <w:color w:val="auto"/>
        </w:rPr>
        <w:t xml:space="preserve"> ve vymezeném zastavěném území</w:t>
      </w:r>
      <w:r w:rsidR="002D61BA" w:rsidRPr="006070EA">
        <w:rPr>
          <w:rFonts w:asciiTheme="majorHAnsi" w:hAnsiTheme="majorHAnsi" w:cstheme="majorHAnsi"/>
          <w:color w:val="auto"/>
        </w:rPr>
        <w:t xml:space="preserve"> (světle modrá plocha)</w:t>
      </w:r>
      <w:r w:rsidR="00515649" w:rsidRPr="006070EA">
        <w:rPr>
          <w:rFonts w:asciiTheme="majorHAnsi" w:hAnsiTheme="majorHAnsi" w:cstheme="majorHAnsi"/>
          <w:color w:val="auto"/>
        </w:rPr>
        <w:t>, čímž poukazuj</w:t>
      </w:r>
      <w:r w:rsidRPr="006070EA">
        <w:rPr>
          <w:rFonts w:asciiTheme="majorHAnsi" w:hAnsiTheme="majorHAnsi" w:cstheme="majorHAnsi"/>
          <w:color w:val="auto"/>
        </w:rPr>
        <w:t>í</w:t>
      </w:r>
      <w:r w:rsidR="00515649" w:rsidRPr="006070EA">
        <w:rPr>
          <w:rFonts w:asciiTheme="majorHAnsi" w:hAnsiTheme="majorHAnsi" w:cstheme="majorHAnsi"/>
          <w:color w:val="auto"/>
        </w:rPr>
        <w:t xml:space="preserve"> na intenzitu využití souvislého sídla.</w:t>
      </w:r>
      <w:r w:rsidR="009B6C1E" w:rsidRPr="006070EA">
        <w:rPr>
          <w:rFonts w:asciiTheme="majorHAnsi" w:hAnsiTheme="majorHAnsi" w:cstheme="majorHAnsi"/>
          <w:color w:val="auto"/>
        </w:rPr>
        <w:t xml:space="preserve"> Současně jsou zvýrazněny nevyužité pozemky v zastavěném území s charakterem proluk</w:t>
      </w:r>
      <w:r w:rsidR="00813865" w:rsidRPr="006070EA">
        <w:rPr>
          <w:rFonts w:asciiTheme="majorHAnsi" w:hAnsiTheme="majorHAnsi" w:cstheme="majorHAnsi"/>
          <w:color w:val="auto"/>
        </w:rPr>
        <w:t xml:space="preserve"> (červený obrys)</w:t>
      </w:r>
      <w:r w:rsidR="009B6C1E" w:rsidRPr="006070EA">
        <w:rPr>
          <w:rFonts w:asciiTheme="majorHAnsi" w:hAnsiTheme="majorHAnsi" w:cstheme="majorHAnsi"/>
          <w:color w:val="auto"/>
        </w:rPr>
        <w:t>, na kterých jsou v souladu s podmínkami využití příslušných ploch s RZV, stanovených územním plánem, vytvořeny podmínky pro potenciální umístění stavby pro bydlení (rodinného domu)</w:t>
      </w:r>
      <w:r w:rsidR="002D61BA" w:rsidRPr="006070EA">
        <w:rPr>
          <w:rFonts w:asciiTheme="majorHAnsi" w:hAnsiTheme="majorHAnsi" w:cstheme="majorHAnsi"/>
          <w:color w:val="auto"/>
        </w:rPr>
        <w:t>, vytvářející</w:t>
      </w:r>
      <w:r w:rsidR="009B6C1E" w:rsidRPr="006070EA">
        <w:rPr>
          <w:rFonts w:asciiTheme="majorHAnsi" w:hAnsiTheme="majorHAnsi" w:cstheme="majorHAnsi"/>
          <w:color w:val="auto"/>
        </w:rPr>
        <w:t xml:space="preserve"> rezerv</w:t>
      </w:r>
      <w:r w:rsidR="002D61BA" w:rsidRPr="006070EA">
        <w:rPr>
          <w:rFonts w:asciiTheme="majorHAnsi" w:hAnsiTheme="majorHAnsi" w:cstheme="majorHAnsi"/>
          <w:color w:val="auto"/>
        </w:rPr>
        <w:t>u</w:t>
      </w:r>
      <w:r w:rsidR="009B6C1E" w:rsidRPr="006070EA">
        <w:rPr>
          <w:rFonts w:asciiTheme="majorHAnsi" w:hAnsiTheme="majorHAnsi" w:cstheme="majorHAnsi"/>
          <w:color w:val="auto"/>
        </w:rPr>
        <w:t xml:space="preserve"> pro bydlení v zastavěném území</w:t>
      </w:r>
      <w:r w:rsidR="0034420E" w:rsidRPr="006070EA">
        <w:rPr>
          <w:rFonts w:asciiTheme="majorHAnsi" w:hAnsiTheme="majorHAnsi" w:cstheme="majorHAnsi"/>
          <w:color w:val="auto"/>
        </w:rPr>
        <w:t xml:space="preserve"> (zahrnuty jsou pouze pozemky s vyhodnocenou optimální dostupností veřejné infrastruktury, na kterých dle dostupných podkladů a terénního šetření v době zpracování návrhu územního plánu pro společné jednání nebyla zahájena výstavba; počet disponibilních pozemků pro výstavbu rodinných domů je stanoven odborným odhadem)</w:t>
      </w:r>
      <w:r w:rsidR="009B6C1E" w:rsidRPr="006070EA">
        <w:rPr>
          <w:rFonts w:asciiTheme="majorHAnsi" w:hAnsiTheme="majorHAnsi" w:cstheme="majorHAnsi"/>
          <w:color w:val="auto"/>
        </w:rPr>
        <w:t xml:space="preserve">. </w:t>
      </w:r>
    </w:p>
    <w:p w14:paraId="17B84A47" w14:textId="754F497D" w:rsidR="009B6C1E" w:rsidRPr="006070EA" w:rsidRDefault="00C20FC8" w:rsidP="009B6C1E">
      <w:pPr>
        <w:pStyle w:val="Mra2-reakceern"/>
        <w:pBdr>
          <w:left w:val="none" w:sz="0" w:space="0" w:color="auto"/>
        </w:pBdr>
        <w:spacing w:before="60" w:after="120"/>
        <w:ind w:left="0"/>
        <w:rPr>
          <w:rFonts w:asciiTheme="majorHAnsi" w:hAnsiTheme="majorHAnsi" w:cstheme="majorHAnsi"/>
          <w:color w:val="FF0000"/>
        </w:rPr>
      </w:pPr>
      <w:r w:rsidRPr="006070EA">
        <w:rPr>
          <w:rFonts w:asciiTheme="majorHAnsi" w:hAnsiTheme="majorHAnsi" w:cstheme="majorHAnsi"/>
          <w:noProof/>
          <w:color w:val="FF0000"/>
        </w:rPr>
        <w:drawing>
          <wp:inline distT="0" distB="0" distL="0" distR="0" wp14:anchorId="5663D751" wp14:editId="68B7DBEA">
            <wp:extent cx="5759450" cy="307467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759450" cy="3074670"/>
                    </a:xfrm>
                    <a:prstGeom prst="rect">
                      <a:avLst/>
                    </a:prstGeom>
                    <a:noFill/>
                    <a:ln>
                      <a:noFill/>
                    </a:ln>
                  </pic:spPr>
                </pic:pic>
              </a:graphicData>
            </a:graphic>
          </wp:inline>
        </w:drawing>
      </w:r>
    </w:p>
    <w:p w14:paraId="7DC33692" w14:textId="29401627" w:rsidR="00C20FC8" w:rsidRPr="006070EA" w:rsidRDefault="00C20FC8" w:rsidP="009B6C1E">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color w:val="auto"/>
        </w:rPr>
        <w:t xml:space="preserve">Počet potenciálních </w:t>
      </w:r>
      <w:r w:rsidR="00815B63" w:rsidRPr="006070EA">
        <w:rPr>
          <w:rFonts w:asciiTheme="majorHAnsi" w:hAnsiTheme="majorHAnsi" w:cstheme="majorHAnsi"/>
          <w:i/>
          <w:iCs w:val="0"/>
          <w:color w:val="auto"/>
        </w:rPr>
        <w:t xml:space="preserve">disponibilních </w:t>
      </w:r>
      <w:r w:rsidRPr="006070EA">
        <w:rPr>
          <w:rFonts w:asciiTheme="majorHAnsi" w:hAnsiTheme="majorHAnsi" w:cstheme="majorHAnsi"/>
          <w:i/>
          <w:iCs w:val="0"/>
          <w:color w:val="auto"/>
        </w:rPr>
        <w:t>stavebních parcel pro realizaci RD v zastavěném území sídla Kostomlaty nad Labem = 18</w:t>
      </w:r>
    </w:p>
    <w:p w14:paraId="3E5D1ED3" w14:textId="5F2C7C89" w:rsidR="00815B63" w:rsidRPr="006070EA" w:rsidRDefault="00815B63" w:rsidP="009B6C1E">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noProof/>
          <w:color w:val="auto"/>
        </w:rPr>
        <w:lastRenderedPageBreak/>
        <w:drawing>
          <wp:inline distT="0" distB="0" distL="0" distR="0" wp14:anchorId="211A5184" wp14:editId="6C7D35D3">
            <wp:extent cx="5759450" cy="3227070"/>
            <wp:effectExtent l="0" t="0" r="0" b="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759450" cy="3227070"/>
                    </a:xfrm>
                    <a:prstGeom prst="rect">
                      <a:avLst/>
                    </a:prstGeom>
                    <a:noFill/>
                    <a:ln>
                      <a:noFill/>
                    </a:ln>
                  </pic:spPr>
                </pic:pic>
              </a:graphicData>
            </a:graphic>
          </wp:inline>
        </w:drawing>
      </w:r>
    </w:p>
    <w:p w14:paraId="53CD7A2B" w14:textId="78D46E28" w:rsidR="00815B63" w:rsidRPr="006070EA" w:rsidRDefault="00815B63" w:rsidP="00815B63">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color w:val="auto"/>
        </w:rPr>
        <w:t>Počet potenciálních disponibilních stavebních parcel pro realizaci RD v zastavěném území sídla Rozkoš = 4</w:t>
      </w:r>
    </w:p>
    <w:p w14:paraId="1A864ADD" w14:textId="77777777" w:rsidR="00F90B15" w:rsidRPr="006070EA" w:rsidRDefault="00F90B15" w:rsidP="00F90B15">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noProof/>
          <w:color w:val="auto"/>
        </w:rPr>
        <w:drawing>
          <wp:inline distT="0" distB="0" distL="0" distR="0" wp14:anchorId="77907E5E" wp14:editId="7D4CDFCB">
            <wp:extent cx="4320000" cy="5071514"/>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320000" cy="5071514"/>
                    </a:xfrm>
                    <a:prstGeom prst="rect">
                      <a:avLst/>
                    </a:prstGeom>
                    <a:noFill/>
                    <a:ln>
                      <a:noFill/>
                    </a:ln>
                  </pic:spPr>
                </pic:pic>
              </a:graphicData>
            </a:graphic>
          </wp:inline>
        </w:drawing>
      </w:r>
    </w:p>
    <w:p w14:paraId="2CF2BEDA" w14:textId="77777777" w:rsidR="00F90B15" w:rsidRPr="006070EA" w:rsidRDefault="00F90B15" w:rsidP="00F90B15">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color w:val="auto"/>
        </w:rPr>
        <w:t>Počet potenciálních disponibilních stavebních parcel pro realizaci RD v zastavěném území sídla Vápensko = 4</w:t>
      </w:r>
    </w:p>
    <w:p w14:paraId="59872DAC" w14:textId="4C418B6F" w:rsidR="00815B63" w:rsidRPr="006070EA" w:rsidRDefault="006853C1" w:rsidP="00815B63">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noProof/>
          <w:color w:val="auto"/>
        </w:rPr>
        <w:lastRenderedPageBreak/>
        <w:drawing>
          <wp:inline distT="0" distB="0" distL="0" distR="0" wp14:anchorId="5A350C4D" wp14:editId="2C8DDDF3">
            <wp:extent cx="4392000" cy="8626811"/>
            <wp:effectExtent l="0" t="0" r="0" b="0"/>
            <wp:docPr id="21" name="Obráze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392000" cy="8626811"/>
                    </a:xfrm>
                    <a:prstGeom prst="rect">
                      <a:avLst/>
                    </a:prstGeom>
                    <a:noFill/>
                    <a:ln>
                      <a:noFill/>
                    </a:ln>
                  </pic:spPr>
                </pic:pic>
              </a:graphicData>
            </a:graphic>
          </wp:inline>
        </w:drawing>
      </w:r>
    </w:p>
    <w:p w14:paraId="4F79B295" w14:textId="7790CDC4" w:rsidR="006853C1" w:rsidRPr="006070EA" w:rsidRDefault="006853C1" w:rsidP="006853C1">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color w:val="auto"/>
        </w:rPr>
        <w:t>Počet potenciálních disponibilních stavebních parcel pro realizaci RD v zastavěném území sídla Lány = 4</w:t>
      </w:r>
    </w:p>
    <w:p w14:paraId="7ACF3997" w14:textId="77777777" w:rsidR="00F90B15" w:rsidRPr="006070EA" w:rsidRDefault="00F90B15" w:rsidP="00F90B15">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noProof/>
          <w:color w:val="auto"/>
        </w:rPr>
        <w:lastRenderedPageBreak/>
        <w:drawing>
          <wp:inline distT="0" distB="0" distL="0" distR="0" wp14:anchorId="308A1C63" wp14:editId="3D6FE0C0">
            <wp:extent cx="5753100" cy="3295650"/>
            <wp:effectExtent l="0" t="0" r="0" b="0"/>
            <wp:docPr id="23" name="Obrázek 23"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Obrázek 23" descr="Obsah obrázku mapa&#10;&#10;Popis byl vytvořen automaticky"/>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53100" cy="3295650"/>
                    </a:xfrm>
                    <a:prstGeom prst="rect">
                      <a:avLst/>
                    </a:prstGeom>
                    <a:noFill/>
                    <a:ln>
                      <a:noFill/>
                    </a:ln>
                  </pic:spPr>
                </pic:pic>
              </a:graphicData>
            </a:graphic>
          </wp:inline>
        </w:drawing>
      </w:r>
    </w:p>
    <w:p w14:paraId="7AE14E69" w14:textId="77777777" w:rsidR="00F90B15" w:rsidRPr="006070EA" w:rsidRDefault="00F90B15" w:rsidP="00F90B15">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color w:val="auto"/>
        </w:rPr>
        <w:t>Počet potenciálních disponibilních stavebních parcel pro realizaci RD v zastavěném území sídla Hronětice = 9</w:t>
      </w:r>
    </w:p>
    <w:p w14:paraId="5819D7F8" w14:textId="56F8DA65" w:rsidR="00CF454D" w:rsidRPr="006070EA" w:rsidRDefault="00CF454D" w:rsidP="00350AB5">
      <w:pPr>
        <w:pStyle w:val="Mra2-reakceern"/>
        <w:pBdr>
          <w:left w:val="none" w:sz="0" w:space="0" w:color="auto"/>
        </w:pBdr>
        <w:spacing w:before="60" w:after="120"/>
        <w:ind w:left="0" w:firstLine="709"/>
        <w:rPr>
          <w:rFonts w:asciiTheme="majorHAnsi" w:hAnsiTheme="majorHAnsi" w:cstheme="majorHAnsi"/>
          <w:color w:val="auto"/>
        </w:rPr>
      </w:pPr>
      <w:r w:rsidRPr="006070EA">
        <w:rPr>
          <w:rFonts w:asciiTheme="majorHAnsi" w:hAnsiTheme="majorHAnsi" w:cstheme="majorHAnsi"/>
          <w:color w:val="auto"/>
        </w:rPr>
        <w:t>Zasta</w:t>
      </w:r>
      <w:r w:rsidR="00350AB5" w:rsidRPr="006070EA">
        <w:rPr>
          <w:rFonts w:asciiTheme="majorHAnsi" w:hAnsiTheme="majorHAnsi" w:cstheme="majorHAnsi"/>
          <w:color w:val="auto"/>
        </w:rPr>
        <w:t>věné území j</w:t>
      </w:r>
      <w:r w:rsidR="00933CD2" w:rsidRPr="006070EA">
        <w:rPr>
          <w:rFonts w:asciiTheme="majorHAnsi" w:hAnsiTheme="majorHAnsi" w:cstheme="majorHAnsi"/>
          <w:color w:val="auto"/>
        </w:rPr>
        <w:t>ednotlivých sídel v řešeném území je</w:t>
      </w:r>
      <w:r w:rsidR="00350AB5" w:rsidRPr="006070EA">
        <w:rPr>
          <w:rFonts w:asciiTheme="majorHAnsi" w:hAnsiTheme="majorHAnsi" w:cstheme="majorHAnsi"/>
          <w:color w:val="auto"/>
        </w:rPr>
        <w:t xml:space="preserve"> převážně využito. V</w:t>
      </w:r>
      <w:r w:rsidRPr="006070EA">
        <w:rPr>
          <w:rFonts w:asciiTheme="majorHAnsi" w:hAnsiTheme="majorHAnsi" w:cstheme="majorHAnsi"/>
          <w:color w:val="auto"/>
        </w:rPr>
        <w:t> sídle</w:t>
      </w:r>
      <w:r w:rsidR="00933CD2" w:rsidRPr="006070EA">
        <w:rPr>
          <w:rFonts w:asciiTheme="majorHAnsi" w:hAnsiTheme="majorHAnsi" w:cstheme="majorHAnsi"/>
          <w:color w:val="auto"/>
        </w:rPr>
        <w:t>ch</w:t>
      </w:r>
      <w:r w:rsidRPr="006070EA">
        <w:rPr>
          <w:rFonts w:asciiTheme="majorHAnsi" w:hAnsiTheme="majorHAnsi" w:cstheme="majorHAnsi"/>
          <w:color w:val="auto"/>
        </w:rPr>
        <w:t xml:space="preserve"> lze identifikovat </w:t>
      </w:r>
      <w:r w:rsidR="00350AB5" w:rsidRPr="006070EA">
        <w:rPr>
          <w:rFonts w:asciiTheme="majorHAnsi" w:hAnsiTheme="majorHAnsi" w:cstheme="majorHAnsi"/>
          <w:color w:val="auto"/>
        </w:rPr>
        <w:t>volné plochy</w:t>
      </w:r>
      <w:r w:rsidRPr="006070EA">
        <w:rPr>
          <w:rFonts w:asciiTheme="majorHAnsi" w:hAnsiTheme="majorHAnsi" w:cstheme="majorHAnsi"/>
          <w:color w:val="auto"/>
        </w:rPr>
        <w:t xml:space="preserve"> </w:t>
      </w:r>
      <w:r w:rsidR="00933CD2" w:rsidRPr="006070EA">
        <w:rPr>
          <w:rFonts w:asciiTheme="majorHAnsi" w:hAnsiTheme="majorHAnsi" w:cstheme="majorHAnsi"/>
          <w:color w:val="auto"/>
        </w:rPr>
        <w:t xml:space="preserve">zejména </w:t>
      </w:r>
      <w:r w:rsidRPr="006070EA">
        <w:rPr>
          <w:rFonts w:asciiTheme="majorHAnsi" w:hAnsiTheme="majorHAnsi" w:cstheme="majorHAnsi"/>
          <w:color w:val="auto"/>
        </w:rPr>
        <w:t xml:space="preserve">v plochách větších zahrad. </w:t>
      </w:r>
      <w:r w:rsidR="00350AB5" w:rsidRPr="006070EA">
        <w:rPr>
          <w:rFonts w:asciiTheme="majorHAnsi" w:hAnsiTheme="majorHAnsi" w:cstheme="majorHAnsi"/>
          <w:color w:val="auto"/>
        </w:rPr>
        <w:t xml:space="preserve">S těmito </w:t>
      </w:r>
      <w:r w:rsidR="00820EE7" w:rsidRPr="006070EA">
        <w:rPr>
          <w:rFonts w:asciiTheme="majorHAnsi" w:hAnsiTheme="majorHAnsi" w:cstheme="majorHAnsi"/>
          <w:color w:val="auto"/>
        </w:rPr>
        <w:t xml:space="preserve">pozemky </w:t>
      </w:r>
      <w:r w:rsidRPr="006070EA">
        <w:rPr>
          <w:rFonts w:asciiTheme="majorHAnsi" w:hAnsiTheme="majorHAnsi" w:cstheme="majorHAnsi"/>
          <w:color w:val="auto"/>
        </w:rPr>
        <w:t xml:space="preserve">však nelze </w:t>
      </w:r>
      <w:r w:rsidR="00820EE7" w:rsidRPr="006070EA">
        <w:rPr>
          <w:rFonts w:asciiTheme="majorHAnsi" w:hAnsiTheme="majorHAnsi" w:cstheme="majorHAnsi"/>
          <w:color w:val="auto"/>
        </w:rPr>
        <w:t xml:space="preserve">automaticky </w:t>
      </w:r>
      <w:r w:rsidRPr="006070EA">
        <w:rPr>
          <w:rFonts w:asciiTheme="majorHAnsi" w:hAnsiTheme="majorHAnsi" w:cstheme="majorHAnsi"/>
          <w:color w:val="auto"/>
        </w:rPr>
        <w:t xml:space="preserve">s ohledem na vlastnické vztahy počítat jako s dostupnými plochami pro rozvoj bydlení. </w:t>
      </w:r>
      <w:r w:rsidR="00350AB5" w:rsidRPr="006070EA">
        <w:rPr>
          <w:rFonts w:asciiTheme="majorHAnsi" w:hAnsiTheme="majorHAnsi" w:cstheme="majorHAnsi"/>
          <w:color w:val="auto"/>
        </w:rPr>
        <w:t>Rezervu zastavěného území vytvářejí v</w:t>
      </w:r>
      <w:r w:rsidRPr="006070EA">
        <w:rPr>
          <w:rFonts w:asciiTheme="majorHAnsi" w:hAnsiTheme="majorHAnsi" w:cstheme="majorHAnsi"/>
          <w:color w:val="auto"/>
        </w:rPr>
        <w:t>olné</w:t>
      </w:r>
      <w:r w:rsidR="00350AB5" w:rsidRPr="006070EA">
        <w:rPr>
          <w:rFonts w:asciiTheme="majorHAnsi" w:hAnsiTheme="majorHAnsi" w:cstheme="majorHAnsi"/>
          <w:color w:val="auto"/>
        </w:rPr>
        <w:t> </w:t>
      </w:r>
      <w:r w:rsidRPr="006070EA">
        <w:rPr>
          <w:rFonts w:asciiTheme="majorHAnsi" w:hAnsiTheme="majorHAnsi" w:cstheme="majorHAnsi"/>
          <w:color w:val="auto"/>
        </w:rPr>
        <w:t>pozemky v zastavěném území nedotčené výstavbou (zejména proluky mezi stavbami)</w:t>
      </w:r>
      <w:r w:rsidR="00642942" w:rsidRPr="006070EA">
        <w:rPr>
          <w:rFonts w:asciiTheme="majorHAnsi" w:hAnsiTheme="majorHAnsi" w:cstheme="majorHAnsi"/>
          <w:color w:val="auto"/>
        </w:rPr>
        <w:t>, které</w:t>
      </w:r>
      <w:r w:rsidRPr="006070EA">
        <w:rPr>
          <w:rFonts w:asciiTheme="majorHAnsi" w:hAnsiTheme="majorHAnsi" w:cstheme="majorHAnsi"/>
          <w:color w:val="auto"/>
        </w:rPr>
        <w:t xml:space="preserve"> mohou být v budoucnu využity pro výstavbu. </w:t>
      </w:r>
    </w:p>
    <w:p w14:paraId="727F28D2" w14:textId="456C1D6D" w:rsidR="00CF454D" w:rsidRPr="006070EA" w:rsidRDefault="00CF454D" w:rsidP="00820EE7">
      <w:pPr>
        <w:pStyle w:val="Mra2-reakceern"/>
        <w:pBdr>
          <w:left w:val="none" w:sz="0" w:space="0" w:color="auto"/>
        </w:pBdr>
        <w:spacing w:before="60" w:after="120"/>
        <w:ind w:left="0" w:firstLine="709"/>
        <w:rPr>
          <w:rFonts w:asciiTheme="majorHAnsi" w:hAnsiTheme="majorHAnsi" w:cstheme="majorHAnsi"/>
          <w:color w:val="auto"/>
        </w:rPr>
      </w:pPr>
      <w:r w:rsidRPr="006070EA">
        <w:rPr>
          <w:rFonts w:asciiTheme="majorHAnsi" w:hAnsiTheme="majorHAnsi" w:cstheme="majorHAnsi"/>
          <w:color w:val="auto"/>
        </w:rPr>
        <w:t xml:space="preserve">Z analýzy využití zastavěného území provedené v úvodní fázi zpracování návrhu ÚP </w:t>
      </w:r>
      <w:r w:rsidR="00820EE7" w:rsidRPr="006070EA">
        <w:rPr>
          <w:rFonts w:asciiTheme="majorHAnsi" w:hAnsiTheme="majorHAnsi" w:cstheme="majorHAnsi"/>
          <w:color w:val="auto"/>
        </w:rPr>
        <w:t>Kostomlaty nad Labem</w:t>
      </w:r>
      <w:r w:rsidRPr="006070EA">
        <w:rPr>
          <w:rFonts w:asciiTheme="majorHAnsi" w:hAnsiTheme="majorHAnsi" w:cstheme="majorHAnsi"/>
          <w:color w:val="auto"/>
        </w:rPr>
        <w:t xml:space="preserve"> vyplývá, že </w:t>
      </w:r>
      <w:r w:rsidRPr="006070EA">
        <w:rPr>
          <w:rFonts w:asciiTheme="majorHAnsi" w:hAnsiTheme="majorHAnsi" w:cstheme="majorHAnsi"/>
          <w:color w:val="auto"/>
          <w:u w:val="single"/>
        </w:rPr>
        <w:t xml:space="preserve">v zastavěném území </w:t>
      </w:r>
      <w:r w:rsidR="00642942" w:rsidRPr="006070EA">
        <w:rPr>
          <w:rFonts w:asciiTheme="majorHAnsi" w:hAnsiTheme="majorHAnsi" w:cstheme="majorHAnsi"/>
          <w:color w:val="auto"/>
          <w:u w:val="single"/>
        </w:rPr>
        <w:t>se nachází</w:t>
      </w:r>
      <w:r w:rsidRPr="006070EA">
        <w:rPr>
          <w:rFonts w:asciiTheme="majorHAnsi" w:hAnsiTheme="majorHAnsi" w:cstheme="majorHAnsi"/>
          <w:color w:val="auto"/>
          <w:u w:val="single"/>
        </w:rPr>
        <w:t xml:space="preserve"> rezervy pro novou výstavbu </w:t>
      </w:r>
      <w:r w:rsidR="00820EE7" w:rsidRPr="006070EA">
        <w:rPr>
          <w:rFonts w:asciiTheme="majorHAnsi" w:hAnsiTheme="majorHAnsi" w:cstheme="majorHAnsi"/>
          <w:color w:val="auto"/>
          <w:u w:val="single"/>
        </w:rPr>
        <w:t>cca 40</w:t>
      </w:r>
      <w:r w:rsidRPr="006070EA">
        <w:rPr>
          <w:rFonts w:asciiTheme="majorHAnsi" w:hAnsiTheme="majorHAnsi" w:cstheme="majorHAnsi"/>
          <w:color w:val="auto"/>
          <w:u w:val="single"/>
        </w:rPr>
        <w:t xml:space="preserve"> RD</w:t>
      </w:r>
      <w:r w:rsidRPr="006070EA">
        <w:rPr>
          <w:rFonts w:asciiTheme="majorHAnsi" w:hAnsiTheme="majorHAnsi" w:cstheme="majorHAnsi"/>
          <w:color w:val="auto"/>
        </w:rPr>
        <w:t xml:space="preserve">, a to především na pozemcích, které nevytvářejí společný celek s žádnou stavbou pro bydlení, jsou dostupné ze stávajících dopravních komunikací a mají charakter nevyužívaných proluk v zástavbě. </w:t>
      </w:r>
      <w:r w:rsidR="00820EE7" w:rsidRPr="006070EA">
        <w:rPr>
          <w:rFonts w:asciiTheme="majorHAnsi" w:hAnsiTheme="majorHAnsi" w:cstheme="majorHAnsi"/>
          <w:color w:val="auto"/>
        </w:rPr>
        <w:t>Distribuci těchto ploch dle jednotlivých sídel interpretuje níže uvedená tabulka:</w:t>
      </w:r>
    </w:p>
    <w:tbl>
      <w:tblPr>
        <w:tblStyle w:val="Mkatabulky"/>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533"/>
        <w:gridCol w:w="4537"/>
      </w:tblGrid>
      <w:tr w:rsidR="00D204CA" w:rsidRPr="006070EA" w14:paraId="4B61E93F" w14:textId="77777777" w:rsidTr="00820EE7">
        <w:trPr>
          <w:jc w:val="center"/>
        </w:trPr>
        <w:tc>
          <w:tcPr>
            <w:tcW w:w="4605" w:type="dxa"/>
            <w:vAlign w:val="center"/>
          </w:tcPr>
          <w:p w14:paraId="75E4BFF4" w14:textId="2DEC7D2D" w:rsidR="00820EE7" w:rsidRPr="006070EA" w:rsidRDefault="00820EE7" w:rsidP="00820EE7">
            <w:pPr>
              <w:pStyle w:val="Mra2-reakceern"/>
              <w:pBdr>
                <w:left w:val="none" w:sz="0" w:space="0" w:color="auto"/>
              </w:pBdr>
              <w:ind w:left="0"/>
              <w:jc w:val="center"/>
              <w:rPr>
                <w:rFonts w:asciiTheme="majorHAnsi" w:hAnsiTheme="majorHAnsi" w:cstheme="majorHAnsi"/>
                <w:b/>
                <w:bCs w:val="0"/>
                <w:color w:val="auto"/>
              </w:rPr>
            </w:pPr>
            <w:r w:rsidRPr="006070EA">
              <w:rPr>
                <w:rFonts w:asciiTheme="majorHAnsi" w:hAnsiTheme="majorHAnsi" w:cstheme="majorHAnsi"/>
                <w:b/>
                <w:bCs w:val="0"/>
                <w:color w:val="auto"/>
              </w:rPr>
              <w:t>Sídlo</w:t>
            </w:r>
          </w:p>
        </w:tc>
        <w:tc>
          <w:tcPr>
            <w:tcW w:w="4605" w:type="dxa"/>
            <w:vAlign w:val="center"/>
          </w:tcPr>
          <w:p w14:paraId="63A4FBEF" w14:textId="05746935" w:rsidR="00820EE7" w:rsidRPr="006070EA" w:rsidRDefault="00820EE7" w:rsidP="00820EE7">
            <w:pPr>
              <w:pStyle w:val="Mra2-reakceern"/>
              <w:pBdr>
                <w:left w:val="none" w:sz="0" w:space="0" w:color="auto"/>
              </w:pBdr>
              <w:ind w:left="0"/>
              <w:jc w:val="center"/>
              <w:rPr>
                <w:rFonts w:asciiTheme="majorHAnsi" w:hAnsiTheme="majorHAnsi" w:cstheme="majorHAnsi"/>
                <w:b/>
                <w:bCs w:val="0"/>
                <w:color w:val="auto"/>
              </w:rPr>
            </w:pPr>
            <w:r w:rsidRPr="006070EA">
              <w:rPr>
                <w:rFonts w:asciiTheme="majorHAnsi" w:hAnsiTheme="majorHAnsi" w:cstheme="majorHAnsi"/>
                <w:b/>
                <w:bCs w:val="0"/>
                <w:color w:val="auto"/>
              </w:rPr>
              <w:t>Počet parcel pro RD v zastavěném území*</w:t>
            </w:r>
          </w:p>
        </w:tc>
      </w:tr>
      <w:tr w:rsidR="00D204CA" w:rsidRPr="006070EA" w14:paraId="4E427618" w14:textId="77777777" w:rsidTr="00820EE7">
        <w:trPr>
          <w:jc w:val="center"/>
        </w:trPr>
        <w:tc>
          <w:tcPr>
            <w:tcW w:w="4605" w:type="dxa"/>
            <w:vAlign w:val="center"/>
          </w:tcPr>
          <w:p w14:paraId="063E0589" w14:textId="35A5DD40" w:rsidR="00820EE7" w:rsidRPr="006070EA" w:rsidRDefault="00820EE7"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Kostomlaty nad Labem</w:t>
            </w:r>
          </w:p>
        </w:tc>
        <w:tc>
          <w:tcPr>
            <w:tcW w:w="4605" w:type="dxa"/>
            <w:vAlign w:val="center"/>
          </w:tcPr>
          <w:p w14:paraId="1466FE9C" w14:textId="399541BD" w:rsidR="00820EE7" w:rsidRPr="006070EA" w:rsidRDefault="00820EE7"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18</w:t>
            </w:r>
          </w:p>
        </w:tc>
      </w:tr>
      <w:tr w:rsidR="00D204CA" w:rsidRPr="006070EA" w14:paraId="176989FA" w14:textId="77777777" w:rsidTr="00820EE7">
        <w:trPr>
          <w:jc w:val="center"/>
        </w:trPr>
        <w:tc>
          <w:tcPr>
            <w:tcW w:w="4605" w:type="dxa"/>
            <w:vAlign w:val="center"/>
          </w:tcPr>
          <w:p w14:paraId="66B9653C" w14:textId="55427A81" w:rsidR="00820EE7" w:rsidRPr="006070EA" w:rsidRDefault="00820EE7"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Rozkoš</w:t>
            </w:r>
          </w:p>
        </w:tc>
        <w:tc>
          <w:tcPr>
            <w:tcW w:w="4605" w:type="dxa"/>
            <w:vAlign w:val="center"/>
          </w:tcPr>
          <w:p w14:paraId="716DABED" w14:textId="72628B7D" w:rsidR="00820EE7" w:rsidRPr="006070EA" w:rsidRDefault="00820EE7"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4</w:t>
            </w:r>
          </w:p>
        </w:tc>
      </w:tr>
      <w:tr w:rsidR="00D204CA" w:rsidRPr="006070EA" w14:paraId="1ACD1976" w14:textId="77777777" w:rsidTr="00820EE7">
        <w:trPr>
          <w:jc w:val="center"/>
        </w:trPr>
        <w:tc>
          <w:tcPr>
            <w:tcW w:w="4605" w:type="dxa"/>
            <w:vAlign w:val="center"/>
          </w:tcPr>
          <w:p w14:paraId="46DEFE6E" w14:textId="0C0DC6B9" w:rsidR="00820EE7" w:rsidRPr="006070EA" w:rsidRDefault="00820EE7"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Lány</w:t>
            </w:r>
          </w:p>
        </w:tc>
        <w:tc>
          <w:tcPr>
            <w:tcW w:w="4605" w:type="dxa"/>
            <w:vAlign w:val="center"/>
          </w:tcPr>
          <w:p w14:paraId="73D3AE28" w14:textId="68B6B173" w:rsidR="00820EE7" w:rsidRPr="006070EA" w:rsidRDefault="00D204CA"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4</w:t>
            </w:r>
          </w:p>
        </w:tc>
      </w:tr>
      <w:tr w:rsidR="00D204CA" w:rsidRPr="006070EA" w14:paraId="321A835B" w14:textId="77777777" w:rsidTr="00820EE7">
        <w:trPr>
          <w:jc w:val="center"/>
        </w:trPr>
        <w:tc>
          <w:tcPr>
            <w:tcW w:w="4605" w:type="dxa"/>
            <w:vAlign w:val="center"/>
          </w:tcPr>
          <w:p w14:paraId="4956911E" w14:textId="65D93D1B" w:rsidR="00820EE7" w:rsidRPr="006070EA" w:rsidRDefault="00D204CA"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Hronětice</w:t>
            </w:r>
          </w:p>
        </w:tc>
        <w:tc>
          <w:tcPr>
            <w:tcW w:w="4605" w:type="dxa"/>
            <w:vAlign w:val="center"/>
          </w:tcPr>
          <w:p w14:paraId="190A1028" w14:textId="5A0A1158" w:rsidR="00820EE7" w:rsidRPr="006070EA" w:rsidRDefault="00D204CA"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9</w:t>
            </w:r>
          </w:p>
        </w:tc>
      </w:tr>
      <w:tr w:rsidR="00D204CA" w:rsidRPr="006070EA" w14:paraId="64A2D550" w14:textId="77777777" w:rsidTr="00820EE7">
        <w:trPr>
          <w:jc w:val="center"/>
        </w:trPr>
        <w:tc>
          <w:tcPr>
            <w:tcW w:w="4605" w:type="dxa"/>
            <w:vAlign w:val="center"/>
          </w:tcPr>
          <w:p w14:paraId="455E7C24" w14:textId="3E6EA14B" w:rsidR="00D204CA" w:rsidRPr="006070EA" w:rsidRDefault="00D204CA"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Vápensko</w:t>
            </w:r>
          </w:p>
        </w:tc>
        <w:tc>
          <w:tcPr>
            <w:tcW w:w="4605" w:type="dxa"/>
            <w:vAlign w:val="center"/>
          </w:tcPr>
          <w:p w14:paraId="54CD5781" w14:textId="352E7F68" w:rsidR="00D204CA" w:rsidRPr="006070EA" w:rsidRDefault="00D204CA" w:rsidP="00820EE7">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4</w:t>
            </w:r>
          </w:p>
        </w:tc>
      </w:tr>
    </w:tbl>
    <w:p w14:paraId="114B16FA" w14:textId="2DA687DB" w:rsidR="00820EE7" w:rsidRPr="006070EA" w:rsidRDefault="00820EE7" w:rsidP="00D204CA">
      <w:pPr>
        <w:pStyle w:val="Mra2-reakceern"/>
        <w:pBdr>
          <w:left w:val="none" w:sz="0" w:space="0" w:color="auto"/>
        </w:pBdr>
        <w:spacing w:before="60" w:after="120"/>
        <w:ind w:left="0"/>
        <w:rPr>
          <w:rFonts w:asciiTheme="majorHAnsi" w:hAnsiTheme="majorHAnsi" w:cstheme="majorHAnsi"/>
          <w:i/>
          <w:iCs w:val="0"/>
          <w:color w:val="auto"/>
        </w:rPr>
      </w:pPr>
      <w:r w:rsidRPr="006070EA">
        <w:rPr>
          <w:rFonts w:asciiTheme="majorHAnsi" w:hAnsiTheme="majorHAnsi" w:cstheme="majorHAnsi"/>
          <w:i/>
          <w:iCs w:val="0"/>
          <w:color w:val="auto"/>
        </w:rPr>
        <w:t xml:space="preserve">* Představuje počet potenciálních disponibilních parcel pro umístění RD s přihlédnutím ke stanovené regulaci příslušných ploch s rozdílným způsobem využití dle návrhu ÚP Kostomlaty nad Labem a bez zohlednění vlastnických vztahů a dalších podmíněností území. Počet je stanoven odborným odhadem a </w:t>
      </w:r>
      <w:r w:rsidR="00D204CA" w:rsidRPr="006070EA">
        <w:rPr>
          <w:rFonts w:asciiTheme="majorHAnsi" w:hAnsiTheme="majorHAnsi" w:cstheme="majorHAnsi"/>
          <w:i/>
          <w:iCs w:val="0"/>
          <w:color w:val="auto"/>
        </w:rPr>
        <w:t>v reálné situaci se může lišit.</w:t>
      </w:r>
    </w:p>
    <w:p w14:paraId="3B635E73" w14:textId="77777777" w:rsidR="00BB50A7" w:rsidRPr="006070EA" w:rsidRDefault="00B9741F" w:rsidP="003A4B1E">
      <w:pPr>
        <w:pStyle w:val="Odstavecseseznamem"/>
        <w:keepNext/>
        <w:numPr>
          <w:ilvl w:val="1"/>
          <w:numId w:val="29"/>
        </w:numPr>
        <w:spacing w:before="160" w:after="120" w:line="240" w:lineRule="auto"/>
        <w:ind w:left="709" w:hanging="709"/>
        <w:contextualSpacing w:val="0"/>
        <w:outlineLvl w:val="1"/>
        <w:rPr>
          <w:rFonts w:asciiTheme="majorHAnsi" w:hAnsiTheme="majorHAnsi" w:cstheme="majorHAnsi"/>
          <w:b/>
          <w:sz w:val="24"/>
          <w:szCs w:val="20"/>
        </w:rPr>
      </w:pPr>
      <w:bookmarkStart w:id="160" w:name="_Toc415755958"/>
      <w:bookmarkStart w:id="161" w:name="_Toc415756324"/>
      <w:bookmarkStart w:id="162" w:name="_Toc415756683"/>
      <w:bookmarkStart w:id="163" w:name="_Toc415756933"/>
      <w:bookmarkStart w:id="164" w:name="_Toc415757183"/>
      <w:bookmarkStart w:id="165" w:name="_Toc415757432"/>
      <w:bookmarkStart w:id="166" w:name="_Toc415757590"/>
      <w:bookmarkStart w:id="167" w:name="_Toc424050116"/>
      <w:bookmarkStart w:id="168" w:name="_Toc424050290"/>
      <w:bookmarkStart w:id="169" w:name="_Toc424050448"/>
      <w:bookmarkStart w:id="170" w:name="_Toc424112310"/>
      <w:bookmarkStart w:id="171" w:name="_Toc424119334"/>
      <w:bookmarkStart w:id="172" w:name="_Toc424119814"/>
      <w:bookmarkStart w:id="173" w:name="_Toc424120070"/>
      <w:bookmarkStart w:id="174" w:name="_Toc424120496"/>
      <w:bookmarkStart w:id="175" w:name="_Toc424126202"/>
      <w:bookmarkStart w:id="176" w:name="_Toc424138783"/>
      <w:bookmarkStart w:id="177" w:name="_Toc445291897"/>
      <w:bookmarkStart w:id="178" w:name="_Toc445910410"/>
      <w:bookmarkStart w:id="179" w:name="_Toc448831889"/>
      <w:bookmarkStart w:id="180" w:name="_Toc448832079"/>
      <w:bookmarkStart w:id="181" w:name="_Toc450037739"/>
      <w:bookmarkStart w:id="182" w:name="_Toc450223033"/>
      <w:bookmarkStart w:id="183" w:name="_Toc472325683"/>
      <w:bookmarkStart w:id="184" w:name="_Toc204678180"/>
      <w:bookmarkStart w:id="185" w:name="_Toc424119816"/>
      <w:bookmarkEnd w:id="160"/>
      <w:bookmarkEnd w:id="161"/>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r w:rsidRPr="006070EA">
        <w:rPr>
          <w:rFonts w:asciiTheme="majorHAnsi" w:hAnsiTheme="majorHAnsi" w:cstheme="majorHAnsi"/>
          <w:b/>
          <w:sz w:val="24"/>
          <w:szCs w:val="20"/>
        </w:rPr>
        <w:t>Sociodemografický vývoj území</w:t>
      </w:r>
      <w:bookmarkEnd w:id="184"/>
    </w:p>
    <w:p w14:paraId="6E2B3D7D" w14:textId="77777777" w:rsidR="007266DF" w:rsidRPr="006070EA" w:rsidRDefault="007266DF" w:rsidP="0096622F">
      <w:pPr>
        <w:pStyle w:val="Mra2-reakceern"/>
        <w:pBdr>
          <w:left w:val="none" w:sz="0" w:space="0" w:color="auto"/>
        </w:pBdr>
        <w:shd w:val="clear" w:color="auto" w:fill="F2F2F2" w:themeFill="background1" w:themeFillShade="F2"/>
        <w:spacing w:before="120" w:after="120"/>
        <w:ind w:left="0"/>
        <w:rPr>
          <w:rFonts w:asciiTheme="majorHAnsi" w:hAnsiTheme="majorHAnsi" w:cstheme="majorHAnsi"/>
          <w:b/>
          <w:color w:val="auto"/>
          <w:sz w:val="20"/>
        </w:rPr>
      </w:pPr>
      <w:r w:rsidRPr="006070EA">
        <w:rPr>
          <w:rFonts w:asciiTheme="majorHAnsi" w:hAnsiTheme="majorHAnsi" w:cstheme="majorHAnsi"/>
          <w:b/>
          <w:color w:val="auto"/>
          <w:sz w:val="20"/>
        </w:rPr>
        <w:t>Vývoj počtu obyvatel</w:t>
      </w:r>
    </w:p>
    <w:p w14:paraId="2A0098CF" w14:textId="463F416C" w:rsidR="009E5E88" w:rsidRPr="006070EA" w:rsidRDefault="009E5E88" w:rsidP="009457CF">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V roce </w:t>
      </w:r>
      <w:r w:rsidR="009457CF" w:rsidRPr="006070EA">
        <w:rPr>
          <w:rFonts w:asciiTheme="majorHAnsi" w:hAnsiTheme="majorHAnsi" w:cstheme="majorHAnsi"/>
          <w:color w:val="000000"/>
          <w:szCs w:val="18"/>
        </w:rPr>
        <w:t>2022</w:t>
      </w:r>
      <w:r w:rsidRPr="006070EA">
        <w:rPr>
          <w:rFonts w:asciiTheme="majorHAnsi" w:hAnsiTheme="majorHAnsi" w:cstheme="majorHAnsi"/>
          <w:color w:val="000000"/>
          <w:szCs w:val="18"/>
        </w:rPr>
        <w:t xml:space="preserve"> bylo v rámci správního území </w:t>
      </w:r>
      <w:r w:rsidR="009457CF" w:rsidRPr="006070EA">
        <w:rPr>
          <w:rFonts w:asciiTheme="majorHAnsi" w:hAnsiTheme="majorHAnsi" w:cstheme="majorHAnsi"/>
          <w:color w:val="000000"/>
          <w:szCs w:val="18"/>
        </w:rPr>
        <w:t xml:space="preserve">obce </w:t>
      </w:r>
      <w:r w:rsidRPr="006070EA">
        <w:rPr>
          <w:rFonts w:asciiTheme="majorHAnsi" w:hAnsiTheme="majorHAnsi" w:cstheme="majorHAnsi"/>
          <w:color w:val="000000"/>
          <w:szCs w:val="18"/>
        </w:rPr>
        <w:t>Kostomlaty nad Labem evidováno 1</w:t>
      </w:r>
      <w:r w:rsidR="009457CF" w:rsidRPr="006070EA">
        <w:rPr>
          <w:rFonts w:asciiTheme="majorHAnsi" w:hAnsiTheme="majorHAnsi" w:cstheme="majorHAnsi"/>
          <w:color w:val="000000"/>
          <w:szCs w:val="18"/>
        </w:rPr>
        <w:t>885</w:t>
      </w:r>
      <w:r w:rsidRPr="006070EA">
        <w:rPr>
          <w:rFonts w:asciiTheme="majorHAnsi" w:hAnsiTheme="majorHAnsi" w:cstheme="majorHAnsi"/>
          <w:color w:val="000000"/>
          <w:szCs w:val="18"/>
        </w:rPr>
        <w:t xml:space="preserve"> obyvatel (k 1. 1., dle ČSÚ). Při výměře řešeného správního území 1805 ha je hustota osídlení v řešeném území cca 10</w:t>
      </w:r>
      <w:r w:rsidR="009457CF" w:rsidRPr="006070EA">
        <w:rPr>
          <w:rFonts w:asciiTheme="majorHAnsi" w:hAnsiTheme="majorHAnsi" w:cstheme="majorHAnsi"/>
          <w:color w:val="000000"/>
          <w:szCs w:val="18"/>
        </w:rPr>
        <w:t>4</w:t>
      </w:r>
      <w:r w:rsidRPr="006070EA">
        <w:rPr>
          <w:rFonts w:asciiTheme="majorHAnsi" w:hAnsiTheme="majorHAnsi" w:cstheme="majorHAnsi"/>
          <w:color w:val="000000"/>
          <w:szCs w:val="18"/>
        </w:rPr>
        <w:t>,4 obyv./km</w:t>
      </w:r>
      <w:r w:rsidRPr="006070EA">
        <w:rPr>
          <w:rFonts w:asciiTheme="majorHAnsi" w:hAnsiTheme="majorHAnsi" w:cstheme="majorHAnsi"/>
          <w:color w:val="000000"/>
          <w:szCs w:val="18"/>
          <w:vertAlign w:val="superscript"/>
        </w:rPr>
        <w:t>2</w:t>
      </w:r>
      <w:r w:rsidRPr="006070EA">
        <w:rPr>
          <w:rFonts w:asciiTheme="majorHAnsi" w:hAnsiTheme="majorHAnsi" w:cstheme="majorHAnsi"/>
          <w:color w:val="000000"/>
          <w:szCs w:val="18"/>
        </w:rPr>
        <w:t>, což je hodnota menší, než kolik činí celorepublikový průměr (133,5 obyv./km</w:t>
      </w:r>
      <w:r w:rsidRPr="006070EA">
        <w:rPr>
          <w:rFonts w:asciiTheme="majorHAnsi" w:hAnsiTheme="majorHAnsi" w:cstheme="majorHAnsi"/>
          <w:color w:val="000000"/>
          <w:szCs w:val="18"/>
          <w:vertAlign w:val="superscript"/>
        </w:rPr>
        <w:t>2</w:t>
      </w:r>
      <w:r w:rsidRPr="006070EA">
        <w:rPr>
          <w:rFonts w:asciiTheme="majorHAnsi" w:hAnsiTheme="majorHAnsi" w:cstheme="majorHAnsi"/>
          <w:color w:val="000000"/>
          <w:szCs w:val="18"/>
        </w:rPr>
        <w:t>).</w:t>
      </w:r>
    </w:p>
    <w:p w14:paraId="4C2D19CC" w14:textId="211ADDE2" w:rsidR="0017066B" w:rsidRPr="006070EA" w:rsidRDefault="009E5E88" w:rsidP="0017066B">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Základní údaje o historickém vývoji počtu obyvatel v řešeném území jsou shrnuty v následujících tabulkách popisujících stavy obyvatelstva v rámci správního území Kostomlat nad Labem za období </w:t>
      </w:r>
      <w:proofErr w:type="gramStart"/>
      <w:r w:rsidRPr="006070EA">
        <w:rPr>
          <w:rFonts w:asciiTheme="majorHAnsi" w:hAnsiTheme="majorHAnsi" w:cstheme="majorHAnsi"/>
          <w:color w:val="000000"/>
          <w:szCs w:val="18"/>
        </w:rPr>
        <w:t xml:space="preserve">1869 </w:t>
      </w:r>
      <w:r w:rsidR="009457CF"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2011</w:t>
      </w:r>
      <w:proofErr w:type="gramEnd"/>
      <w:r w:rsidRPr="006070EA">
        <w:rPr>
          <w:rFonts w:asciiTheme="majorHAnsi" w:hAnsiTheme="majorHAnsi" w:cstheme="majorHAnsi"/>
          <w:color w:val="000000"/>
          <w:szCs w:val="18"/>
        </w:rPr>
        <w:t xml:space="preserve"> </w:t>
      </w:r>
      <w:r w:rsidR="009457CF" w:rsidRPr="006070EA">
        <w:rPr>
          <w:rFonts w:asciiTheme="majorHAnsi" w:hAnsiTheme="majorHAnsi" w:cstheme="majorHAnsi"/>
          <w:color w:val="000000"/>
          <w:szCs w:val="18"/>
        </w:rPr>
        <w:t xml:space="preserve">(historický vývoj počtu obyvatel) </w:t>
      </w:r>
      <w:r w:rsidRPr="006070EA">
        <w:rPr>
          <w:rFonts w:asciiTheme="majorHAnsi" w:hAnsiTheme="majorHAnsi" w:cstheme="majorHAnsi"/>
          <w:color w:val="000000"/>
          <w:szCs w:val="18"/>
        </w:rPr>
        <w:t xml:space="preserve">a v letech </w:t>
      </w:r>
      <w:proofErr w:type="gramStart"/>
      <w:r w:rsidRPr="006070EA">
        <w:rPr>
          <w:rFonts w:asciiTheme="majorHAnsi" w:hAnsiTheme="majorHAnsi" w:cstheme="majorHAnsi"/>
          <w:color w:val="000000"/>
          <w:szCs w:val="18"/>
        </w:rPr>
        <w:t>200</w:t>
      </w:r>
      <w:r w:rsidR="009457CF" w:rsidRPr="006070EA">
        <w:rPr>
          <w:rFonts w:asciiTheme="majorHAnsi" w:hAnsiTheme="majorHAnsi" w:cstheme="majorHAnsi"/>
          <w:color w:val="000000"/>
          <w:szCs w:val="18"/>
        </w:rPr>
        <w:t>6</w:t>
      </w:r>
      <w:r w:rsidRPr="006070EA">
        <w:rPr>
          <w:rFonts w:asciiTheme="majorHAnsi" w:hAnsiTheme="majorHAnsi" w:cstheme="majorHAnsi"/>
          <w:color w:val="000000"/>
          <w:szCs w:val="18"/>
        </w:rPr>
        <w:t xml:space="preserve"> </w:t>
      </w:r>
      <w:r w:rsidR="009457CF"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20</w:t>
      </w:r>
      <w:r w:rsidR="009457CF" w:rsidRPr="006070EA">
        <w:rPr>
          <w:rFonts w:asciiTheme="majorHAnsi" w:hAnsiTheme="majorHAnsi" w:cstheme="majorHAnsi"/>
          <w:color w:val="000000"/>
          <w:szCs w:val="18"/>
        </w:rPr>
        <w:t>21</w:t>
      </w:r>
      <w:proofErr w:type="gramEnd"/>
      <w:r w:rsidR="009457CF" w:rsidRPr="006070EA">
        <w:rPr>
          <w:rFonts w:asciiTheme="majorHAnsi" w:hAnsiTheme="majorHAnsi" w:cstheme="majorHAnsi"/>
          <w:color w:val="000000"/>
          <w:szCs w:val="18"/>
        </w:rPr>
        <w:t xml:space="preserve"> (vývoj uplynulých 20 let)</w:t>
      </w:r>
      <w:r w:rsidRPr="006070EA">
        <w:rPr>
          <w:rFonts w:asciiTheme="majorHAnsi" w:hAnsiTheme="majorHAnsi" w:cstheme="majorHAnsi"/>
          <w:color w:val="000000"/>
          <w:szCs w:val="18"/>
        </w:rPr>
        <w:t>.</w:t>
      </w:r>
      <w:r w:rsidR="0017066B" w:rsidRPr="006070EA">
        <w:rPr>
          <w:rFonts w:asciiTheme="majorHAnsi" w:hAnsiTheme="majorHAnsi" w:cstheme="majorHAnsi"/>
          <w:color w:val="000000"/>
          <w:szCs w:val="18"/>
        </w:rPr>
        <w:t xml:space="preserve"> </w:t>
      </w:r>
    </w:p>
    <w:p w14:paraId="4BA8BBC4" w14:textId="587212AA" w:rsidR="009E5E88" w:rsidRPr="006070EA" w:rsidRDefault="009E5E88" w:rsidP="009457CF">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Vývoj počtu obyvatel žijících ve správním území Kostomlat nad Labem se od počátku důvěryhodných záznamů až do 90. let 20. století z dlouhodobého hlediska pohybuje </w:t>
      </w:r>
      <w:r w:rsidR="009457CF" w:rsidRPr="006070EA">
        <w:rPr>
          <w:rFonts w:asciiTheme="majorHAnsi" w:hAnsiTheme="majorHAnsi" w:cstheme="majorHAnsi"/>
          <w:color w:val="000000"/>
          <w:szCs w:val="18"/>
        </w:rPr>
        <w:t>mezi</w:t>
      </w:r>
      <w:r w:rsidRPr="006070EA">
        <w:rPr>
          <w:rFonts w:asciiTheme="majorHAnsi" w:hAnsiTheme="majorHAnsi" w:cstheme="majorHAnsi"/>
          <w:color w:val="000000"/>
          <w:szCs w:val="18"/>
        </w:rPr>
        <w:t xml:space="preserve"> 1</w:t>
      </w:r>
      <w:r w:rsidR="009457CF" w:rsidRPr="006070EA">
        <w:rPr>
          <w:rFonts w:asciiTheme="majorHAnsi" w:hAnsiTheme="majorHAnsi" w:cstheme="majorHAnsi"/>
          <w:color w:val="000000"/>
          <w:szCs w:val="18"/>
        </w:rPr>
        <w:t xml:space="preserve"> </w:t>
      </w:r>
      <w:r w:rsidRPr="006070EA">
        <w:rPr>
          <w:rFonts w:asciiTheme="majorHAnsi" w:hAnsiTheme="majorHAnsi" w:cstheme="majorHAnsi"/>
          <w:color w:val="000000"/>
          <w:szCs w:val="18"/>
        </w:rPr>
        <w:t>600 – 1</w:t>
      </w:r>
      <w:r w:rsidR="009457CF" w:rsidRPr="006070EA">
        <w:rPr>
          <w:rFonts w:asciiTheme="majorHAnsi" w:hAnsiTheme="majorHAnsi" w:cstheme="majorHAnsi"/>
          <w:color w:val="000000"/>
          <w:szCs w:val="18"/>
        </w:rPr>
        <w:t> </w:t>
      </w:r>
      <w:r w:rsidRPr="006070EA">
        <w:rPr>
          <w:rFonts w:asciiTheme="majorHAnsi" w:hAnsiTheme="majorHAnsi" w:cstheme="majorHAnsi"/>
          <w:color w:val="000000"/>
          <w:szCs w:val="18"/>
        </w:rPr>
        <w:t>800</w:t>
      </w:r>
      <w:r w:rsidR="009457CF"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s občasnými výkyvy. Historického maxima 2</w:t>
      </w:r>
      <w:r w:rsidR="009457CF" w:rsidRPr="006070EA">
        <w:rPr>
          <w:rFonts w:asciiTheme="majorHAnsi" w:hAnsiTheme="majorHAnsi" w:cstheme="majorHAnsi"/>
          <w:color w:val="000000"/>
          <w:szCs w:val="18"/>
        </w:rPr>
        <w:t xml:space="preserve"> </w:t>
      </w:r>
      <w:r w:rsidRPr="006070EA">
        <w:rPr>
          <w:rFonts w:asciiTheme="majorHAnsi" w:hAnsiTheme="majorHAnsi" w:cstheme="majorHAnsi"/>
          <w:color w:val="000000"/>
          <w:szCs w:val="18"/>
        </w:rPr>
        <w:t xml:space="preserve">040 obyvatel bylo dosaženo </w:t>
      </w:r>
      <w:r w:rsidR="009457CF" w:rsidRPr="006070EA">
        <w:rPr>
          <w:rFonts w:asciiTheme="majorHAnsi" w:hAnsiTheme="majorHAnsi" w:cstheme="majorHAnsi"/>
          <w:color w:val="000000"/>
          <w:szCs w:val="18"/>
        </w:rPr>
        <w:t xml:space="preserve">k </w:t>
      </w:r>
      <w:r w:rsidRPr="006070EA">
        <w:rPr>
          <w:rFonts w:asciiTheme="majorHAnsi" w:hAnsiTheme="majorHAnsi" w:cstheme="majorHAnsi"/>
          <w:color w:val="000000"/>
          <w:szCs w:val="18"/>
        </w:rPr>
        <w:t xml:space="preserve">roku 1930. Od roku 2001 má počet obyvatel správního území </w:t>
      </w:r>
      <w:r w:rsidR="009457CF" w:rsidRPr="006070EA">
        <w:rPr>
          <w:rFonts w:asciiTheme="majorHAnsi" w:hAnsiTheme="majorHAnsi" w:cstheme="majorHAnsi"/>
          <w:color w:val="000000"/>
          <w:szCs w:val="18"/>
        </w:rPr>
        <w:t xml:space="preserve">dominantně </w:t>
      </w:r>
      <w:r w:rsidRPr="006070EA">
        <w:rPr>
          <w:rFonts w:asciiTheme="majorHAnsi" w:hAnsiTheme="majorHAnsi" w:cstheme="majorHAnsi"/>
          <w:color w:val="000000"/>
          <w:szCs w:val="18"/>
        </w:rPr>
        <w:t xml:space="preserve">vzrůstají tendenci kdy za období </w:t>
      </w:r>
      <w:proofErr w:type="gramStart"/>
      <w:r w:rsidRPr="006070EA">
        <w:rPr>
          <w:rFonts w:asciiTheme="majorHAnsi" w:hAnsiTheme="majorHAnsi" w:cstheme="majorHAnsi"/>
          <w:color w:val="000000"/>
          <w:szCs w:val="18"/>
        </w:rPr>
        <w:t>200</w:t>
      </w:r>
      <w:r w:rsidR="009457CF" w:rsidRPr="006070EA">
        <w:rPr>
          <w:rFonts w:asciiTheme="majorHAnsi" w:hAnsiTheme="majorHAnsi" w:cstheme="majorHAnsi"/>
          <w:color w:val="000000"/>
          <w:szCs w:val="18"/>
        </w:rPr>
        <w:t>6</w:t>
      </w:r>
      <w:r w:rsidRPr="006070EA">
        <w:rPr>
          <w:rFonts w:asciiTheme="majorHAnsi" w:hAnsiTheme="majorHAnsi" w:cstheme="majorHAnsi"/>
          <w:color w:val="000000"/>
          <w:szCs w:val="18"/>
        </w:rPr>
        <w:t xml:space="preserve"> – 20</w:t>
      </w:r>
      <w:r w:rsidR="009457CF" w:rsidRPr="006070EA">
        <w:rPr>
          <w:rFonts w:asciiTheme="majorHAnsi" w:hAnsiTheme="majorHAnsi" w:cstheme="majorHAnsi"/>
          <w:color w:val="000000"/>
          <w:szCs w:val="18"/>
        </w:rPr>
        <w:t>21</w:t>
      </w:r>
      <w:proofErr w:type="gramEnd"/>
      <w:r w:rsidRPr="006070EA">
        <w:rPr>
          <w:rFonts w:asciiTheme="majorHAnsi" w:hAnsiTheme="majorHAnsi" w:cstheme="majorHAnsi"/>
          <w:color w:val="000000"/>
          <w:szCs w:val="18"/>
        </w:rPr>
        <w:t xml:space="preserve"> vzrost počet o </w:t>
      </w:r>
      <w:r w:rsidR="009457CF" w:rsidRPr="006070EA">
        <w:rPr>
          <w:rFonts w:asciiTheme="majorHAnsi" w:hAnsiTheme="majorHAnsi" w:cstheme="majorHAnsi"/>
          <w:color w:val="000000"/>
          <w:szCs w:val="18"/>
        </w:rPr>
        <w:t>233</w:t>
      </w:r>
      <w:r w:rsidRPr="006070EA">
        <w:rPr>
          <w:rFonts w:asciiTheme="majorHAnsi" w:hAnsiTheme="majorHAnsi" w:cstheme="majorHAnsi"/>
          <w:color w:val="000000"/>
          <w:szCs w:val="18"/>
        </w:rPr>
        <w:t xml:space="preserve"> obyvatel.</w:t>
      </w:r>
    </w:p>
    <w:p w14:paraId="3EC66440" w14:textId="0FC81B70" w:rsidR="009E5E88" w:rsidRPr="006070EA" w:rsidRDefault="009E5E88" w:rsidP="009457CF">
      <w:pPr>
        <w:pStyle w:val="Anadpiskurzva"/>
        <w:spacing w:after="60"/>
        <w:rPr>
          <w:rFonts w:asciiTheme="majorHAnsi" w:hAnsiTheme="majorHAnsi" w:cstheme="majorHAnsi"/>
          <w:color w:val="000000"/>
          <w:szCs w:val="18"/>
        </w:rPr>
      </w:pPr>
      <w:r w:rsidRPr="006070EA">
        <w:rPr>
          <w:rFonts w:asciiTheme="majorHAnsi" w:hAnsiTheme="majorHAnsi" w:cstheme="majorHAnsi"/>
          <w:color w:val="000000"/>
          <w:szCs w:val="18"/>
        </w:rPr>
        <w:t xml:space="preserve">Tab.: Dlouhodobý vývoj počtu obyvatel ve správním </w:t>
      </w:r>
      <w:proofErr w:type="gramStart"/>
      <w:r w:rsidRPr="006070EA">
        <w:rPr>
          <w:rFonts w:asciiTheme="majorHAnsi" w:hAnsiTheme="majorHAnsi" w:cstheme="majorHAnsi"/>
          <w:color w:val="000000"/>
          <w:szCs w:val="18"/>
        </w:rPr>
        <w:t>území  Kostomlat</w:t>
      </w:r>
      <w:proofErr w:type="gramEnd"/>
      <w:r w:rsidRPr="006070EA">
        <w:rPr>
          <w:rFonts w:asciiTheme="majorHAnsi" w:hAnsiTheme="majorHAnsi" w:cstheme="majorHAnsi"/>
          <w:color w:val="000000"/>
          <w:szCs w:val="18"/>
        </w:rPr>
        <w:t xml:space="preserve"> nad Labem v období </w:t>
      </w:r>
      <w:proofErr w:type="gramStart"/>
      <w:r w:rsidRPr="006070EA">
        <w:rPr>
          <w:rFonts w:asciiTheme="majorHAnsi" w:hAnsiTheme="majorHAnsi" w:cstheme="majorHAnsi"/>
          <w:color w:val="000000"/>
          <w:szCs w:val="18"/>
        </w:rPr>
        <w:t>1869 – 201</w:t>
      </w:r>
      <w:r w:rsidR="00894820" w:rsidRPr="006070EA">
        <w:rPr>
          <w:rFonts w:asciiTheme="majorHAnsi" w:hAnsiTheme="majorHAnsi" w:cstheme="majorHAnsi"/>
          <w:color w:val="000000"/>
          <w:szCs w:val="18"/>
        </w:rPr>
        <w:t>1</w:t>
      </w:r>
      <w:proofErr w:type="gramEnd"/>
    </w:p>
    <w:tbl>
      <w:tblPr>
        <w:tblW w:w="9267" w:type="dxa"/>
        <w:jc w:val="center"/>
        <w:tblBorders>
          <w:insideH w:val="single" w:sz="4" w:space="0" w:color="auto"/>
          <w:insideV w:val="single" w:sz="4" w:space="0" w:color="auto"/>
        </w:tblBorders>
        <w:tblLayout w:type="fixed"/>
        <w:tblLook w:val="04A0" w:firstRow="1" w:lastRow="0" w:firstColumn="1" w:lastColumn="0" w:noHBand="0" w:noVBand="1"/>
      </w:tblPr>
      <w:tblGrid>
        <w:gridCol w:w="937"/>
        <w:gridCol w:w="595"/>
        <w:gridCol w:w="595"/>
        <w:gridCol w:w="595"/>
        <w:gridCol w:w="595"/>
        <w:gridCol w:w="595"/>
        <w:gridCol w:w="595"/>
        <w:gridCol w:w="595"/>
        <w:gridCol w:w="595"/>
        <w:gridCol w:w="595"/>
        <w:gridCol w:w="595"/>
        <w:gridCol w:w="595"/>
        <w:gridCol w:w="595"/>
        <w:gridCol w:w="595"/>
        <w:gridCol w:w="595"/>
      </w:tblGrid>
      <w:tr w:rsidR="009E5E88" w:rsidRPr="006070EA" w14:paraId="001E4C16" w14:textId="77777777" w:rsidTr="00F90B15">
        <w:trPr>
          <w:trHeight w:val="20"/>
          <w:jc w:val="center"/>
        </w:trPr>
        <w:tc>
          <w:tcPr>
            <w:tcW w:w="937" w:type="dxa"/>
            <w:tcBorders>
              <w:top w:val="nil"/>
              <w:left w:val="nil"/>
              <w:bottom w:val="single" w:sz="12" w:space="0" w:color="auto"/>
              <w:right w:val="single" w:sz="12" w:space="0" w:color="auto"/>
            </w:tcBorders>
            <w:vAlign w:val="center"/>
            <w:hideMark/>
          </w:tcPr>
          <w:p w14:paraId="5C00CD54"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rok</w:t>
            </w:r>
          </w:p>
        </w:tc>
        <w:tc>
          <w:tcPr>
            <w:tcW w:w="595" w:type="dxa"/>
            <w:tcBorders>
              <w:top w:val="nil"/>
              <w:left w:val="single" w:sz="12" w:space="0" w:color="auto"/>
              <w:bottom w:val="single" w:sz="12" w:space="0" w:color="auto"/>
              <w:right w:val="single" w:sz="12" w:space="0" w:color="auto"/>
            </w:tcBorders>
            <w:vAlign w:val="center"/>
            <w:hideMark/>
          </w:tcPr>
          <w:p w14:paraId="25D206CE" w14:textId="77777777" w:rsidR="009E5E88" w:rsidRPr="006070EA" w:rsidRDefault="009E5E88" w:rsidP="00FE1BD3">
            <w:pPr>
              <w:pStyle w:val="Bezmezer"/>
              <w:keepNext/>
              <w:ind w:left="-107"/>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1869</w:t>
            </w:r>
          </w:p>
        </w:tc>
        <w:tc>
          <w:tcPr>
            <w:tcW w:w="595" w:type="dxa"/>
            <w:tcBorders>
              <w:top w:val="nil"/>
              <w:left w:val="single" w:sz="12" w:space="0" w:color="auto"/>
              <w:bottom w:val="single" w:sz="12" w:space="0" w:color="auto"/>
              <w:right w:val="single" w:sz="12" w:space="0" w:color="auto"/>
            </w:tcBorders>
            <w:vAlign w:val="center"/>
            <w:hideMark/>
          </w:tcPr>
          <w:p w14:paraId="055BC6E9"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1880</w:t>
            </w:r>
          </w:p>
        </w:tc>
        <w:tc>
          <w:tcPr>
            <w:tcW w:w="595" w:type="dxa"/>
            <w:tcBorders>
              <w:top w:val="nil"/>
              <w:left w:val="single" w:sz="12" w:space="0" w:color="auto"/>
              <w:bottom w:val="single" w:sz="12" w:space="0" w:color="auto"/>
              <w:right w:val="single" w:sz="12" w:space="0" w:color="auto"/>
            </w:tcBorders>
            <w:vAlign w:val="center"/>
            <w:hideMark/>
          </w:tcPr>
          <w:p w14:paraId="2CEA835B"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1890</w:t>
            </w:r>
          </w:p>
        </w:tc>
        <w:tc>
          <w:tcPr>
            <w:tcW w:w="595" w:type="dxa"/>
            <w:tcBorders>
              <w:top w:val="nil"/>
              <w:left w:val="single" w:sz="12" w:space="0" w:color="auto"/>
              <w:bottom w:val="single" w:sz="12" w:space="0" w:color="auto"/>
              <w:right w:val="single" w:sz="12" w:space="0" w:color="auto"/>
            </w:tcBorders>
            <w:vAlign w:val="center"/>
            <w:hideMark/>
          </w:tcPr>
          <w:p w14:paraId="3BBE0211"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1900</w:t>
            </w:r>
          </w:p>
        </w:tc>
        <w:tc>
          <w:tcPr>
            <w:tcW w:w="595" w:type="dxa"/>
            <w:tcBorders>
              <w:top w:val="nil"/>
              <w:left w:val="single" w:sz="12" w:space="0" w:color="auto"/>
              <w:bottom w:val="single" w:sz="12" w:space="0" w:color="auto"/>
              <w:right w:val="single" w:sz="12" w:space="0" w:color="auto"/>
            </w:tcBorders>
            <w:vAlign w:val="center"/>
            <w:hideMark/>
          </w:tcPr>
          <w:p w14:paraId="03620F03"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1910</w:t>
            </w:r>
          </w:p>
        </w:tc>
        <w:tc>
          <w:tcPr>
            <w:tcW w:w="595" w:type="dxa"/>
            <w:tcBorders>
              <w:top w:val="nil"/>
              <w:left w:val="single" w:sz="12" w:space="0" w:color="auto"/>
              <w:bottom w:val="single" w:sz="12" w:space="0" w:color="auto"/>
              <w:right w:val="single" w:sz="12" w:space="0" w:color="auto"/>
            </w:tcBorders>
            <w:vAlign w:val="center"/>
            <w:hideMark/>
          </w:tcPr>
          <w:p w14:paraId="63E6887B"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1921</w:t>
            </w:r>
          </w:p>
        </w:tc>
        <w:tc>
          <w:tcPr>
            <w:tcW w:w="595" w:type="dxa"/>
            <w:tcBorders>
              <w:top w:val="nil"/>
              <w:left w:val="single" w:sz="12" w:space="0" w:color="auto"/>
              <w:bottom w:val="single" w:sz="12" w:space="0" w:color="auto"/>
              <w:right w:val="single" w:sz="12" w:space="0" w:color="auto"/>
            </w:tcBorders>
            <w:vAlign w:val="center"/>
            <w:hideMark/>
          </w:tcPr>
          <w:p w14:paraId="1E0EBED6"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1930</w:t>
            </w:r>
          </w:p>
        </w:tc>
        <w:tc>
          <w:tcPr>
            <w:tcW w:w="595" w:type="dxa"/>
            <w:tcBorders>
              <w:top w:val="nil"/>
              <w:left w:val="single" w:sz="12" w:space="0" w:color="auto"/>
              <w:bottom w:val="single" w:sz="12" w:space="0" w:color="auto"/>
              <w:right w:val="single" w:sz="12" w:space="0" w:color="auto"/>
            </w:tcBorders>
            <w:vAlign w:val="center"/>
            <w:hideMark/>
          </w:tcPr>
          <w:p w14:paraId="36BBDDA7"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1950</w:t>
            </w:r>
          </w:p>
        </w:tc>
        <w:tc>
          <w:tcPr>
            <w:tcW w:w="595" w:type="dxa"/>
            <w:tcBorders>
              <w:top w:val="nil"/>
              <w:left w:val="single" w:sz="12" w:space="0" w:color="auto"/>
              <w:bottom w:val="single" w:sz="12" w:space="0" w:color="auto"/>
              <w:right w:val="single" w:sz="12" w:space="0" w:color="auto"/>
            </w:tcBorders>
            <w:vAlign w:val="center"/>
            <w:hideMark/>
          </w:tcPr>
          <w:p w14:paraId="60331533"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1961</w:t>
            </w:r>
          </w:p>
        </w:tc>
        <w:tc>
          <w:tcPr>
            <w:tcW w:w="595" w:type="dxa"/>
            <w:tcBorders>
              <w:top w:val="nil"/>
              <w:left w:val="single" w:sz="12" w:space="0" w:color="auto"/>
              <w:bottom w:val="single" w:sz="12" w:space="0" w:color="auto"/>
              <w:right w:val="single" w:sz="12" w:space="0" w:color="auto"/>
            </w:tcBorders>
            <w:vAlign w:val="center"/>
            <w:hideMark/>
          </w:tcPr>
          <w:p w14:paraId="22C134F3"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1970</w:t>
            </w:r>
          </w:p>
        </w:tc>
        <w:tc>
          <w:tcPr>
            <w:tcW w:w="595" w:type="dxa"/>
            <w:tcBorders>
              <w:top w:val="nil"/>
              <w:left w:val="single" w:sz="12" w:space="0" w:color="auto"/>
              <w:bottom w:val="single" w:sz="12" w:space="0" w:color="auto"/>
              <w:right w:val="single" w:sz="12" w:space="0" w:color="auto"/>
            </w:tcBorders>
            <w:vAlign w:val="center"/>
            <w:hideMark/>
          </w:tcPr>
          <w:p w14:paraId="69190592"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1980</w:t>
            </w:r>
          </w:p>
        </w:tc>
        <w:tc>
          <w:tcPr>
            <w:tcW w:w="595" w:type="dxa"/>
            <w:tcBorders>
              <w:top w:val="nil"/>
              <w:left w:val="single" w:sz="12" w:space="0" w:color="auto"/>
              <w:bottom w:val="single" w:sz="12" w:space="0" w:color="auto"/>
              <w:right w:val="single" w:sz="12" w:space="0" w:color="auto"/>
            </w:tcBorders>
            <w:vAlign w:val="center"/>
            <w:hideMark/>
          </w:tcPr>
          <w:p w14:paraId="7FF7B430"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1991</w:t>
            </w:r>
          </w:p>
        </w:tc>
        <w:tc>
          <w:tcPr>
            <w:tcW w:w="595" w:type="dxa"/>
            <w:tcBorders>
              <w:top w:val="nil"/>
              <w:left w:val="single" w:sz="12" w:space="0" w:color="auto"/>
              <w:bottom w:val="single" w:sz="12" w:space="0" w:color="auto"/>
              <w:right w:val="single" w:sz="4" w:space="0" w:color="auto"/>
            </w:tcBorders>
            <w:vAlign w:val="center"/>
            <w:hideMark/>
          </w:tcPr>
          <w:p w14:paraId="5CC882D5"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2001</w:t>
            </w:r>
          </w:p>
        </w:tc>
        <w:tc>
          <w:tcPr>
            <w:tcW w:w="595" w:type="dxa"/>
            <w:tcBorders>
              <w:top w:val="nil"/>
              <w:left w:val="single" w:sz="12" w:space="0" w:color="auto"/>
              <w:bottom w:val="single" w:sz="12" w:space="0" w:color="auto"/>
              <w:right w:val="nil"/>
            </w:tcBorders>
            <w:vAlign w:val="center"/>
          </w:tcPr>
          <w:p w14:paraId="135006B7" w14:textId="77777777" w:rsidR="009E5E88" w:rsidRPr="006070EA" w:rsidRDefault="009E5E88" w:rsidP="00FE1BD3">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2011</w:t>
            </w:r>
          </w:p>
        </w:tc>
      </w:tr>
      <w:tr w:rsidR="009E5E88" w:rsidRPr="006070EA" w14:paraId="39A85D10" w14:textId="77777777" w:rsidTr="00F90B15">
        <w:trPr>
          <w:trHeight w:val="20"/>
          <w:jc w:val="center"/>
        </w:trPr>
        <w:tc>
          <w:tcPr>
            <w:tcW w:w="937" w:type="dxa"/>
            <w:tcBorders>
              <w:top w:val="single" w:sz="12" w:space="0" w:color="auto"/>
              <w:left w:val="nil"/>
              <w:bottom w:val="nil"/>
              <w:right w:val="single" w:sz="4" w:space="0" w:color="auto"/>
            </w:tcBorders>
            <w:vAlign w:val="center"/>
            <w:hideMark/>
          </w:tcPr>
          <w:p w14:paraId="2559A4E9" w14:textId="1CB5EEBD" w:rsidR="009E5E88" w:rsidRPr="006070EA" w:rsidRDefault="00F90B15" w:rsidP="00FE1BD3">
            <w:pPr>
              <w:pStyle w:val="Bezmezer"/>
              <w:jc w:val="center"/>
              <w:rPr>
                <w:rFonts w:asciiTheme="majorHAnsi" w:hAnsiTheme="majorHAnsi" w:cstheme="majorHAnsi"/>
                <w:b/>
                <w:color w:val="000000"/>
                <w:szCs w:val="18"/>
                <w:lang w:val="cs-CZ"/>
              </w:rPr>
            </w:pPr>
            <w:r w:rsidRPr="006070EA">
              <w:rPr>
                <w:rFonts w:asciiTheme="majorHAnsi" w:hAnsiTheme="majorHAnsi" w:cstheme="majorHAnsi"/>
                <w:bCs/>
                <w:color w:val="000000"/>
                <w:szCs w:val="18"/>
                <w:lang w:val="cs-CZ"/>
              </w:rPr>
              <w:t>p</w:t>
            </w:r>
            <w:r w:rsidR="00894820" w:rsidRPr="006070EA">
              <w:rPr>
                <w:rFonts w:asciiTheme="majorHAnsi" w:hAnsiTheme="majorHAnsi" w:cstheme="majorHAnsi"/>
                <w:bCs/>
                <w:color w:val="000000"/>
                <w:szCs w:val="18"/>
                <w:lang w:val="cs-CZ"/>
              </w:rPr>
              <w:t>očet</w:t>
            </w:r>
            <w:r w:rsidRPr="006070EA">
              <w:rPr>
                <w:rFonts w:asciiTheme="majorHAnsi" w:hAnsiTheme="majorHAnsi" w:cstheme="majorHAnsi"/>
                <w:bCs/>
                <w:color w:val="000000"/>
                <w:szCs w:val="18"/>
                <w:lang w:val="cs-CZ"/>
              </w:rPr>
              <w:t xml:space="preserve"> </w:t>
            </w:r>
            <w:r w:rsidR="00894820" w:rsidRPr="006070EA">
              <w:rPr>
                <w:rFonts w:asciiTheme="majorHAnsi" w:hAnsiTheme="majorHAnsi" w:cstheme="majorHAnsi"/>
                <w:bCs/>
                <w:color w:val="000000"/>
                <w:szCs w:val="18"/>
                <w:lang w:val="cs-CZ"/>
              </w:rPr>
              <w:t>ob</w:t>
            </w:r>
            <w:r w:rsidRPr="006070EA">
              <w:rPr>
                <w:rFonts w:asciiTheme="majorHAnsi" w:hAnsiTheme="majorHAnsi" w:cstheme="majorHAnsi"/>
                <w:bCs/>
                <w:color w:val="000000"/>
                <w:szCs w:val="18"/>
                <w:lang w:val="cs-CZ"/>
              </w:rPr>
              <w:t>.</w:t>
            </w:r>
          </w:p>
        </w:tc>
        <w:tc>
          <w:tcPr>
            <w:tcW w:w="595" w:type="dxa"/>
            <w:tcBorders>
              <w:top w:val="single" w:sz="12" w:space="0" w:color="auto"/>
              <w:left w:val="single" w:sz="4" w:space="0" w:color="auto"/>
              <w:bottom w:val="nil"/>
              <w:right w:val="single" w:sz="4" w:space="0" w:color="auto"/>
            </w:tcBorders>
            <w:vAlign w:val="center"/>
          </w:tcPr>
          <w:p w14:paraId="780265BC" w14:textId="04A5DD25"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1593</w:t>
            </w:r>
          </w:p>
        </w:tc>
        <w:tc>
          <w:tcPr>
            <w:tcW w:w="595" w:type="dxa"/>
            <w:tcBorders>
              <w:top w:val="single" w:sz="12" w:space="0" w:color="auto"/>
              <w:left w:val="single" w:sz="4" w:space="0" w:color="auto"/>
              <w:bottom w:val="nil"/>
              <w:right w:val="single" w:sz="4" w:space="0" w:color="auto"/>
            </w:tcBorders>
            <w:vAlign w:val="center"/>
          </w:tcPr>
          <w:p w14:paraId="0F05CF1E" w14:textId="49EF83F3"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1812</w:t>
            </w:r>
          </w:p>
        </w:tc>
        <w:tc>
          <w:tcPr>
            <w:tcW w:w="595" w:type="dxa"/>
            <w:tcBorders>
              <w:top w:val="single" w:sz="12" w:space="0" w:color="auto"/>
              <w:left w:val="single" w:sz="4" w:space="0" w:color="auto"/>
              <w:bottom w:val="nil"/>
              <w:right w:val="single" w:sz="4" w:space="0" w:color="auto"/>
            </w:tcBorders>
            <w:vAlign w:val="center"/>
          </w:tcPr>
          <w:p w14:paraId="3BE0D236" w14:textId="50AAF7C1"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1913</w:t>
            </w:r>
          </w:p>
        </w:tc>
        <w:tc>
          <w:tcPr>
            <w:tcW w:w="595" w:type="dxa"/>
            <w:tcBorders>
              <w:top w:val="single" w:sz="12" w:space="0" w:color="auto"/>
              <w:left w:val="single" w:sz="4" w:space="0" w:color="auto"/>
              <w:bottom w:val="nil"/>
              <w:right w:val="single" w:sz="4" w:space="0" w:color="auto"/>
            </w:tcBorders>
            <w:vAlign w:val="center"/>
          </w:tcPr>
          <w:p w14:paraId="7A4C6F66" w14:textId="7038DE09"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1781</w:t>
            </w:r>
          </w:p>
        </w:tc>
        <w:tc>
          <w:tcPr>
            <w:tcW w:w="595" w:type="dxa"/>
            <w:tcBorders>
              <w:top w:val="single" w:sz="12" w:space="0" w:color="auto"/>
              <w:left w:val="single" w:sz="4" w:space="0" w:color="auto"/>
              <w:bottom w:val="nil"/>
              <w:right w:val="single" w:sz="4" w:space="0" w:color="auto"/>
            </w:tcBorders>
            <w:vAlign w:val="center"/>
          </w:tcPr>
          <w:p w14:paraId="4DAF66E0" w14:textId="0F8EB16A"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1718</w:t>
            </w:r>
          </w:p>
        </w:tc>
        <w:tc>
          <w:tcPr>
            <w:tcW w:w="595" w:type="dxa"/>
            <w:tcBorders>
              <w:top w:val="single" w:sz="12" w:space="0" w:color="auto"/>
              <w:left w:val="single" w:sz="4" w:space="0" w:color="auto"/>
              <w:bottom w:val="nil"/>
              <w:right w:val="single" w:sz="4" w:space="0" w:color="auto"/>
            </w:tcBorders>
            <w:vAlign w:val="center"/>
          </w:tcPr>
          <w:p w14:paraId="64ACE45D" w14:textId="4CB9D0DE"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1906</w:t>
            </w:r>
          </w:p>
        </w:tc>
        <w:tc>
          <w:tcPr>
            <w:tcW w:w="595" w:type="dxa"/>
            <w:tcBorders>
              <w:top w:val="single" w:sz="12" w:space="0" w:color="auto"/>
              <w:left w:val="single" w:sz="4" w:space="0" w:color="auto"/>
              <w:bottom w:val="nil"/>
              <w:right w:val="single" w:sz="4" w:space="0" w:color="auto"/>
            </w:tcBorders>
            <w:vAlign w:val="center"/>
          </w:tcPr>
          <w:p w14:paraId="7B5F1DEC" w14:textId="122FBEDD"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2040</w:t>
            </w:r>
          </w:p>
        </w:tc>
        <w:tc>
          <w:tcPr>
            <w:tcW w:w="595" w:type="dxa"/>
            <w:tcBorders>
              <w:top w:val="single" w:sz="12" w:space="0" w:color="auto"/>
              <w:left w:val="single" w:sz="4" w:space="0" w:color="auto"/>
              <w:bottom w:val="nil"/>
              <w:right w:val="single" w:sz="4" w:space="0" w:color="auto"/>
            </w:tcBorders>
            <w:vAlign w:val="center"/>
          </w:tcPr>
          <w:p w14:paraId="21DE3207" w14:textId="62487EA7"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1912</w:t>
            </w:r>
          </w:p>
        </w:tc>
        <w:tc>
          <w:tcPr>
            <w:tcW w:w="595" w:type="dxa"/>
            <w:tcBorders>
              <w:top w:val="single" w:sz="12" w:space="0" w:color="auto"/>
              <w:left w:val="single" w:sz="4" w:space="0" w:color="auto"/>
              <w:bottom w:val="nil"/>
              <w:right w:val="single" w:sz="4" w:space="0" w:color="auto"/>
            </w:tcBorders>
            <w:vAlign w:val="center"/>
          </w:tcPr>
          <w:p w14:paraId="577F6DB9" w14:textId="1146C035"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1857</w:t>
            </w:r>
          </w:p>
        </w:tc>
        <w:tc>
          <w:tcPr>
            <w:tcW w:w="595" w:type="dxa"/>
            <w:tcBorders>
              <w:top w:val="single" w:sz="12" w:space="0" w:color="auto"/>
              <w:left w:val="single" w:sz="4" w:space="0" w:color="auto"/>
              <w:bottom w:val="nil"/>
              <w:right w:val="single" w:sz="4" w:space="0" w:color="auto"/>
            </w:tcBorders>
            <w:vAlign w:val="center"/>
          </w:tcPr>
          <w:p w14:paraId="110D64AD" w14:textId="3F8FF8C0"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1764</w:t>
            </w:r>
          </w:p>
        </w:tc>
        <w:tc>
          <w:tcPr>
            <w:tcW w:w="595" w:type="dxa"/>
            <w:tcBorders>
              <w:top w:val="single" w:sz="12" w:space="0" w:color="auto"/>
              <w:left w:val="single" w:sz="4" w:space="0" w:color="auto"/>
              <w:bottom w:val="nil"/>
              <w:right w:val="single" w:sz="4" w:space="0" w:color="auto"/>
            </w:tcBorders>
            <w:vAlign w:val="center"/>
          </w:tcPr>
          <w:p w14:paraId="64398BE1" w14:textId="1DA78B19"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1702</w:t>
            </w:r>
          </w:p>
        </w:tc>
        <w:tc>
          <w:tcPr>
            <w:tcW w:w="595" w:type="dxa"/>
            <w:tcBorders>
              <w:top w:val="single" w:sz="12" w:space="0" w:color="auto"/>
              <w:left w:val="single" w:sz="4" w:space="0" w:color="auto"/>
              <w:bottom w:val="nil"/>
              <w:right w:val="single" w:sz="4" w:space="0" w:color="auto"/>
            </w:tcBorders>
            <w:vAlign w:val="center"/>
          </w:tcPr>
          <w:p w14:paraId="02AC962F" w14:textId="6B9DBEA4"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1629</w:t>
            </w:r>
          </w:p>
        </w:tc>
        <w:tc>
          <w:tcPr>
            <w:tcW w:w="595" w:type="dxa"/>
            <w:tcBorders>
              <w:top w:val="single" w:sz="12" w:space="0" w:color="auto"/>
              <w:left w:val="single" w:sz="4" w:space="0" w:color="auto"/>
              <w:bottom w:val="nil"/>
              <w:right w:val="single" w:sz="4" w:space="0" w:color="auto"/>
            </w:tcBorders>
            <w:vAlign w:val="center"/>
          </w:tcPr>
          <w:p w14:paraId="14CC6003" w14:textId="7CD3FCFF"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1633</w:t>
            </w:r>
          </w:p>
        </w:tc>
        <w:tc>
          <w:tcPr>
            <w:tcW w:w="595" w:type="dxa"/>
            <w:tcBorders>
              <w:top w:val="single" w:sz="12" w:space="0" w:color="auto"/>
              <w:left w:val="single" w:sz="4" w:space="0" w:color="auto"/>
              <w:bottom w:val="nil"/>
              <w:right w:val="nil"/>
            </w:tcBorders>
            <w:vAlign w:val="center"/>
          </w:tcPr>
          <w:p w14:paraId="7F8C04FD" w14:textId="77777777" w:rsidR="009E5E88" w:rsidRPr="006070EA" w:rsidRDefault="009E5E88" w:rsidP="00FE1BD3">
            <w:pPr>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1785</w:t>
            </w:r>
          </w:p>
        </w:tc>
      </w:tr>
    </w:tbl>
    <w:p w14:paraId="49179088" w14:textId="3ED6BCF1" w:rsidR="009E5E88" w:rsidRPr="006070EA" w:rsidRDefault="009E5E88" w:rsidP="0017066B">
      <w:pPr>
        <w:pStyle w:val="Atextkurzva"/>
        <w:spacing w:after="60"/>
        <w:rPr>
          <w:rFonts w:asciiTheme="majorHAnsi" w:hAnsiTheme="majorHAnsi" w:cstheme="majorHAnsi"/>
          <w:color w:val="000000"/>
          <w:szCs w:val="18"/>
        </w:rPr>
      </w:pPr>
      <w:r w:rsidRPr="006070EA">
        <w:rPr>
          <w:rFonts w:asciiTheme="majorHAnsi" w:hAnsiTheme="majorHAnsi" w:cstheme="majorHAnsi"/>
          <w:color w:val="000000"/>
          <w:szCs w:val="18"/>
        </w:rPr>
        <w:lastRenderedPageBreak/>
        <w:t xml:space="preserve">Graf: Dlouhodobý vývoj počtu obyvatel ve správním území Kostomlat nad Labem v období </w:t>
      </w:r>
      <w:proofErr w:type="gramStart"/>
      <w:r w:rsidRPr="006070EA">
        <w:rPr>
          <w:rFonts w:asciiTheme="majorHAnsi" w:hAnsiTheme="majorHAnsi" w:cstheme="majorHAnsi"/>
          <w:color w:val="000000"/>
          <w:szCs w:val="18"/>
        </w:rPr>
        <w:t>1869 – 2011</w:t>
      </w:r>
      <w:proofErr w:type="gramEnd"/>
    </w:p>
    <w:p w14:paraId="281089D3" w14:textId="52E1D1E2" w:rsidR="009E5E88" w:rsidRPr="006070EA" w:rsidRDefault="0017066B" w:rsidP="009E5E88">
      <w:pPr>
        <w:pStyle w:val="Atext"/>
        <w:ind w:firstLine="0"/>
        <w:rPr>
          <w:rFonts w:asciiTheme="majorHAnsi" w:hAnsiTheme="majorHAnsi" w:cstheme="majorHAnsi"/>
          <w:color w:val="000000"/>
          <w:szCs w:val="18"/>
        </w:rPr>
      </w:pPr>
      <w:r w:rsidRPr="006070EA">
        <w:rPr>
          <w:rFonts w:asciiTheme="majorHAnsi" w:hAnsiTheme="majorHAnsi" w:cstheme="majorHAnsi"/>
          <w:noProof/>
        </w:rPr>
        <w:drawing>
          <wp:inline distT="0" distB="0" distL="0" distR="0" wp14:anchorId="3C3DB2BA" wp14:editId="5C8AD3EC">
            <wp:extent cx="5759450" cy="2159635"/>
            <wp:effectExtent l="0" t="0" r="0" b="0"/>
            <wp:docPr id="2" name="Graf 2">
              <a:extLst xmlns:a="http://schemas.openxmlformats.org/drawingml/2006/main">
                <a:ext uri="{FF2B5EF4-FFF2-40B4-BE49-F238E27FC236}">
                  <a16:creationId xmlns:a16="http://schemas.microsoft.com/office/drawing/2014/main" id="{9E7230FB-2296-4631-86AF-D2B2B05EE72D}"/>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58C37FB" w14:textId="5F2B4DC8" w:rsidR="009E5E88" w:rsidRPr="006070EA" w:rsidRDefault="009E5E88" w:rsidP="0017066B">
      <w:pPr>
        <w:pStyle w:val="Anadpiskurzva"/>
        <w:spacing w:after="60"/>
        <w:rPr>
          <w:rFonts w:asciiTheme="majorHAnsi" w:hAnsiTheme="majorHAnsi" w:cstheme="majorHAnsi"/>
          <w:color w:val="000000"/>
          <w:szCs w:val="18"/>
        </w:rPr>
      </w:pPr>
      <w:r w:rsidRPr="006070EA">
        <w:rPr>
          <w:rFonts w:asciiTheme="majorHAnsi" w:hAnsiTheme="majorHAnsi" w:cstheme="majorHAnsi"/>
          <w:color w:val="000000"/>
          <w:szCs w:val="18"/>
        </w:rPr>
        <w:t xml:space="preserve">Tab.: Vývoj počtu obyvatel ve správním území Kostomlat nad Labem v letech </w:t>
      </w:r>
      <w:proofErr w:type="gramStart"/>
      <w:r w:rsidRPr="006070EA">
        <w:rPr>
          <w:rFonts w:asciiTheme="majorHAnsi" w:hAnsiTheme="majorHAnsi" w:cstheme="majorHAnsi"/>
          <w:color w:val="000000"/>
          <w:szCs w:val="18"/>
        </w:rPr>
        <w:t>200</w:t>
      </w:r>
      <w:r w:rsidR="0017066B" w:rsidRPr="006070EA">
        <w:rPr>
          <w:rFonts w:asciiTheme="majorHAnsi" w:hAnsiTheme="majorHAnsi" w:cstheme="majorHAnsi"/>
          <w:color w:val="000000"/>
          <w:szCs w:val="18"/>
        </w:rPr>
        <w:t>6</w:t>
      </w:r>
      <w:r w:rsidRPr="006070EA">
        <w:rPr>
          <w:rFonts w:asciiTheme="majorHAnsi" w:hAnsiTheme="majorHAnsi" w:cstheme="majorHAnsi"/>
          <w:color w:val="000000"/>
          <w:szCs w:val="18"/>
        </w:rPr>
        <w:t xml:space="preserve"> </w:t>
      </w:r>
      <w:r w:rsidR="0017066B"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20</w:t>
      </w:r>
      <w:r w:rsidR="0017066B" w:rsidRPr="006070EA">
        <w:rPr>
          <w:rFonts w:asciiTheme="majorHAnsi" w:hAnsiTheme="majorHAnsi" w:cstheme="majorHAnsi"/>
          <w:color w:val="000000"/>
          <w:szCs w:val="18"/>
        </w:rPr>
        <w:t>21</w:t>
      </w:r>
      <w:proofErr w:type="gramEnd"/>
      <w:r w:rsidRPr="006070EA">
        <w:rPr>
          <w:rFonts w:asciiTheme="majorHAnsi" w:hAnsiTheme="majorHAnsi" w:cstheme="majorHAnsi"/>
          <w:color w:val="000000"/>
          <w:szCs w:val="18"/>
        </w:rPr>
        <w:t xml:space="preserve"> (stav k 31. 12., dle ČSÚ)</w:t>
      </w:r>
    </w:p>
    <w:tbl>
      <w:tblPr>
        <w:tblW w:w="10219" w:type="dxa"/>
        <w:jc w:val="center"/>
        <w:tblBorders>
          <w:insideH w:val="single" w:sz="4" w:space="0" w:color="auto"/>
          <w:insideV w:val="single" w:sz="4" w:space="0" w:color="auto"/>
        </w:tblBorders>
        <w:tblLook w:val="04A0" w:firstRow="1" w:lastRow="0" w:firstColumn="1" w:lastColumn="0" w:noHBand="0" w:noVBand="1"/>
      </w:tblPr>
      <w:tblGrid>
        <w:gridCol w:w="907"/>
        <w:gridCol w:w="582"/>
        <w:gridCol w:w="582"/>
        <w:gridCol w:w="582"/>
        <w:gridCol w:w="582"/>
        <w:gridCol w:w="582"/>
        <w:gridCol w:w="582"/>
        <w:gridCol w:w="582"/>
        <w:gridCol w:w="582"/>
        <w:gridCol w:w="582"/>
        <w:gridCol w:w="582"/>
        <w:gridCol w:w="582"/>
        <w:gridCol w:w="582"/>
        <w:gridCol w:w="582"/>
        <w:gridCol w:w="582"/>
        <w:gridCol w:w="582"/>
        <w:gridCol w:w="582"/>
      </w:tblGrid>
      <w:tr w:rsidR="0017066B" w:rsidRPr="006070EA" w14:paraId="48956749" w14:textId="2307EBD7" w:rsidTr="00F90B15">
        <w:trPr>
          <w:trHeight w:val="283"/>
          <w:jc w:val="center"/>
        </w:trPr>
        <w:tc>
          <w:tcPr>
            <w:tcW w:w="907" w:type="dxa"/>
            <w:tcBorders>
              <w:top w:val="nil"/>
              <w:left w:val="nil"/>
              <w:bottom w:val="single" w:sz="12" w:space="0" w:color="auto"/>
              <w:right w:val="single" w:sz="12" w:space="0" w:color="auto"/>
            </w:tcBorders>
            <w:vAlign w:val="center"/>
            <w:hideMark/>
          </w:tcPr>
          <w:p w14:paraId="6F4C5A31"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rok</w:t>
            </w:r>
          </w:p>
        </w:tc>
        <w:tc>
          <w:tcPr>
            <w:tcW w:w="582" w:type="dxa"/>
            <w:tcBorders>
              <w:top w:val="nil"/>
              <w:left w:val="single" w:sz="12" w:space="0" w:color="auto"/>
              <w:bottom w:val="single" w:sz="12" w:space="0" w:color="auto"/>
              <w:right w:val="single" w:sz="12" w:space="0" w:color="auto"/>
            </w:tcBorders>
            <w:vAlign w:val="center"/>
          </w:tcPr>
          <w:p w14:paraId="57924841"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2006</w:t>
            </w:r>
          </w:p>
        </w:tc>
        <w:tc>
          <w:tcPr>
            <w:tcW w:w="582" w:type="dxa"/>
            <w:tcBorders>
              <w:top w:val="nil"/>
              <w:left w:val="single" w:sz="12" w:space="0" w:color="auto"/>
              <w:bottom w:val="single" w:sz="12" w:space="0" w:color="auto"/>
              <w:right w:val="single" w:sz="12" w:space="0" w:color="auto"/>
            </w:tcBorders>
            <w:vAlign w:val="center"/>
          </w:tcPr>
          <w:p w14:paraId="21EAD050"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2007</w:t>
            </w:r>
          </w:p>
        </w:tc>
        <w:tc>
          <w:tcPr>
            <w:tcW w:w="582" w:type="dxa"/>
            <w:tcBorders>
              <w:top w:val="nil"/>
              <w:left w:val="single" w:sz="12" w:space="0" w:color="auto"/>
              <w:bottom w:val="single" w:sz="12" w:space="0" w:color="auto"/>
              <w:right w:val="single" w:sz="12" w:space="0" w:color="auto"/>
            </w:tcBorders>
            <w:vAlign w:val="center"/>
          </w:tcPr>
          <w:p w14:paraId="484659B7"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2008</w:t>
            </w:r>
          </w:p>
        </w:tc>
        <w:tc>
          <w:tcPr>
            <w:tcW w:w="582" w:type="dxa"/>
            <w:tcBorders>
              <w:top w:val="nil"/>
              <w:left w:val="single" w:sz="12" w:space="0" w:color="auto"/>
              <w:bottom w:val="single" w:sz="12" w:space="0" w:color="auto"/>
              <w:right w:val="single" w:sz="12" w:space="0" w:color="auto"/>
            </w:tcBorders>
            <w:vAlign w:val="center"/>
          </w:tcPr>
          <w:p w14:paraId="4DEC945A"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2009</w:t>
            </w:r>
          </w:p>
        </w:tc>
        <w:tc>
          <w:tcPr>
            <w:tcW w:w="582" w:type="dxa"/>
            <w:tcBorders>
              <w:top w:val="nil"/>
              <w:left w:val="single" w:sz="12" w:space="0" w:color="auto"/>
              <w:bottom w:val="single" w:sz="12" w:space="0" w:color="auto"/>
              <w:right w:val="single" w:sz="12" w:space="0" w:color="auto"/>
            </w:tcBorders>
            <w:vAlign w:val="center"/>
          </w:tcPr>
          <w:p w14:paraId="0804167E"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2010</w:t>
            </w:r>
          </w:p>
        </w:tc>
        <w:tc>
          <w:tcPr>
            <w:tcW w:w="582" w:type="dxa"/>
            <w:tcBorders>
              <w:top w:val="nil"/>
              <w:left w:val="single" w:sz="12" w:space="0" w:color="auto"/>
              <w:bottom w:val="single" w:sz="12" w:space="0" w:color="auto"/>
              <w:right w:val="single" w:sz="12" w:space="0" w:color="auto"/>
            </w:tcBorders>
            <w:vAlign w:val="center"/>
          </w:tcPr>
          <w:p w14:paraId="1FDF926D"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2011</w:t>
            </w:r>
          </w:p>
        </w:tc>
        <w:tc>
          <w:tcPr>
            <w:tcW w:w="582" w:type="dxa"/>
            <w:tcBorders>
              <w:top w:val="nil"/>
              <w:left w:val="single" w:sz="12" w:space="0" w:color="auto"/>
              <w:bottom w:val="single" w:sz="12" w:space="0" w:color="auto"/>
              <w:right w:val="single" w:sz="12" w:space="0" w:color="auto"/>
            </w:tcBorders>
            <w:vAlign w:val="center"/>
          </w:tcPr>
          <w:p w14:paraId="5F013158"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2012</w:t>
            </w:r>
          </w:p>
        </w:tc>
        <w:tc>
          <w:tcPr>
            <w:tcW w:w="582" w:type="dxa"/>
            <w:tcBorders>
              <w:top w:val="nil"/>
              <w:left w:val="single" w:sz="12" w:space="0" w:color="auto"/>
              <w:bottom w:val="single" w:sz="12" w:space="0" w:color="auto"/>
              <w:right w:val="single" w:sz="12" w:space="0" w:color="auto"/>
            </w:tcBorders>
            <w:vAlign w:val="center"/>
          </w:tcPr>
          <w:p w14:paraId="4BCEDD53"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2013</w:t>
            </w:r>
          </w:p>
        </w:tc>
        <w:tc>
          <w:tcPr>
            <w:tcW w:w="582" w:type="dxa"/>
            <w:tcBorders>
              <w:top w:val="nil"/>
              <w:left w:val="single" w:sz="12" w:space="0" w:color="auto"/>
              <w:bottom w:val="single" w:sz="12" w:space="0" w:color="auto"/>
              <w:right w:val="single" w:sz="12" w:space="0" w:color="auto"/>
            </w:tcBorders>
            <w:vAlign w:val="center"/>
          </w:tcPr>
          <w:p w14:paraId="5A0DA99E"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2014</w:t>
            </w:r>
          </w:p>
        </w:tc>
        <w:tc>
          <w:tcPr>
            <w:tcW w:w="582" w:type="dxa"/>
            <w:tcBorders>
              <w:top w:val="nil"/>
              <w:left w:val="single" w:sz="12" w:space="0" w:color="auto"/>
              <w:bottom w:val="single" w:sz="12" w:space="0" w:color="auto"/>
              <w:right w:val="single" w:sz="4" w:space="0" w:color="auto"/>
            </w:tcBorders>
            <w:vAlign w:val="center"/>
          </w:tcPr>
          <w:p w14:paraId="593104E3" w14:textId="77777777"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2015</w:t>
            </w:r>
          </w:p>
        </w:tc>
        <w:tc>
          <w:tcPr>
            <w:tcW w:w="582" w:type="dxa"/>
            <w:tcBorders>
              <w:top w:val="nil"/>
              <w:left w:val="single" w:sz="12" w:space="0" w:color="auto"/>
              <w:bottom w:val="single" w:sz="12" w:space="0" w:color="auto"/>
              <w:right w:val="single" w:sz="4" w:space="0" w:color="auto"/>
            </w:tcBorders>
            <w:vAlign w:val="center"/>
          </w:tcPr>
          <w:p w14:paraId="3BEF0A2D" w14:textId="5896FCDD"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2016</w:t>
            </w:r>
          </w:p>
        </w:tc>
        <w:tc>
          <w:tcPr>
            <w:tcW w:w="582" w:type="dxa"/>
            <w:tcBorders>
              <w:top w:val="nil"/>
              <w:left w:val="single" w:sz="12" w:space="0" w:color="auto"/>
              <w:bottom w:val="single" w:sz="12" w:space="0" w:color="auto"/>
              <w:right w:val="single" w:sz="4" w:space="0" w:color="auto"/>
            </w:tcBorders>
            <w:vAlign w:val="center"/>
          </w:tcPr>
          <w:p w14:paraId="3FCF9CF7" w14:textId="5604BE7E"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2017</w:t>
            </w:r>
          </w:p>
        </w:tc>
        <w:tc>
          <w:tcPr>
            <w:tcW w:w="582" w:type="dxa"/>
            <w:tcBorders>
              <w:top w:val="nil"/>
              <w:left w:val="single" w:sz="12" w:space="0" w:color="auto"/>
              <w:bottom w:val="single" w:sz="12" w:space="0" w:color="auto"/>
              <w:right w:val="single" w:sz="4" w:space="0" w:color="auto"/>
            </w:tcBorders>
            <w:vAlign w:val="center"/>
          </w:tcPr>
          <w:p w14:paraId="33A863C5" w14:textId="597EA06C"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2018</w:t>
            </w:r>
          </w:p>
        </w:tc>
        <w:tc>
          <w:tcPr>
            <w:tcW w:w="582" w:type="dxa"/>
            <w:tcBorders>
              <w:top w:val="nil"/>
              <w:left w:val="single" w:sz="12" w:space="0" w:color="auto"/>
              <w:bottom w:val="single" w:sz="12" w:space="0" w:color="auto"/>
              <w:right w:val="single" w:sz="4" w:space="0" w:color="auto"/>
            </w:tcBorders>
            <w:vAlign w:val="center"/>
          </w:tcPr>
          <w:p w14:paraId="2A5B162A" w14:textId="26AF19C1"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2019</w:t>
            </w:r>
          </w:p>
        </w:tc>
        <w:tc>
          <w:tcPr>
            <w:tcW w:w="582" w:type="dxa"/>
            <w:tcBorders>
              <w:top w:val="nil"/>
              <w:left w:val="single" w:sz="12" w:space="0" w:color="auto"/>
              <w:bottom w:val="single" w:sz="12" w:space="0" w:color="auto"/>
              <w:right w:val="single" w:sz="4" w:space="0" w:color="auto"/>
            </w:tcBorders>
            <w:vAlign w:val="center"/>
          </w:tcPr>
          <w:p w14:paraId="00766C7C" w14:textId="7137BC41"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2020</w:t>
            </w:r>
          </w:p>
        </w:tc>
        <w:tc>
          <w:tcPr>
            <w:tcW w:w="582" w:type="dxa"/>
            <w:tcBorders>
              <w:top w:val="nil"/>
              <w:left w:val="single" w:sz="12" w:space="0" w:color="auto"/>
              <w:bottom w:val="single" w:sz="12" w:space="0" w:color="auto"/>
              <w:right w:val="nil"/>
            </w:tcBorders>
            <w:vAlign w:val="center"/>
          </w:tcPr>
          <w:p w14:paraId="01EF4EB5" w14:textId="2A2FB76A" w:rsidR="0017066B" w:rsidRPr="006070EA" w:rsidRDefault="0017066B" w:rsidP="0017066B">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2021</w:t>
            </w:r>
          </w:p>
        </w:tc>
      </w:tr>
      <w:tr w:rsidR="0017066B" w:rsidRPr="006070EA" w14:paraId="15F1EDC5" w14:textId="54AB20B0" w:rsidTr="00F90B15">
        <w:trPr>
          <w:trHeight w:val="283"/>
          <w:jc w:val="center"/>
        </w:trPr>
        <w:tc>
          <w:tcPr>
            <w:tcW w:w="907" w:type="dxa"/>
            <w:tcBorders>
              <w:top w:val="single" w:sz="12" w:space="0" w:color="auto"/>
              <w:left w:val="nil"/>
              <w:bottom w:val="nil"/>
              <w:right w:val="single" w:sz="4" w:space="0" w:color="auto"/>
            </w:tcBorders>
            <w:vAlign w:val="center"/>
            <w:hideMark/>
          </w:tcPr>
          <w:p w14:paraId="26A827CC" w14:textId="7CF54D30"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počet ob</w:t>
            </w:r>
            <w:r w:rsidR="00F90B15" w:rsidRPr="006070EA">
              <w:rPr>
                <w:rFonts w:asciiTheme="majorHAnsi" w:hAnsiTheme="majorHAnsi" w:cstheme="majorHAnsi"/>
                <w:color w:val="000000"/>
                <w:szCs w:val="18"/>
                <w:lang w:val="cs-CZ"/>
              </w:rPr>
              <w:t>.</w:t>
            </w:r>
          </w:p>
        </w:tc>
        <w:tc>
          <w:tcPr>
            <w:tcW w:w="582" w:type="dxa"/>
            <w:tcBorders>
              <w:top w:val="single" w:sz="12" w:space="0" w:color="auto"/>
              <w:left w:val="single" w:sz="4" w:space="0" w:color="auto"/>
              <w:bottom w:val="nil"/>
              <w:right w:val="single" w:sz="4" w:space="0" w:color="auto"/>
            </w:tcBorders>
            <w:vAlign w:val="center"/>
          </w:tcPr>
          <w:p w14:paraId="26E79D06"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1652</w:t>
            </w:r>
          </w:p>
        </w:tc>
        <w:tc>
          <w:tcPr>
            <w:tcW w:w="582" w:type="dxa"/>
            <w:tcBorders>
              <w:top w:val="single" w:sz="12" w:space="0" w:color="auto"/>
              <w:left w:val="single" w:sz="4" w:space="0" w:color="auto"/>
              <w:bottom w:val="nil"/>
              <w:right w:val="single" w:sz="4" w:space="0" w:color="auto"/>
            </w:tcBorders>
            <w:vAlign w:val="center"/>
          </w:tcPr>
          <w:p w14:paraId="1E7FB431"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1658</w:t>
            </w:r>
          </w:p>
        </w:tc>
        <w:tc>
          <w:tcPr>
            <w:tcW w:w="582" w:type="dxa"/>
            <w:tcBorders>
              <w:top w:val="single" w:sz="12" w:space="0" w:color="auto"/>
              <w:left w:val="single" w:sz="4" w:space="0" w:color="auto"/>
              <w:bottom w:val="nil"/>
              <w:right w:val="single" w:sz="4" w:space="0" w:color="auto"/>
            </w:tcBorders>
            <w:vAlign w:val="center"/>
          </w:tcPr>
          <w:p w14:paraId="24307A71"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1709</w:t>
            </w:r>
          </w:p>
        </w:tc>
        <w:tc>
          <w:tcPr>
            <w:tcW w:w="582" w:type="dxa"/>
            <w:tcBorders>
              <w:top w:val="single" w:sz="12" w:space="0" w:color="auto"/>
              <w:left w:val="single" w:sz="4" w:space="0" w:color="auto"/>
              <w:bottom w:val="nil"/>
              <w:right w:val="single" w:sz="4" w:space="0" w:color="auto"/>
            </w:tcBorders>
            <w:vAlign w:val="center"/>
          </w:tcPr>
          <w:p w14:paraId="72D61531"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1742</w:t>
            </w:r>
          </w:p>
        </w:tc>
        <w:tc>
          <w:tcPr>
            <w:tcW w:w="582" w:type="dxa"/>
            <w:tcBorders>
              <w:top w:val="single" w:sz="12" w:space="0" w:color="auto"/>
              <w:left w:val="single" w:sz="4" w:space="0" w:color="auto"/>
              <w:bottom w:val="nil"/>
              <w:right w:val="single" w:sz="4" w:space="0" w:color="auto"/>
            </w:tcBorders>
            <w:vAlign w:val="center"/>
          </w:tcPr>
          <w:p w14:paraId="19F7F855"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1762</w:t>
            </w:r>
          </w:p>
        </w:tc>
        <w:tc>
          <w:tcPr>
            <w:tcW w:w="582" w:type="dxa"/>
            <w:tcBorders>
              <w:top w:val="single" w:sz="12" w:space="0" w:color="auto"/>
              <w:left w:val="single" w:sz="4" w:space="0" w:color="auto"/>
              <w:bottom w:val="nil"/>
              <w:right w:val="single" w:sz="4" w:space="0" w:color="auto"/>
            </w:tcBorders>
            <w:vAlign w:val="center"/>
          </w:tcPr>
          <w:p w14:paraId="58FE8E59"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1777</w:t>
            </w:r>
          </w:p>
        </w:tc>
        <w:tc>
          <w:tcPr>
            <w:tcW w:w="582" w:type="dxa"/>
            <w:tcBorders>
              <w:top w:val="single" w:sz="12" w:space="0" w:color="auto"/>
              <w:left w:val="single" w:sz="4" w:space="0" w:color="auto"/>
              <w:bottom w:val="nil"/>
              <w:right w:val="single" w:sz="4" w:space="0" w:color="auto"/>
            </w:tcBorders>
            <w:vAlign w:val="center"/>
          </w:tcPr>
          <w:p w14:paraId="38A7D263"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1819</w:t>
            </w:r>
          </w:p>
        </w:tc>
        <w:tc>
          <w:tcPr>
            <w:tcW w:w="582" w:type="dxa"/>
            <w:tcBorders>
              <w:top w:val="single" w:sz="12" w:space="0" w:color="auto"/>
              <w:left w:val="single" w:sz="4" w:space="0" w:color="auto"/>
              <w:bottom w:val="nil"/>
              <w:right w:val="single" w:sz="4" w:space="0" w:color="auto"/>
            </w:tcBorders>
            <w:vAlign w:val="center"/>
          </w:tcPr>
          <w:p w14:paraId="193EE294"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1820</w:t>
            </w:r>
          </w:p>
        </w:tc>
        <w:tc>
          <w:tcPr>
            <w:tcW w:w="582" w:type="dxa"/>
            <w:tcBorders>
              <w:top w:val="single" w:sz="12" w:space="0" w:color="auto"/>
              <w:left w:val="single" w:sz="4" w:space="0" w:color="auto"/>
              <w:bottom w:val="nil"/>
              <w:right w:val="single" w:sz="4" w:space="0" w:color="auto"/>
            </w:tcBorders>
            <w:vAlign w:val="center"/>
          </w:tcPr>
          <w:p w14:paraId="1C870D9A"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1852</w:t>
            </w:r>
          </w:p>
        </w:tc>
        <w:tc>
          <w:tcPr>
            <w:tcW w:w="582" w:type="dxa"/>
            <w:tcBorders>
              <w:top w:val="single" w:sz="12" w:space="0" w:color="auto"/>
              <w:left w:val="single" w:sz="4" w:space="0" w:color="auto"/>
              <w:bottom w:val="nil"/>
              <w:right w:val="single" w:sz="4" w:space="0" w:color="auto"/>
            </w:tcBorders>
            <w:vAlign w:val="center"/>
          </w:tcPr>
          <w:p w14:paraId="04218B84" w14:textId="7777777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1848</w:t>
            </w:r>
          </w:p>
        </w:tc>
        <w:tc>
          <w:tcPr>
            <w:tcW w:w="582" w:type="dxa"/>
            <w:tcBorders>
              <w:top w:val="single" w:sz="12" w:space="0" w:color="auto"/>
              <w:left w:val="single" w:sz="4" w:space="0" w:color="auto"/>
              <w:bottom w:val="nil"/>
              <w:right w:val="single" w:sz="4" w:space="0" w:color="auto"/>
            </w:tcBorders>
            <w:vAlign w:val="center"/>
          </w:tcPr>
          <w:p w14:paraId="566ED0A8" w14:textId="50FF9526"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1838</w:t>
            </w:r>
          </w:p>
        </w:tc>
        <w:tc>
          <w:tcPr>
            <w:tcW w:w="582" w:type="dxa"/>
            <w:tcBorders>
              <w:top w:val="single" w:sz="12" w:space="0" w:color="auto"/>
              <w:left w:val="single" w:sz="4" w:space="0" w:color="auto"/>
              <w:bottom w:val="nil"/>
              <w:right w:val="single" w:sz="4" w:space="0" w:color="auto"/>
            </w:tcBorders>
            <w:vAlign w:val="center"/>
          </w:tcPr>
          <w:p w14:paraId="28580AE9" w14:textId="19775F4B"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1873</w:t>
            </w:r>
          </w:p>
        </w:tc>
        <w:tc>
          <w:tcPr>
            <w:tcW w:w="582" w:type="dxa"/>
            <w:tcBorders>
              <w:top w:val="single" w:sz="12" w:space="0" w:color="auto"/>
              <w:left w:val="single" w:sz="4" w:space="0" w:color="auto"/>
              <w:bottom w:val="nil"/>
              <w:right w:val="single" w:sz="4" w:space="0" w:color="auto"/>
            </w:tcBorders>
            <w:vAlign w:val="center"/>
          </w:tcPr>
          <w:p w14:paraId="01074409" w14:textId="1494546C"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1858</w:t>
            </w:r>
          </w:p>
        </w:tc>
        <w:tc>
          <w:tcPr>
            <w:tcW w:w="582" w:type="dxa"/>
            <w:tcBorders>
              <w:top w:val="single" w:sz="12" w:space="0" w:color="auto"/>
              <w:left w:val="single" w:sz="4" w:space="0" w:color="auto"/>
              <w:bottom w:val="nil"/>
              <w:right w:val="single" w:sz="4" w:space="0" w:color="auto"/>
            </w:tcBorders>
            <w:vAlign w:val="center"/>
          </w:tcPr>
          <w:p w14:paraId="2F099883" w14:textId="04250EFB"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1844</w:t>
            </w:r>
          </w:p>
        </w:tc>
        <w:tc>
          <w:tcPr>
            <w:tcW w:w="582" w:type="dxa"/>
            <w:tcBorders>
              <w:top w:val="single" w:sz="12" w:space="0" w:color="auto"/>
              <w:left w:val="single" w:sz="4" w:space="0" w:color="auto"/>
              <w:bottom w:val="nil"/>
              <w:right w:val="single" w:sz="4" w:space="0" w:color="auto"/>
            </w:tcBorders>
            <w:vAlign w:val="center"/>
          </w:tcPr>
          <w:p w14:paraId="782722E3" w14:textId="2E8052F8"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1850</w:t>
            </w:r>
          </w:p>
        </w:tc>
        <w:tc>
          <w:tcPr>
            <w:tcW w:w="582" w:type="dxa"/>
            <w:tcBorders>
              <w:top w:val="single" w:sz="12" w:space="0" w:color="auto"/>
              <w:left w:val="single" w:sz="4" w:space="0" w:color="auto"/>
              <w:bottom w:val="nil"/>
              <w:right w:val="nil"/>
            </w:tcBorders>
            <w:vAlign w:val="center"/>
          </w:tcPr>
          <w:p w14:paraId="4411DCDA" w14:textId="098929B7" w:rsidR="0017066B" w:rsidRPr="006070EA" w:rsidRDefault="0017066B" w:rsidP="0017066B">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1885</w:t>
            </w:r>
          </w:p>
        </w:tc>
      </w:tr>
    </w:tbl>
    <w:p w14:paraId="684B7BB8" w14:textId="0FF23CF5" w:rsidR="009E5E88" w:rsidRPr="006070EA" w:rsidRDefault="009E5E88" w:rsidP="009E5E88">
      <w:pPr>
        <w:pStyle w:val="Poznmka"/>
        <w:keepNext/>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Graf: Vývoj počtu obyvatel v Kostomlatech nad Labem v období </w:t>
      </w:r>
      <w:proofErr w:type="gramStart"/>
      <w:r w:rsidRPr="006070EA">
        <w:rPr>
          <w:rFonts w:asciiTheme="majorHAnsi" w:hAnsiTheme="majorHAnsi" w:cstheme="majorHAnsi"/>
          <w:color w:val="000000"/>
          <w:szCs w:val="18"/>
          <w:lang w:val="cs-CZ"/>
        </w:rPr>
        <w:t>200</w:t>
      </w:r>
      <w:r w:rsidR="004E5175" w:rsidRPr="006070EA">
        <w:rPr>
          <w:rFonts w:asciiTheme="majorHAnsi" w:hAnsiTheme="majorHAnsi" w:cstheme="majorHAnsi"/>
          <w:color w:val="000000"/>
          <w:szCs w:val="18"/>
          <w:lang w:val="cs-CZ"/>
        </w:rPr>
        <w:t>6</w:t>
      </w:r>
      <w:r w:rsidRPr="006070EA">
        <w:rPr>
          <w:rFonts w:asciiTheme="majorHAnsi" w:hAnsiTheme="majorHAnsi" w:cstheme="majorHAnsi"/>
          <w:color w:val="000000"/>
          <w:szCs w:val="18"/>
          <w:lang w:val="cs-CZ"/>
        </w:rPr>
        <w:t xml:space="preserve"> – 20</w:t>
      </w:r>
      <w:r w:rsidR="004E5175" w:rsidRPr="006070EA">
        <w:rPr>
          <w:rFonts w:asciiTheme="majorHAnsi" w:hAnsiTheme="majorHAnsi" w:cstheme="majorHAnsi"/>
          <w:color w:val="000000"/>
          <w:szCs w:val="18"/>
          <w:lang w:val="cs-CZ"/>
        </w:rPr>
        <w:t>21</w:t>
      </w:r>
      <w:proofErr w:type="gramEnd"/>
      <w:r w:rsidR="004E5175" w:rsidRPr="006070EA">
        <w:rPr>
          <w:rFonts w:asciiTheme="majorHAnsi" w:hAnsiTheme="majorHAnsi" w:cstheme="majorHAnsi"/>
          <w:color w:val="000000"/>
          <w:szCs w:val="18"/>
          <w:lang w:val="cs-CZ"/>
        </w:rPr>
        <w:t xml:space="preserve"> (stav k 31. 12., dle ČSÚ)</w:t>
      </w:r>
    </w:p>
    <w:p w14:paraId="3740D9AD" w14:textId="1CBB72D2" w:rsidR="004E5175" w:rsidRPr="006070EA" w:rsidRDefault="004E5175" w:rsidP="009E5E88">
      <w:pPr>
        <w:pStyle w:val="Poznmka"/>
        <w:keepNext/>
        <w:rPr>
          <w:rFonts w:asciiTheme="majorHAnsi" w:hAnsiTheme="majorHAnsi" w:cstheme="majorHAnsi"/>
          <w:color w:val="000000"/>
          <w:szCs w:val="18"/>
          <w:lang w:val="cs-CZ"/>
        </w:rPr>
      </w:pPr>
      <w:r w:rsidRPr="006070EA">
        <w:rPr>
          <w:rFonts w:asciiTheme="majorHAnsi" w:hAnsiTheme="majorHAnsi" w:cstheme="majorHAnsi"/>
          <w:noProof/>
          <w:lang w:val="cs-CZ"/>
        </w:rPr>
        <w:drawing>
          <wp:inline distT="0" distB="0" distL="0" distR="0" wp14:anchorId="4E5F6B41" wp14:editId="54F0E4CB">
            <wp:extent cx="5759450" cy="2159635"/>
            <wp:effectExtent l="0" t="0" r="0" b="0"/>
            <wp:docPr id="26" name="Graf 26">
              <a:extLst xmlns:a="http://schemas.openxmlformats.org/drawingml/2006/main">
                <a:ext uri="{FF2B5EF4-FFF2-40B4-BE49-F238E27FC236}">
                  <a16:creationId xmlns:a16="http://schemas.microsoft.com/office/drawing/2014/main" id="{FC6B2034-AA6A-4EE0-9B13-5BACEC71A17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74CFF959" w14:textId="695E2A54" w:rsidR="00760B4C" w:rsidRPr="006070EA" w:rsidRDefault="00760B4C" w:rsidP="009E07E1">
      <w:pPr>
        <w:spacing w:after="12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Při pohledu na </w:t>
      </w:r>
      <w:r w:rsidR="004E5175" w:rsidRPr="006070EA">
        <w:rPr>
          <w:rFonts w:asciiTheme="majorHAnsi" w:hAnsiTheme="majorHAnsi" w:cstheme="majorHAnsi"/>
          <w:sz w:val="18"/>
        </w:rPr>
        <w:t xml:space="preserve">uplynulé dvacetileté </w:t>
      </w:r>
      <w:r w:rsidRPr="006070EA">
        <w:rPr>
          <w:rFonts w:asciiTheme="majorHAnsi" w:hAnsiTheme="majorHAnsi" w:cstheme="majorHAnsi"/>
          <w:sz w:val="18"/>
        </w:rPr>
        <w:t xml:space="preserve">období lze poukázat na </w:t>
      </w:r>
      <w:r w:rsidR="004E5175" w:rsidRPr="006070EA">
        <w:rPr>
          <w:rFonts w:asciiTheme="majorHAnsi" w:hAnsiTheme="majorHAnsi" w:cstheme="majorHAnsi"/>
          <w:sz w:val="18"/>
        </w:rPr>
        <w:t xml:space="preserve">jednoznačně </w:t>
      </w:r>
      <w:r w:rsidRPr="006070EA">
        <w:rPr>
          <w:rFonts w:asciiTheme="majorHAnsi" w:hAnsiTheme="majorHAnsi" w:cstheme="majorHAnsi"/>
          <w:sz w:val="18"/>
        </w:rPr>
        <w:t>progresivní trend, který graficky znázorňuje spojnice trendu (přerušovaná čára)</w:t>
      </w:r>
      <w:r w:rsidR="004E5175" w:rsidRPr="006070EA">
        <w:rPr>
          <w:rFonts w:asciiTheme="majorHAnsi" w:hAnsiTheme="majorHAnsi" w:cstheme="majorHAnsi"/>
          <w:sz w:val="18"/>
        </w:rPr>
        <w:t xml:space="preserve"> ve výše uvedeném grafu</w:t>
      </w:r>
      <w:r w:rsidRPr="006070EA">
        <w:rPr>
          <w:rFonts w:asciiTheme="majorHAnsi" w:hAnsiTheme="majorHAnsi" w:cstheme="majorHAnsi"/>
          <w:sz w:val="18"/>
        </w:rPr>
        <w:t xml:space="preserve">. </w:t>
      </w:r>
    </w:p>
    <w:p w14:paraId="1E6A46BA" w14:textId="77777777" w:rsidR="00567339" w:rsidRPr="006070EA" w:rsidRDefault="00567339" w:rsidP="0096622F">
      <w:pPr>
        <w:pStyle w:val="Mra2-reakceern"/>
        <w:keepNext/>
        <w:pBdr>
          <w:left w:val="none" w:sz="0" w:space="0" w:color="auto"/>
        </w:pBdr>
        <w:shd w:val="clear" w:color="auto" w:fill="F2F2F2" w:themeFill="background1" w:themeFillShade="F2"/>
        <w:spacing w:before="120" w:after="120"/>
        <w:ind w:left="0"/>
        <w:jc w:val="left"/>
        <w:rPr>
          <w:rFonts w:asciiTheme="majorHAnsi" w:hAnsiTheme="majorHAnsi" w:cstheme="majorHAnsi"/>
          <w:b/>
          <w:color w:val="auto"/>
          <w:sz w:val="20"/>
        </w:rPr>
      </w:pPr>
      <w:r w:rsidRPr="006070EA">
        <w:rPr>
          <w:rFonts w:asciiTheme="majorHAnsi" w:hAnsiTheme="majorHAnsi" w:cstheme="majorHAnsi"/>
          <w:b/>
          <w:color w:val="auto"/>
          <w:sz w:val="20"/>
        </w:rPr>
        <w:t>Pohyb obyvatel</w:t>
      </w:r>
    </w:p>
    <w:p w14:paraId="2FA99647" w14:textId="2F2F5123" w:rsidR="009E5E88" w:rsidRPr="006070EA" w:rsidRDefault="009E5E88" w:rsidP="009E5E88">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Celkový počet obyvatelstva významně ovlivňuje mimo přirozený pohyb (narození, zemřelí) též pohyb mechanický (stěhování) označovaný jako migrace. Konkrétní hodnoty přírůstku přirozeného a migračního v Kostomlatech nad Labem </w:t>
      </w:r>
      <w:r w:rsidR="00DE5A48" w:rsidRPr="006070EA">
        <w:rPr>
          <w:rFonts w:asciiTheme="majorHAnsi" w:hAnsiTheme="majorHAnsi" w:cstheme="majorHAnsi"/>
          <w:color w:val="000000"/>
          <w:szCs w:val="18"/>
        </w:rPr>
        <w:t xml:space="preserve">v období 1995 až 2015 </w:t>
      </w:r>
      <w:r w:rsidRPr="006070EA">
        <w:rPr>
          <w:rFonts w:asciiTheme="majorHAnsi" w:hAnsiTheme="majorHAnsi" w:cstheme="majorHAnsi"/>
          <w:color w:val="000000"/>
          <w:szCs w:val="18"/>
        </w:rPr>
        <w:t xml:space="preserve">jsou uvedeny níže v tabulce. Přestože je dominantní složkou mechanický pohyb, salda přírůstku přirozeného a migračního se pohybují shodně v řádech jednotek. </w:t>
      </w:r>
    </w:p>
    <w:p w14:paraId="74ADFABC" w14:textId="6D903D9A" w:rsidR="009E5E88" w:rsidRPr="006070EA" w:rsidRDefault="009E5E88" w:rsidP="009E5E88">
      <w:pPr>
        <w:pStyle w:val="Poznmka"/>
        <w:keepNext/>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Tab.: Přirozený, migrační a celkový přírůstek v Kostomlatech nad Labem v období </w:t>
      </w:r>
      <w:proofErr w:type="gramStart"/>
      <w:r w:rsidRPr="006070EA">
        <w:rPr>
          <w:rFonts w:asciiTheme="majorHAnsi" w:hAnsiTheme="majorHAnsi" w:cstheme="majorHAnsi"/>
          <w:color w:val="000000"/>
          <w:szCs w:val="18"/>
          <w:lang w:val="cs-CZ"/>
        </w:rPr>
        <w:t xml:space="preserve">1995 </w:t>
      </w:r>
      <w:r w:rsidR="00DE5A48" w:rsidRPr="006070EA">
        <w:rPr>
          <w:rFonts w:asciiTheme="majorHAnsi" w:hAnsiTheme="majorHAnsi" w:cstheme="majorHAnsi"/>
          <w:color w:val="000000"/>
          <w:szCs w:val="18"/>
          <w:lang w:val="cs-CZ"/>
        </w:rPr>
        <w:t>–</w:t>
      </w:r>
      <w:r w:rsidRPr="006070EA">
        <w:rPr>
          <w:rFonts w:asciiTheme="majorHAnsi" w:hAnsiTheme="majorHAnsi" w:cstheme="majorHAnsi"/>
          <w:color w:val="000000"/>
          <w:szCs w:val="18"/>
          <w:lang w:val="cs-CZ"/>
        </w:rPr>
        <w:t xml:space="preserve"> 2015</w:t>
      </w:r>
      <w:proofErr w:type="gramEnd"/>
      <w:r w:rsidRPr="006070EA">
        <w:rPr>
          <w:rFonts w:asciiTheme="majorHAnsi" w:hAnsiTheme="majorHAnsi" w:cstheme="majorHAnsi"/>
          <w:color w:val="000000"/>
          <w:szCs w:val="18"/>
          <w:lang w:val="cs-CZ"/>
        </w:rPr>
        <w:t xml:space="preserve"> (dle ČSÚ)</w:t>
      </w:r>
    </w:p>
    <w:tbl>
      <w:tblPr>
        <w:tblW w:w="9103" w:type="dxa"/>
        <w:jc w:val="center"/>
        <w:tblBorders>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505"/>
        <w:gridCol w:w="850"/>
        <w:gridCol w:w="686"/>
        <w:gridCol w:w="1020"/>
        <w:gridCol w:w="1020"/>
        <w:gridCol w:w="1361"/>
        <w:gridCol w:w="1361"/>
        <w:gridCol w:w="1361"/>
        <w:gridCol w:w="939"/>
      </w:tblGrid>
      <w:tr w:rsidR="00DE5A48" w:rsidRPr="006070EA" w14:paraId="03B5F5F4" w14:textId="77777777" w:rsidTr="00F90B15">
        <w:trPr>
          <w:trHeight w:val="510"/>
          <w:tblHeader/>
          <w:jc w:val="center"/>
        </w:trPr>
        <w:tc>
          <w:tcPr>
            <w:tcW w:w="505" w:type="dxa"/>
            <w:noWrap/>
            <w:vAlign w:val="center"/>
            <w:hideMark/>
          </w:tcPr>
          <w:p w14:paraId="5178EC5E" w14:textId="77777777" w:rsidR="00DE5A48" w:rsidRPr="006070EA" w:rsidRDefault="00DE5A48" w:rsidP="00DE5A48">
            <w:pPr>
              <w:spacing w:after="0"/>
              <w:jc w:val="center"/>
              <w:rPr>
                <w:rFonts w:asciiTheme="majorHAnsi" w:hAnsiTheme="majorHAnsi" w:cstheme="majorHAnsi"/>
                <w:b/>
                <w:bCs/>
                <w:color w:val="000000"/>
                <w:sz w:val="18"/>
                <w:szCs w:val="18"/>
                <w:lang w:eastAsia="cs-CZ"/>
              </w:rPr>
            </w:pPr>
            <w:r w:rsidRPr="006070EA">
              <w:rPr>
                <w:rFonts w:asciiTheme="majorHAnsi" w:hAnsiTheme="majorHAnsi" w:cstheme="majorHAnsi"/>
                <w:b/>
                <w:bCs/>
                <w:color w:val="000000"/>
                <w:sz w:val="18"/>
                <w:szCs w:val="18"/>
                <w:lang w:eastAsia="cs-CZ"/>
              </w:rPr>
              <w:t>Rok</w:t>
            </w:r>
          </w:p>
        </w:tc>
        <w:tc>
          <w:tcPr>
            <w:tcW w:w="850" w:type="dxa"/>
            <w:noWrap/>
            <w:vAlign w:val="center"/>
            <w:hideMark/>
          </w:tcPr>
          <w:p w14:paraId="44ABA5B4" w14:textId="77777777" w:rsidR="00DE5A48" w:rsidRPr="006070EA" w:rsidRDefault="00DE5A48" w:rsidP="00DE5A48">
            <w:pPr>
              <w:spacing w:after="0"/>
              <w:jc w:val="center"/>
              <w:rPr>
                <w:rFonts w:asciiTheme="majorHAnsi" w:hAnsiTheme="majorHAnsi" w:cstheme="majorHAnsi"/>
                <w:b/>
                <w:bCs/>
                <w:color w:val="000000"/>
                <w:sz w:val="18"/>
                <w:szCs w:val="18"/>
                <w:lang w:eastAsia="cs-CZ"/>
              </w:rPr>
            </w:pPr>
            <w:r w:rsidRPr="006070EA">
              <w:rPr>
                <w:rFonts w:asciiTheme="majorHAnsi" w:hAnsiTheme="majorHAnsi" w:cstheme="majorHAnsi"/>
                <w:b/>
                <w:bCs/>
                <w:color w:val="000000"/>
                <w:sz w:val="18"/>
                <w:szCs w:val="18"/>
                <w:lang w:eastAsia="cs-CZ"/>
              </w:rPr>
              <w:t>Narození</w:t>
            </w:r>
          </w:p>
        </w:tc>
        <w:tc>
          <w:tcPr>
            <w:tcW w:w="686" w:type="dxa"/>
            <w:noWrap/>
            <w:vAlign w:val="center"/>
            <w:hideMark/>
          </w:tcPr>
          <w:p w14:paraId="0800CCED" w14:textId="77777777" w:rsidR="00DE5A48" w:rsidRPr="006070EA" w:rsidRDefault="00DE5A48" w:rsidP="00DE5A48">
            <w:pPr>
              <w:spacing w:after="0"/>
              <w:jc w:val="center"/>
              <w:rPr>
                <w:rFonts w:asciiTheme="majorHAnsi" w:hAnsiTheme="majorHAnsi" w:cstheme="majorHAnsi"/>
                <w:b/>
                <w:bCs/>
                <w:color w:val="000000"/>
                <w:sz w:val="18"/>
                <w:szCs w:val="18"/>
                <w:lang w:eastAsia="cs-CZ"/>
              </w:rPr>
            </w:pPr>
            <w:r w:rsidRPr="006070EA">
              <w:rPr>
                <w:rFonts w:asciiTheme="majorHAnsi" w:hAnsiTheme="majorHAnsi" w:cstheme="majorHAnsi"/>
                <w:b/>
                <w:bCs/>
                <w:color w:val="000000"/>
                <w:sz w:val="18"/>
                <w:szCs w:val="18"/>
                <w:lang w:eastAsia="cs-CZ"/>
              </w:rPr>
              <w:t>Zemřelí</w:t>
            </w:r>
          </w:p>
        </w:tc>
        <w:tc>
          <w:tcPr>
            <w:tcW w:w="1020" w:type="dxa"/>
            <w:vAlign w:val="center"/>
            <w:hideMark/>
          </w:tcPr>
          <w:p w14:paraId="21C24E1B" w14:textId="56B15C5B" w:rsidR="00DE5A48" w:rsidRPr="006070EA" w:rsidRDefault="00DE5A48" w:rsidP="00DE5A48">
            <w:pPr>
              <w:spacing w:after="0"/>
              <w:jc w:val="center"/>
              <w:rPr>
                <w:rFonts w:asciiTheme="majorHAnsi" w:hAnsiTheme="majorHAnsi" w:cstheme="majorHAnsi"/>
                <w:b/>
                <w:bCs/>
                <w:color w:val="000000"/>
                <w:sz w:val="18"/>
                <w:szCs w:val="18"/>
                <w:lang w:eastAsia="cs-CZ"/>
              </w:rPr>
            </w:pPr>
            <w:r w:rsidRPr="006070EA">
              <w:rPr>
                <w:rFonts w:asciiTheme="majorHAnsi" w:hAnsiTheme="majorHAnsi" w:cstheme="majorHAnsi"/>
                <w:b/>
                <w:bCs/>
                <w:color w:val="000000"/>
                <w:sz w:val="18"/>
                <w:szCs w:val="18"/>
                <w:lang w:eastAsia="cs-CZ"/>
              </w:rPr>
              <w:t>Přist</w:t>
            </w:r>
            <w:r w:rsidR="00A07BAD" w:rsidRPr="006070EA">
              <w:rPr>
                <w:rFonts w:asciiTheme="majorHAnsi" w:hAnsiTheme="majorHAnsi" w:cstheme="majorHAnsi"/>
                <w:b/>
                <w:bCs/>
                <w:color w:val="000000"/>
                <w:sz w:val="18"/>
                <w:szCs w:val="18"/>
                <w:lang w:eastAsia="cs-CZ"/>
              </w:rPr>
              <w:t>ě</w:t>
            </w:r>
            <w:r w:rsidRPr="006070EA">
              <w:rPr>
                <w:rFonts w:asciiTheme="majorHAnsi" w:hAnsiTheme="majorHAnsi" w:cstheme="majorHAnsi"/>
                <w:b/>
                <w:bCs/>
                <w:color w:val="000000"/>
                <w:sz w:val="18"/>
                <w:szCs w:val="18"/>
                <w:lang w:eastAsia="cs-CZ"/>
              </w:rPr>
              <w:t>hovalí</w:t>
            </w:r>
          </w:p>
        </w:tc>
        <w:tc>
          <w:tcPr>
            <w:tcW w:w="1020" w:type="dxa"/>
            <w:vAlign w:val="center"/>
            <w:hideMark/>
          </w:tcPr>
          <w:p w14:paraId="363B2984" w14:textId="09EA7FA4" w:rsidR="00DE5A48" w:rsidRPr="006070EA" w:rsidRDefault="00DE5A48" w:rsidP="00DE5A48">
            <w:pPr>
              <w:spacing w:after="0"/>
              <w:jc w:val="center"/>
              <w:rPr>
                <w:rFonts w:asciiTheme="majorHAnsi" w:hAnsiTheme="majorHAnsi" w:cstheme="majorHAnsi"/>
                <w:b/>
                <w:bCs/>
                <w:color w:val="000000"/>
                <w:sz w:val="18"/>
                <w:szCs w:val="18"/>
                <w:lang w:eastAsia="cs-CZ"/>
              </w:rPr>
            </w:pPr>
            <w:r w:rsidRPr="006070EA">
              <w:rPr>
                <w:rFonts w:asciiTheme="majorHAnsi" w:hAnsiTheme="majorHAnsi" w:cstheme="majorHAnsi"/>
                <w:b/>
                <w:bCs/>
                <w:color w:val="000000"/>
                <w:sz w:val="18"/>
                <w:szCs w:val="18"/>
                <w:lang w:eastAsia="cs-CZ"/>
              </w:rPr>
              <w:t>Vystěhovalí</w:t>
            </w:r>
          </w:p>
        </w:tc>
        <w:tc>
          <w:tcPr>
            <w:tcW w:w="1361" w:type="dxa"/>
            <w:vAlign w:val="center"/>
            <w:hideMark/>
          </w:tcPr>
          <w:p w14:paraId="16B48047" w14:textId="77777777" w:rsidR="00DE5A48" w:rsidRPr="006070EA" w:rsidRDefault="00DE5A48" w:rsidP="00DE5A48">
            <w:pPr>
              <w:spacing w:after="0"/>
              <w:jc w:val="center"/>
              <w:rPr>
                <w:rFonts w:asciiTheme="majorHAnsi" w:hAnsiTheme="majorHAnsi" w:cstheme="majorHAnsi"/>
                <w:b/>
                <w:bCs/>
                <w:color w:val="000000"/>
                <w:sz w:val="18"/>
                <w:szCs w:val="18"/>
                <w:lang w:eastAsia="cs-CZ"/>
              </w:rPr>
            </w:pPr>
            <w:r w:rsidRPr="006070EA">
              <w:rPr>
                <w:rFonts w:asciiTheme="majorHAnsi" w:hAnsiTheme="majorHAnsi" w:cstheme="majorHAnsi"/>
                <w:b/>
                <w:bCs/>
                <w:color w:val="000000"/>
                <w:sz w:val="18"/>
                <w:szCs w:val="18"/>
                <w:lang w:eastAsia="cs-CZ"/>
              </w:rPr>
              <w:t>Přírůstek přirozený</w:t>
            </w:r>
          </w:p>
        </w:tc>
        <w:tc>
          <w:tcPr>
            <w:tcW w:w="1361" w:type="dxa"/>
            <w:vAlign w:val="center"/>
            <w:hideMark/>
          </w:tcPr>
          <w:p w14:paraId="25A9D6AC" w14:textId="77777777" w:rsidR="00DE5A48" w:rsidRPr="006070EA" w:rsidRDefault="00DE5A48" w:rsidP="00DE5A48">
            <w:pPr>
              <w:spacing w:after="0"/>
              <w:jc w:val="center"/>
              <w:rPr>
                <w:rFonts w:asciiTheme="majorHAnsi" w:hAnsiTheme="majorHAnsi" w:cstheme="majorHAnsi"/>
                <w:b/>
                <w:bCs/>
                <w:color w:val="000000"/>
                <w:sz w:val="18"/>
                <w:szCs w:val="18"/>
                <w:lang w:eastAsia="cs-CZ"/>
              </w:rPr>
            </w:pPr>
            <w:r w:rsidRPr="006070EA">
              <w:rPr>
                <w:rFonts w:asciiTheme="majorHAnsi" w:hAnsiTheme="majorHAnsi" w:cstheme="majorHAnsi"/>
                <w:b/>
                <w:bCs/>
                <w:color w:val="000000"/>
                <w:sz w:val="18"/>
                <w:szCs w:val="18"/>
                <w:lang w:eastAsia="cs-CZ"/>
              </w:rPr>
              <w:t>Přírůstek migrační</w:t>
            </w:r>
          </w:p>
        </w:tc>
        <w:tc>
          <w:tcPr>
            <w:tcW w:w="1361" w:type="dxa"/>
            <w:vAlign w:val="center"/>
            <w:hideMark/>
          </w:tcPr>
          <w:p w14:paraId="7F9D44C5" w14:textId="77777777" w:rsidR="00DE5A48" w:rsidRPr="006070EA" w:rsidRDefault="00DE5A48" w:rsidP="00DE5A48">
            <w:pPr>
              <w:spacing w:after="0"/>
              <w:jc w:val="center"/>
              <w:rPr>
                <w:rFonts w:asciiTheme="majorHAnsi" w:hAnsiTheme="majorHAnsi" w:cstheme="majorHAnsi"/>
                <w:b/>
                <w:bCs/>
                <w:color w:val="000000"/>
                <w:sz w:val="18"/>
                <w:szCs w:val="18"/>
                <w:lang w:eastAsia="cs-CZ"/>
              </w:rPr>
            </w:pPr>
            <w:r w:rsidRPr="006070EA">
              <w:rPr>
                <w:rFonts w:asciiTheme="majorHAnsi" w:hAnsiTheme="majorHAnsi" w:cstheme="majorHAnsi"/>
                <w:b/>
                <w:bCs/>
                <w:color w:val="000000"/>
                <w:sz w:val="18"/>
                <w:szCs w:val="18"/>
                <w:lang w:eastAsia="cs-CZ"/>
              </w:rPr>
              <w:t>Přírůstek celkový</w:t>
            </w:r>
          </w:p>
        </w:tc>
        <w:tc>
          <w:tcPr>
            <w:tcW w:w="939" w:type="dxa"/>
            <w:vAlign w:val="center"/>
            <w:hideMark/>
          </w:tcPr>
          <w:p w14:paraId="4F6433EC" w14:textId="17C8E1E4" w:rsidR="00DE5A48" w:rsidRPr="006070EA" w:rsidRDefault="00DE5A48" w:rsidP="00DE5A48">
            <w:pPr>
              <w:spacing w:after="0"/>
              <w:jc w:val="center"/>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Stav</w:t>
            </w:r>
            <w:r w:rsidR="00A07BAD" w:rsidRPr="006070EA">
              <w:rPr>
                <w:rFonts w:asciiTheme="majorHAnsi" w:hAnsiTheme="majorHAnsi" w:cstheme="majorHAnsi"/>
                <w:b/>
                <w:bCs/>
                <w:color w:val="000000"/>
                <w:sz w:val="18"/>
                <w:szCs w:val="18"/>
              </w:rPr>
              <w:t xml:space="preserve"> k </w:t>
            </w:r>
            <w:r w:rsidRPr="006070EA">
              <w:rPr>
                <w:rFonts w:asciiTheme="majorHAnsi" w:hAnsiTheme="majorHAnsi" w:cstheme="majorHAnsi"/>
                <w:b/>
                <w:bCs/>
                <w:color w:val="000000"/>
                <w:sz w:val="18"/>
                <w:szCs w:val="18"/>
              </w:rPr>
              <w:t>31.</w:t>
            </w:r>
            <w:r w:rsidR="00A07BAD" w:rsidRPr="006070EA">
              <w:rPr>
                <w:rFonts w:asciiTheme="majorHAnsi" w:hAnsiTheme="majorHAnsi" w:cstheme="majorHAnsi"/>
                <w:b/>
                <w:bCs/>
                <w:color w:val="000000"/>
                <w:sz w:val="18"/>
                <w:szCs w:val="18"/>
              </w:rPr>
              <w:t> </w:t>
            </w:r>
            <w:r w:rsidRPr="006070EA">
              <w:rPr>
                <w:rFonts w:asciiTheme="majorHAnsi" w:hAnsiTheme="majorHAnsi" w:cstheme="majorHAnsi"/>
                <w:b/>
                <w:bCs/>
                <w:color w:val="000000"/>
                <w:sz w:val="18"/>
                <w:szCs w:val="18"/>
              </w:rPr>
              <w:t>12.</w:t>
            </w:r>
          </w:p>
          <w:p w14:paraId="5228D666" w14:textId="77777777" w:rsidR="00DE5A48" w:rsidRPr="006070EA" w:rsidRDefault="00DE5A48" w:rsidP="00DE5A48">
            <w:pPr>
              <w:spacing w:after="0"/>
              <w:jc w:val="center"/>
              <w:rPr>
                <w:rFonts w:asciiTheme="majorHAnsi" w:hAnsiTheme="majorHAnsi" w:cstheme="majorHAnsi"/>
                <w:b/>
                <w:bCs/>
                <w:color w:val="000000"/>
                <w:sz w:val="18"/>
                <w:szCs w:val="18"/>
                <w:lang w:eastAsia="cs-CZ"/>
              </w:rPr>
            </w:pPr>
          </w:p>
        </w:tc>
      </w:tr>
      <w:tr w:rsidR="00DE5A48" w:rsidRPr="006070EA" w14:paraId="67923111" w14:textId="77777777" w:rsidTr="00A07BAD">
        <w:trPr>
          <w:trHeight w:val="300"/>
          <w:jc w:val="center"/>
        </w:trPr>
        <w:tc>
          <w:tcPr>
            <w:tcW w:w="505" w:type="dxa"/>
            <w:noWrap/>
            <w:vAlign w:val="center"/>
            <w:hideMark/>
          </w:tcPr>
          <w:p w14:paraId="76A93E8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1995</w:t>
            </w:r>
          </w:p>
        </w:tc>
        <w:tc>
          <w:tcPr>
            <w:tcW w:w="850" w:type="dxa"/>
            <w:noWrap/>
            <w:vAlign w:val="center"/>
            <w:hideMark/>
          </w:tcPr>
          <w:p w14:paraId="37F0913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16</w:t>
            </w:r>
          </w:p>
        </w:tc>
        <w:tc>
          <w:tcPr>
            <w:tcW w:w="686" w:type="dxa"/>
            <w:noWrap/>
            <w:vAlign w:val="center"/>
            <w:hideMark/>
          </w:tcPr>
          <w:p w14:paraId="22FF331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28</w:t>
            </w:r>
          </w:p>
        </w:tc>
        <w:tc>
          <w:tcPr>
            <w:tcW w:w="1020" w:type="dxa"/>
            <w:noWrap/>
            <w:vAlign w:val="center"/>
            <w:hideMark/>
          </w:tcPr>
          <w:p w14:paraId="3357998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50</w:t>
            </w:r>
          </w:p>
        </w:tc>
        <w:tc>
          <w:tcPr>
            <w:tcW w:w="1020" w:type="dxa"/>
            <w:noWrap/>
            <w:vAlign w:val="center"/>
            <w:hideMark/>
          </w:tcPr>
          <w:p w14:paraId="42A89A6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31</w:t>
            </w:r>
          </w:p>
        </w:tc>
        <w:tc>
          <w:tcPr>
            <w:tcW w:w="1361" w:type="dxa"/>
            <w:noWrap/>
            <w:vAlign w:val="center"/>
            <w:hideMark/>
          </w:tcPr>
          <w:p w14:paraId="5938C95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-12</w:t>
            </w:r>
          </w:p>
        </w:tc>
        <w:tc>
          <w:tcPr>
            <w:tcW w:w="1361" w:type="dxa"/>
            <w:noWrap/>
            <w:vAlign w:val="center"/>
            <w:hideMark/>
          </w:tcPr>
          <w:p w14:paraId="72902F7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w:t>
            </w:r>
          </w:p>
        </w:tc>
        <w:tc>
          <w:tcPr>
            <w:tcW w:w="1361" w:type="dxa"/>
            <w:noWrap/>
            <w:vAlign w:val="center"/>
            <w:hideMark/>
          </w:tcPr>
          <w:p w14:paraId="20790E6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7</w:t>
            </w:r>
          </w:p>
        </w:tc>
        <w:tc>
          <w:tcPr>
            <w:tcW w:w="939" w:type="dxa"/>
            <w:noWrap/>
            <w:vAlign w:val="center"/>
            <w:hideMark/>
          </w:tcPr>
          <w:p w14:paraId="5F29F46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1 597</w:t>
            </w:r>
          </w:p>
        </w:tc>
      </w:tr>
      <w:tr w:rsidR="00DE5A48" w:rsidRPr="006070EA" w14:paraId="49CB3B8B" w14:textId="77777777" w:rsidTr="00A07BAD">
        <w:trPr>
          <w:trHeight w:val="300"/>
          <w:jc w:val="center"/>
        </w:trPr>
        <w:tc>
          <w:tcPr>
            <w:tcW w:w="505" w:type="dxa"/>
            <w:noWrap/>
            <w:vAlign w:val="center"/>
            <w:hideMark/>
          </w:tcPr>
          <w:p w14:paraId="6E71399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1996</w:t>
            </w:r>
          </w:p>
        </w:tc>
        <w:tc>
          <w:tcPr>
            <w:tcW w:w="850" w:type="dxa"/>
            <w:noWrap/>
            <w:vAlign w:val="center"/>
            <w:hideMark/>
          </w:tcPr>
          <w:p w14:paraId="2B8FF58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17</w:t>
            </w:r>
          </w:p>
        </w:tc>
        <w:tc>
          <w:tcPr>
            <w:tcW w:w="686" w:type="dxa"/>
            <w:noWrap/>
            <w:vAlign w:val="center"/>
            <w:hideMark/>
          </w:tcPr>
          <w:p w14:paraId="4CCBAC4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27</w:t>
            </w:r>
          </w:p>
        </w:tc>
        <w:tc>
          <w:tcPr>
            <w:tcW w:w="1020" w:type="dxa"/>
            <w:noWrap/>
            <w:vAlign w:val="center"/>
            <w:hideMark/>
          </w:tcPr>
          <w:p w14:paraId="3C9C6D3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43</w:t>
            </w:r>
          </w:p>
        </w:tc>
        <w:tc>
          <w:tcPr>
            <w:tcW w:w="1020" w:type="dxa"/>
            <w:noWrap/>
            <w:vAlign w:val="center"/>
            <w:hideMark/>
          </w:tcPr>
          <w:p w14:paraId="5816BFE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w:t>
            </w:r>
          </w:p>
        </w:tc>
        <w:tc>
          <w:tcPr>
            <w:tcW w:w="1361" w:type="dxa"/>
            <w:noWrap/>
            <w:vAlign w:val="center"/>
            <w:hideMark/>
          </w:tcPr>
          <w:p w14:paraId="7BCBFFF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-10</w:t>
            </w:r>
          </w:p>
        </w:tc>
        <w:tc>
          <w:tcPr>
            <w:tcW w:w="1361" w:type="dxa"/>
            <w:noWrap/>
            <w:vAlign w:val="center"/>
            <w:hideMark/>
          </w:tcPr>
          <w:p w14:paraId="5C278FC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23</w:t>
            </w:r>
          </w:p>
        </w:tc>
        <w:tc>
          <w:tcPr>
            <w:tcW w:w="1361" w:type="dxa"/>
            <w:noWrap/>
            <w:vAlign w:val="center"/>
            <w:hideMark/>
          </w:tcPr>
          <w:p w14:paraId="74C3B89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13</w:t>
            </w:r>
          </w:p>
        </w:tc>
        <w:tc>
          <w:tcPr>
            <w:tcW w:w="939" w:type="dxa"/>
            <w:noWrap/>
            <w:vAlign w:val="center"/>
            <w:hideMark/>
          </w:tcPr>
          <w:p w14:paraId="138E010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1 610</w:t>
            </w:r>
          </w:p>
        </w:tc>
      </w:tr>
      <w:tr w:rsidR="00DE5A48" w:rsidRPr="006070EA" w14:paraId="6132811F" w14:textId="77777777" w:rsidTr="00A07BAD">
        <w:trPr>
          <w:trHeight w:val="300"/>
          <w:jc w:val="center"/>
        </w:trPr>
        <w:tc>
          <w:tcPr>
            <w:tcW w:w="505" w:type="dxa"/>
            <w:noWrap/>
            <w:vAlign w:val="center"/>
            <w:hideMark/>
          </w:tcPr>
          <w:p w14:paraId="14B82BF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1997</w:t>
            </w:r>
          </w:p>
        </w:tc>
        <w:tc>
          <w:tcPr>
            <w:tcW w:w="850" w:type="dxa"/>
            <w:noWrap/>
            <w:vAlign w:val="center"/>
            <w:hideMark/>
          </w:tcPr>
          <w:p w14:paraId="18D8BC14"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23</w:t>
            </w:r>
          </w:p>
        </w:tc>
        <w:tc>
          <w:tcPr>
            <w:tcW w:w="686" w:type="dxa"/>
            <w:noWrap/>
            <w:vAlign w:val="center"/>
            <w:hideMark/>
          </w:tcPr>
          <w:p w14:paraId="4DB415D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21</w:t>
            </w:r>
          </w:p>
        </w:tc>
        <w:tc>
          <w:tcPr>
            <w:tcW w:w="1020" w:type="dxa"/>
            <w:noWrap/>
            <w:vAlign w:val="center"/>
            <w:hideMark/>
          </w:tcPr>
          <w:p w14:paraId="10B5E8D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45</w:t>
            </w:r>
          </w:p>
        </w:tc>
        <w:tc>
          <w:tcPr>
            <w:tcW w:w="1020" w:type="dxa"/>
            <w:noWrap/>
            <w:vAlign w:val="center"/>
            <w:hideMark/>
          </w:tcPr>
          <w:p w14:paraId="2DB33C6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41</w:t>
            </w:r>
          </w:p>
        </w:tc>
        <w:tc>
          <w:tcPr>
            <w:tcW w:w="1361" w:type="dxa"/>
            <w:noWrap/>
            <w:vAlign w:val="center"/>
            <w:hideMark/>
          </w:tcPr>
          <w:p w14:paraId="502023C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w:t>
            </w:r>
          </w:p>
        </w:tc>
        <w:tc>
          <w:tcPr>
            <w:tcW w:w="1361" w:type="dxa"/>
            <w:noWrap/>
            <w:vAlign w:val="center"/>
            <w:hideMark/>
          </w:tcPr>
          <w:p w14:paraId="7C08D77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w:t>
            </w:r>
          </w:p>
        </w:tc>
        <w:tc>
          <w:tcPr>
            <w:tcW w:w="1361" w:type="dxa"/>
            <w:noWrap/>
            <w:vAlign w:val="center"/>
            <w:hideMark/>
          </w:tcPr>
          <w:p w14:paraId="7A3ED21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6</w:t>
            </w:r>
          </w:p>
        </w:tc>
        <w:tc>
          <w:tcPr>
            <w:tcW w:w="939" w:type="dxa"/>
            <w:noWrap/>
            <w:vAlign w:val="center"/>
            <w:hideMark/>
          </w:tcPr>
          <w:p w14:paraId="570E788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1 616</w:t>
            </w:r>
          </w:p>
        </w:tc>
      </w:tr>
      <w:tr w:rsidR="00DE5A48" w:rsidRPr="006070EA" w14:paraId="22EA1AF3" w14:textId="77777777" w:rsidTr="00A07BAD">
        <w:trPr>
          <w:trHeight w:val="300"/>
          <w:jc w:val="center"/>
        </w:trPr>
        <w:tc>
          <w:tcPr>
            <w:tcW w:w="505" w:type="dxa"/>
            <w:noWrap/>
            <w:vAlign w:val="center"/>
            <w:hideMark/>
          </w:tcPr>
          <w:p w14:paraId="6990774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1998</w:t>
            </w:r>
          </w:p>
        </w:tc>
        <w:tc>
          <w:tcPr>
            <w:tcW w:w="850" w:type="dxa"/>
            <w:noWrap/>
            <w:vAlign w:val="center"/>
            <w:hideMark/>
          </w:tcPr>
          <w:p w14:paraId="636A359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14</w:t>
            </w:r>
          </w:p>
        </w:tc>
        <w:tc>
          <w:tcPr>
            <w:tcW w:w="686" w:type="dxa"/>
            <w:noWrap/>
            <w:vAlign w:val="center"/>
            <w:hideMark/>
          </w:tcPr>
          <w:p w14:paraId="7C9711B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w:t>
            </w:r>
          </w:p>
        </w:tc>
        <w:tc>
          <w:tcPr>
            <w:tcW w:w="1020" w:type="dxa"/>
            <w:noWrap/>
            <w:vAlign w:val="center"/>
            <w:hideMark/>
          </w:tcPr>
          <w:p w14:paraId="4A8F58D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52</w:t>
            </w:r>
          </w:p>
        </w:tc>
        <w:tc>
          <w:tcPr>
            <w:tcW w:w="1020" w:type="dxa"/>
            <w:noWrap/>
            <w:vAlign w:val="center"/>
            <w:hideMark/>
          </w:tcPr>
          <w:p w14:paraId="7851304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59</w:t>
            </w:r>
          </w:p>
        </w:tc>
        <w:tc>
          <w:tcPr>
            <w:tcW w:w="1361" w:type="dxa"/>
            <w:noWrap/>
            <w:vAlign w:val="center"/>
            <w:hideMark/>
          </w:tcPr>
          <w:p w14:paraId="5DB55E9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w:t>
            </w:r>
          </w:p>
        </w:tc>
        <w:tc>
          <w:tcPr>
            <w:tcW w:w="1361" w:type="dxa"/>
            <w:noWrap/>
            <w:vAlign w:val="center"/>
            <w:hideMark/>
          </w:tcPr>
          <w:p w14:paraId="11FAC88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-7</w:t>
            </w:r>
          </w:p>
        </w:tc>
        <w:tc>
          <w:tcPr>
            <w:tcW w:w="1361" w:type="dxa"/>
            <w:noWrap/>
            <w:vAlign w:val="center"/>
            <w:hideMark/>
          </w:tcPr>
          <w:p w14:paraId="5CECD98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-12</w:t>
            </w:r>
          </w:p>
        </w:tc>
        <w:tc>
          <w:tcPr>
            <w:tcW w:w="939" w:type="dxa"/>
            <w:noWrap/>
            <w:vAlign w:val="center"/>
            <w:hideMark/>
          </w:tcPr>
          <w:p w14:paraId="0562307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1 604</w:t>
            </w:r>
          </w:p>
        </w:tc>
      </w:tr>
      <w:tr w:rsidR="00DE5A48" w:rsidRPr="006070EA" w14:paraId="5A8A41B5" w14:textId="77777777" w:rsidTr="00A07BAD">
        <w:trPr>
          <w:trHeight w:val="300"/>
          <w:jc w:val="center"/>
        </w:trPr>
        <w:tc>
          <w:tcPr>
            <w:tcW w:w="505" w:type="dxa"/>
            <w:noWrap/>
            <w:vAlign w:val="center"/>
            <w:hideMark/>
          </w:tcPr>
          <w:p w14:paraId="0A18AE54"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1999</w:t>
            </w:r>
          </w:p>
        </w:tc>
        <w:tc>
          <w:tcPr>
            <w:tcW w:w="850" w:type="dxa"/>
            <w:noWrap/>
            <w:vAlign w:val="center"/>
            <w:hideMark/>
          </w:tcPr>
          <w:p w14:paraId="2B76ABC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17</w:t>
            </w:r>
          </w:p>
        </w:tc>
        <w:tc>
          <w:tcPr>
            <w:tcW w:w="686" w:type="dxa"/>
            <w:noWrap/>
            <w:vAlign w:val="center"/>
            <w:hideMark/>
          </w:tcPr>
          <w:p w14:paraId="02A9A52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16</w:t>
            </w:r>
          </w:p>
        </w:tc>
        <w:tc>
          <w:tcPr>
            <w:tcW w:w="1020" w:type="dxa"/>
            <w:noWrap/>
            <w:vAlign w:val="center"/>
            <w:hideMark/>
          </w:tcPr>
          <w:p w14:paraId="413270A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36</w:t>
            </w:r>
          </w:p>
        </w:tc>
        <w:tc>
          <w:tcPr>
            <w:tcW w:w="1020" w:type="dxa"/>
            <w:noWrap/>
            <w:vAlign w:val="center"/>
            <w:hideMark/>
          </w:tcPr>
          <w:p w14:paraId="4719D26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27</w:t>
            </w:r>
          </w:p>
        </w:tc>
        <w:tc>
          <w:tcPr>
            <w:tcW w:w="1361" w:type="dxa"/>
            <w:noWrap/>
            <w:vAlign w:val="center"/>
            <w:hideMark/>
          </w:tcPr>
          <w:p w14:paraId="44A9885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w:t>
            </w:r>
          </w:p>
        </w:tc>
        <w:tc>
          <w:tcPr>
            <w:tcW w:w="1361" w:type="dxa"/>
            <w:noWrap/>
            <w:vAlign w:val="center"/>
            <w:hideMark/>
          </w:tcPr>
          <w:p w14:paraId="36DF6F8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9</w:t>
            </w:r>
          </w:p>
        </w:tc>
        <w:tc>
          <w:tcPr>
            <w:tcW w:w="1361" w:type="dxa"/>
            <w:noWrap/>
            <w:vAlign w:val="center"/>
            <w:hideMark/>
          </w:tcPr>
          <w:p w14:paraId="34C681A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10</w:t>
            </w:r>
          </w:p>
        </w:tc>
        <w:tc>
          <w:tcPr>
            <w:tcW w:w="939" w:type="dxa"/>
            <w:noWrap/>
            <w:vAlign w:val="center"/>
            <w:hideMark/>
          </w:tcPr>
          <w:p w14:paraId="3E68EE4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1 614</w:t>
            </w:r>
          </w:p>
        </w:tc>
      </w:tr>
      <w:tr w:rsidR="00DE5A48" w:rsidRPr="006070EA" w14:paraId="23C36C5C" w14:textId="77777777" w:rsidTr="00A07BAD">
        <w:trPr>
          <w:trHeight w:val="300"/>
          <w:jc w:val="center"/>
        </w:trPr>
        <w:tc>
          <w:tcPr>
            <w:tcW w:w="505" w:type="dxa"/>
            <w:noWrap/>
            <w:vAlign w:val="center"/>
            <w:hideMark/>
          </w:tcPr>
          <w:p w14:paraId="050798C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2000</w:t>
            </w:r>
          </w:p>
        </w:tc>
        <w:tc>
          <w:tcPr>
            <w:tcW w:w="850" w:type="dxa"/>
            <w:noWrap/>
            <w:vAlign w:val="center"/>
            <w:hideMark/>
          </w:tcPr>
          <w:p w14:paraId="345A010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12</w:t>
            </w:r>
          </w:p>
        </w:tc>
        <w:tc>
          <w:tcPr>
            <w:tcW w:w="686" w:type="dxa"/>
            <w:noWrap/>
            <w:vAlign w:val="center"/>
            <w:hideMark/>
          </w:tcPr>
          <w:p w14:paraId="7BE7027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16</w:t>
            </w:r>
          </w:p>
        </w:tc>
        <w:tc>
          <w:tcPr>
            <w:tcW w:w="1020" w:type="dxa"/>
            <w:noWrap/>
            <w:vAlign w:val="center"/>
            <w:hideMark/>
          </w:tcPr>
          <w:p w14:paraId="6855CE7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51</w:t>
            </w:r>
          </w:p>
        </w:tc>
        <w:tc>
          <w:tcPr>
            <w:tcW w:w="1020" w:type="dxa"/>
            <w:noWrap/>
            <w:vAlign w:val="center"/>
            <w:hideMark/>
          </w:tcPr>
          <w:p w14:paraId="3EDF940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28</w:t>
            </w:r>
          </w:p>
        </w:tc>
        <w:tc>
          <w:tcPr>
            <w:tcW w:w="1361" w:type="dxa"/>
            <w:noWrap/>
            <w:vAlign w:val="center"/>
            <w:hideMark/>
          </w:tcPr>
          <w:p w14:paraId="223E019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w:t>
            </w:r>
          </w:p>
        </w:tc>
        <w:tc>
          <w:tcPr>
            <w:tcW w:w="1361" w:type="dxa"/>
            <w:noWrap/>
            <w:vAlign w:val="center"/>
            <w:hideMark/>
          </w:tcPr>
          <w:p w14:paraId="3FCF06A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23</w:t>
            </w:r>
          </w:p>
        </w:tc>
        <w:tc>
          <w:tcPr>
            <w:tcW w:w="1361" w:type="dxa"/>
            <w:noWrap/>
            <w:vAlign w:val="center"/>
            <w:hideMark/>
          </w:tcPr>
          <w:p w14:paraId="043EC22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w:t>
            </w:r>
          </w:p>
        </w:tc>
        <w:tc>
          <w:tcPr>
            <w:tcW w:w="939" w:type="dxa"/>
            <w:noWrap/>
            <w:vAlign w:val="center"/>
            <w:hideMark/>
          </w:tcPr>
          <w:p w14:paraId="76AB46A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1 633</w:t>
            </w:r>
          </w:p>
        </w:tc>
      </w:tr>
      <w:tr w:rsidR="00DE5A48" w:rsidRPr="006070EA" w14:paraId="0F45D7B7" w14:textId="77777777" w:rsidTr="00A07BAD">
        <w:trPr>
          <w:trHeight w:val="300"/>
          <w:jc w:val="center"/>
        </w:trPr>
        <w:tc>
          <w:tcPr>
            <w:tcW w:w="505" w:type="dxa"/>
            <w:noWrap/>
            <w:vAlign w:val="center"/>
            <w:hideMark/>
          </w:tcPr>
          <w:p w14:paraId="1B20D5A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2001</w:t>
            </w:r>
          </w:p>
        </w:tc>
        <w:tc>
          <w:tcPr>
            <w:tcW w:w="850" w:type="dxa"/>
            <w:noWrap/>
            <w:vAlign w:val="center"/>
            <w:hideMark/>
          </w:tcPr>
          <w:p w14:paraId="26405D7A"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15</w:t>
            </w:r>
          </w:p>
        </w:tc>
        <w:tc>
          <w:tcPr>
            <w:tcW w:w="686" w:type="dxa"/>
            <w:noWrap/>
            <w:vAlign w:val="center"/>
            <w:hideMark/>
          </w:tcPr>
          <w:p w14:paraId="0E4ED5F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24</w:t>
            </w:r>
          </w:p>
        </w:tc>
        <w:tc>
          <w:tcPr>
            <w:tcW w:w="1020" w:type="dxa"/>
            <w:noWrap/>
            <w:vAlign w:val="center"/>
            <w:hideMark/>
          </w:tcPr>
          <w:p w14:paraId="0172DA2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53</w:t>
            </w:r>
          </w:p>
        </w:tc>
        <w:tc>
          <w:tcPr>
            <w:tcW w:w="1020" w:type="dxa"/>
            <w:noWrap/>
            <w:vAlign w:val="center"/>
            <w:hideMark/>
          </w:tcPr>
          <w:p w14:paraId="2E28660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24</w:t>
            </w:r>
          </w:p>
        </w:tc>
        <w:tc>
          <w:tcPr>
            <w:tcW w:w="1361" w:type="dxa"/>
            <w:noWrap/>
            <w:vAlign w:val="center"/>
            <w:hideMark/>
          </w:tcPr>
          <w:p w14:paraId="5EDE320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-9</w:t>
            </w:r>
          </w:p>
        </w:tc>
        <w:tc>
          <w:tcPr>
            <w:tcW w:w="1361" w:type="dxa"/>
            <w:noWrap/>
            <w:vAlign w:val="center"/>
            <w:hideMark/>
          </w:tcPr>
          <w:p w14:paraId="0D31C04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29</w:t>
            </w:r>
          </w:p>
        </w:tc>
        <w:tc>
          <w:tcPr>
            <w:tcW w:w="1361" w:type="dxa"/>
            <w:noWrap/>
            <w:vAlign w:val="center"/>
            <w:hideMark/>
          </w:tcPr>
          <w:p w14:paraId="48A90B8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w:t>
            </w:r>
          </w:p>
        </w:tc>
        <w:tc>
          <w:tcPr>
            <w:tcW w:w="939" w:type="dxa"/>
            <w:noWrap/>
            <w:vAlign w:val="center"/>
            <w:hideMark/>
          </w:tcPr>
          <w:p w14:paraId="182CF1D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1 642</w:t>
            </w:r>
          </w:p>
        </w:tc>
      </w:tr>
      <w:tr w:rsidR="00DE5A48" w:rsidRPr="006070EA" w14:paraId="677443B5" w14:textId="77777777" w:rsidTr="00A07BAD">
        <w:trPr>
          <w:trHeight w:val="300"/>
          <w:jc w:val="center"/>
        </w:trPr>
        <w:tc>
          <w:tcPr>
            <w:tcW w:w="505" w:type="dxa"/>
            <w:noWrap/>
            <w:vAlign w:val="center"/>
            <w:hideMark/>
          </w:tcPr>
          <w:p w14:paraId="0571337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2002</w:t>
            </w:r>
          </w:p>
        </w:tc>
        <w:tc>
          <w:tcPr>
            <w:tcW w:w="850" w:type="dxa"/>
            <w:noWrap/>
            <w:vAlign w:val="center"/>
            <w:hideMark/>
          </w:tcPr>
          <w:p w14:paraId="668C5B2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23</w:t>
            </w:r>
          </w:p>
        </w:tc>
        <w:tc>
          <w:tcPr>
            <w:tcW w:w="686" w:type="dxa"/>
            <w:noWrap/>
            <w:vAlign w:val="center"/>
            <w:hideMark/>
          </w:tcPr>
          <w:p w14:paraId="3192761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21</w:t>
            </w:r>
          </w:p>
        </w:tc>
        <w:tc>
          <w:tcPr>
            <w:tcW w:w="1020" w:type="dxa"/>
            <w:noWrap/>
            <w:vAlign w:val="center"/>
            <w:hideMark/>
          </w:tcPr>
          <w:p w14:paraId="5AC9E2D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45</w:t>
            </w:r>
          </w:p>
        </w:tc>
        <w:tc>
          <w:tcPr>
            <w:tcW w:w="1020" w:type="dxa"/>
            <w:noWrap/>
            <w:vAlign w:val="center"/>
            <w:hideMark/>
          </w:tcPr>
          <w:p w14:paraId="0E0F532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30</w:t>
            </w:r>
          </w:p>
        </w:tc>
        <w:tc>
          <w:tcPr>
            <w:tcW w:w="1361" w:type="dxa"/>
            <w:noWrap/>
            <w:vAlign w:val="center"/>
            <w:hideMark/>
          </w:tcPr>
          <w:p w14:paraId="7CF6CAB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w:t>
            </w:r>
          </w:p>
        </w:tc>
        <w:tc>
          <w:tcPr>
            <w:tcW w:w="1361" w:type="dxa"/>
            <w:noWrap/>
            <w:vAlign w:val="center"/>
            <w:hideMark/>
          </w:tcPr>
          <w:p w14:paraId="22CC123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15</w:t>
            </w:r>
          </w:p>
        </w:tc>
        <w:tc>
          <w:tcPr>
            <w:tcW w:w="1361" w:type="dxa"/>
            <w:noWrap/>
            <w:vAlign w:val="center"/>
            <w:hideMark/>
          </w:tcPr>
          <w:p w14:paraId="09E2CCBA"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17</w:t>
            </w:r>
          </w:p>
        </w:tc>
        <w:tc>
          <w:tcPr>
            <w:tcW w:w="939" w:type="dxa"/>
            <w:noWrap/>
            <w:vAlign w:val="center"/>
            <w:hideMark/>
          </w:tcPr>
          <w:p w14:paraId="5CD4B6C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1 659</w:t>
            </w:r>
          </w:p>
        </w:tc>
      </w:tr>
      <w:tr w:rsidR="00DE5A48" w:rsidRPr="006070EA" w14:paraId="0AB78AA5" w14:textId="77777777" w:rsidTr="00A07BAD">
        <w:trPr>
          <w:trHeight w:val="300"/>
          <w:jc w:val="center"/>
        </w:trPr>
        <w:tc>
          <w:tcPr>
            <w:tcW w:w="505" w:type="dxa"/>
            <w:noWrap/>
            <w:vAlign w:val="center"/>
            <w:hideMark/>
          </w:tcPr>
          <w:p w14:paraId="7256740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lastRenderedPageBreak/>
              <w:t>2003</w:t>
            </w:r>
          </w:p>
        </w:tc>
        <w:tc>
          <w:tcPr>
            <w:tcW w:w="850" w:type="dxa"/>
            <w:noWrap/>
            <w:vAlign w:val="center"/>
            <w:hideMark/>
          </w:tcPr>
          <w:p w14:paraId="2E9BB294"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12</w:t>
            </w:r>
          </w:p>
        </w:tc>
        <w:tc>
          <w:tcPr>
            <w:tcW w:w="686" w:type="dxa"/>
            <w:noWrap/>
            <w:vAlign w:val="center"/>
            <w:hideMark/>
          </w:tcPr>
          <w:p w14:paraId="261E9E6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12</w:t>
            </w:r>
          </w:p>
        </w:tc>
        <w:tc>
          <w:tcPr>
            <w:tcW w:w="1020" w:type="dxa"/>
            <w:noWrap/>
            <w:vAlign w:val="center"/>
            <w:hideMark/>
          </w:tcPr>
          <w:p w14:paraId="7FB07A1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39</w:t>
            </w:r>
          </w:p>
        </w:tc>
        <w:tc>
          <w:tcPr>
            <w:tcW w:w="1020" w:type="dxa"/>
            <w:noWrap/>
            <w:vAlign w:val="center"/>
            <w:hideMark/>
          </w:tcPr>
          <w:p w14:paraId="30488A9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17</w:t>
            </w:r>
          </w:p>
        </w:tc>
        <w:tc>
          <w:tcPr>
            <w:tcW w:w="1361" w:type="dxa"/>
            <w:noWrap/>
            <w:vAlign w:val="center"/>
            <w:hideMark/>
          </w:tcPr>
          <w:p w14:paraId="69F897C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w:t>
            </w:r>
          </w:p>
        </w:tc>
        <w:tc>
          <w:tcPr>
            <w:tcW w:w="1361" w:type="dxa"/>
            <w:noWrap/>
            <w:vAlign w:val="center"/>
            <w:hideMark/>
          </w:tcPr>
          <w:p w14:paraId="00E42CA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22</w:t>
            </w:r>
          </w:p>
        </w:tc>
        <w:tc>
          <w:tcPr>
            <w:tcW w:w="1361" w:type="dxa"/>
            <w:noWrap/>
            <w:vAlign w:val="center"/>
            <w:hideMark/>
          </w:tcPr>
          <w:p w14:paraId="4C91B75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22</w:t>
            </w:r>
          </w:p>
        </w:tc>
        <w:tc>
          <w:tcPr>
            <w:tcW w:w="939" w:type="dxa"/>
            <w:noWrap/>
            <w:vAlign w:val="center"/>
            <w:hideMark/>
          </w:tcPr>
          <w:p w14:paraId="0D33790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1 681</w:t>
            </w:r>
          </w:p>
        </w:tc>
      </w:tr>
      <w:tr w:rsidR="00DE5A48" w:rsidRPr="006070EA" w14:paraId="392EE811" w14:textId="77777777" w:rsidTr="00A07BAD">
        <w:trPr>
          <w:trHeight w:val="300"/>
          <w:jc w:val="center"/>
        </w:trPr>
        <w:tc>
          <w:tcPr>
            <w:tcW w:w="505" w:type="dxa"/>
            <w:noWrap/>
            <w:vAlign w:val="center"/>
            <w:hideMark/>
          </w:tcPr>
          <w:p w14:paraId="3E4E81C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2004</w:t>
            </w:r>
          </w:p>
        </w:tc>
        <w:tc>
          <w:tcPr>
            <w:tcW w:w="850" w:type="dxa"/>
            <w:noWrap/>
            <w:vAlign w:val="center"/>
            <w:hideMark/>
          </w:tcPr>
          <w:p w14:paraId="732ADEC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14</w:t>
            </w:r>
          </w:p>
        </w:tc>
        <w:tc>
          <w:tcPr>
            <w:tcW w:w="686" w:type="dxa"/>
            <w:noWrap/>
            <w:vAlign w:val="center"/>
            <w:hideMark/>
          </w:tcPr>
          <w:p w14:paraId="4EB19BC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17</w:t>
            </w:r>
          </w:p>
        </w:tc>
        <w:tc>
          <w:tcPr>
            <w:tcW w:w="1020" w:type="dxa"/>
            <w:noWrap/>
            <w:vAlign w:val="center"/>
            <w:hideMark/>
          </w:tcPr>
          <w:p w14:paraId="0EB2550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30</w:t>
            </w:r>
          </w:p>
        </w:tc>
        <w:tc>
          <w:tcPr>
            <w:tcW w:w="1020" w:type="dxa"/>
            <w:noWrap/>
            <w:vAlign w:val="center"/>
            <w:hideMark/>
          </w:tcPr>
          <w:p w14:paraId="6A757DD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34</w:t>
            </w:r>
          </w:p>
        </w:tc>
        <w:tc>
          <w:tcPr>
            <w:tcW w:w="1361" w:type="dxa"/>
            <w:noWrap/>
            <w:vAlign w:val="center"/>
            <w:hideMark/>
          </w:tcPr>
          <w:p w14:paraId="3869315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w:t>
            </w:r>
          </w:p>
        </w:tc>
        <w:tc>
          <w:tcPr>
            <w:tcW w:w="1361" w:type="dxa"/>
            <w:noWrap/>
            <w:vAlign w:val="center"/>
            <w:hideMark/>
          </w:tcPr>
          <w:p w14:paraId="3697A69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w:t>
            </w:r>
          </w:p>
        </w:tc>
        <w:tc>
          <w:tcPr>
            <w:tcW w:w="1361" w:type="dxa"/>
            <w:noWrap/>
            <w:vAlign w:val="center"/>
            <w:hideMark/>
          </w:tcPr>
          <w:p w14:paraId="72DE8E3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-7</w:t>
            </w:r>
          </w:p>
        </w:tc>
        <w:tc>
          <w:tcPr>
            <w:tcW w:w="939" w:type="dxa"/>
            <w:noWrap/>
            <w:vAlign w:val="center"/>
            <w:hideMark/>
          </w:tcPr>
          <w:p w14:paraId="5F040B3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1 674</w:t>
            </w:r>
          </w:p>
        </w:tc>
      </w:tr>
      <w:tr w:rsidR="00DE5A48" w:rsidRPr="006070EA" w14:paraId="7E7F5FBA" w14:textId="77777777" w:rsidTr="00A07BAD">
        <w:trPr>
          <w:trHeight w:val="300"/>
          <w:jc w:val="center"/>
        </w:trPr>
        <w:tc>
          <w:tcPr>
            <w:tcW w:w="505" w:type="dxa"/>
            <w:noWrap/>
            <w:vAlign w:val="center"/>
            <w:hideMark/>
          </w:tcPr>
          <w:p w14:paraId="578998A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2005</w:t>
            </w:r>
          </w:p>
        </w:tc>
        <w:tc>
          <w:tcPr>
            <w:tcW w:w="850" w:type="dxa"/>
            <w:noWrap/>
            <w:vAlign w:val="center"/>
            <w:hideMark/>
          </w:tcPr>
          <w:p w14:paraId="5AFF3F2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w:t>
            </w:r>
          </w:p>
        </w:tc>
        <w:tc>
          <w:tcPr>
            <w:tcW w:w="686" w:type="dxa"/>
            <w:noWrap/>
            <w:vAlign w:val="center"/>
            <w:hideMark/>
          </w:tcPr>
          <w:p w14:paraId="0D2777E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w:t>
            </w:r>
          </w:p>
        </w:tc>
        <w:tc>
          <w:tcPr>
            <w:tcW w:w="1020" w:type="dxa"/>
            <w:noWrap/>
            <w:vAlign w:val="center"/>
            <w:hideMark/>
          </w:tcPr>
          <w:p w14:paraId="3E2F37C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49</w:t>
            </w:r>
          </w:p>
        </w:tc>
        <w:tc>
          <w:tcPr>
            <w:tcW w:w="1020" w:type="dxa"/>
            <w:noWrap/>
            <w:vAlign w:val="center"/>
            <w:hideMark/>
          </w:tcPr>
          <w:p w14:paraId="347C826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61</w:t>
            </w:r>
          </w:p>
        </w:tc>
        <w:tc>
          <w:tcPr>
            <w:tcW w:w="1361" w:type="dxa"/>
            <w:noWrap/>
            <w:vAlign w:val="center"/>
            <w:hideMark/>
          </w:tcPr>
          <w:p w14:paraId="27A25A9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w:t>
            </w:r>
          </w:p>
        </w:tc>
        <w:tc>
          <w:tcPr>
            <w:tcW w:w="1361" w:type="dxa"/>
            <w:noWrap/>
            <w:vAlign w:val="center"/>
            <w:hideMark/>
          </w:tcPr>
          <w:p w14:paraId="1A7B2CA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-12</w:t>
            </w:r>
          </w:p>
        </w:tc>
        <w:tc>
          <w:tcPr>
            <w:tcW w:w="1361" w:type="dxa"/>
            <w:noWrap/>
            <w:vAlign w:val="center"/>
            <w:hideMark/>
          </w:tcPr>
          <w:p w14:paraId="026CC09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-12</w:t>
            </w:r>
          </w:p>
        </w:tc>
        <w:tc>
          <w:tcPr>
            <w:tcW w:w="939" w:type="dxa"/>
            <w:noWrap/>
            <w:vAlign w:val="center"/>
            <w:hideMark/>
          </w:tcPr>
          <w:p w14:paraId="21240924"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1 662</w:t>
            </w:r>
          </w:p>
        </w:tc>
      </w:tr>
      <w:tr w:rsidR="00DE5A48" w:rsidRPr="006070EA" w14:paraId="16DFF79E" w14:textId="77777777" w:rsidTr="00A07BAD">
        <w:trPr>
          <w:trHeight w:val="300"/>
          <w:jc w:val="center"/>
        </w:trPr>
        <w:tc>
          <w:tcPr>
            <w:tcW w:w="505" w:type="dxa"/>
            <w:noWrap/>
            <w:vAlign w:val="center"/>
            <w:hideMark/>
          </w:tcPr>
          <w:p w14:paraId="7788558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2006</w:t>
            </w:r>
          </w:p>
        </w:tc>
        <w:tc>
          <w:tcPr>
            <w:tcW w:w="850" w:type="dxa"/>
            <w:noWrap/>
            <w:vAlign w:val="center"/>
            <w:hideMark/>
          </w:tcPr>
          <w:p w14:paraId="31E6D18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7</w:t>
            </w:r>
          </w:p>
        </w:tc>
        <w:tc>
          <w:tcPr>
            <w:tcW w:w="686" w:type="dxa"/>
            <w:noWrap/>
            <w:vAlign w:val="center"/>
            <w:hideMark/>
          </w:tcPr>
          <w:p w14:paraId="7F00193A"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17</w:t>
            </w:r>
          </w:p>
        </w:tc>
        <w:tc>
          <w:tcPr>
            <w:tcW w:w="1020" w:type="dxa"/>
            <w:noWrap/>
            <w:vAlign w:val="center"/>
            <w:hideMark/>
          </w:tcPr>
          <w:p w14:paraId="41D4BE5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42</w:t>
            </w:r>
          </w:p>
        </w:tc>
        <w:tc>
          <w:tcPr>
            <w:tcW w:w="1020" w:type="dxa"/>
            <w:noWrap/>
            <w:vAlign w:val="center"/>
            <w:hideMark/>
          </w:tcPr>
          <w:p w14:paraId="19968AE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42</w:t>
            </w:r>
          </w:p>
        </w:tc>
        <w:tc>
          <w:tcPr>
            <w:tcW w:w="1361" w:type="dxa"/>
            <w:noWrap/>
            <w:vAlign w:val="center"/>
            <w:hideMark/>
          </w:tcPr>
          <w:p w14:paraId="3F5AEF4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-10</w:t>
            </w:r>
          </w:p>
        </w:tc>
        <w:tc>
          <w:tcPr>
            <w:tcW w:w="1361" w:type="dxa"/>
            <w:noWrap/>
            <w:vAlign w:val="center"/>
            <w:hideMark/>
          </w:tcPr>
          <w:p w14:paraId="1E9AFF5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w:t>
            </w:r>
          </w:p>
        </w:tc>
        <w:tc>
          <w:tcPr>
            <w:tcW w:w="1361" w:type="dxa"/>
            <w:noWrap/>
            <w:vAlign w:val="center"/>
            <w:hideMark/>
          </w:tcPr>
          <w:p w14:paraId="3B437AF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-10</w:t>
            </w:r>
          </w:p>
        </w:tc>
        <w:tc>
          <w:tcPr>
            <w:tcW w:w="939" w:type="dxa"/>
            <w:noWrap/>
            <w:vAlign w:val="center"/>
            <w:hideMark/>
          </w:tcPr>
          <w:p w14:paraId="26D00F1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1 652</w:t>
            </w:r>
          </w:p>
        </w:tc>
      </w:tr>
      <w:tr w:rsidR="00DE5A48" w:rsidRPr="006070EA" w14:paraId="3FFD8EBF" w14:textId="77777777" w:rsidTr="00A07BAD">
        <w:trPr>
          <w:trHeight w:val="300"/>
          <w:jc w:val="center"/>
        </w:trPr>
        <w:tc>
          <w:tcPr>
            <w:tcW w:w="505" w:type="dxa"/>
            <w:noWrap/>
            <w:vAlign w:val="center"/>
            <w:hideMark/>
          </w:tcPr>
          <w:p w14:paraId="292B317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2007</w:t>
            </w:r>
          </w:p>
        </w:tc>
        <w:tc>
          <w:tcPr>
            <w:tcW w:w="850" w:type="dxa"/>
            <w:noWrap/>
            <w:vAlign w:val="center"/>
            <w:hideMark/>
          </w:tcPr>
          <w:p w14:paraId="3798F04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14</w:t>
            </w:r>
          </w:p>
        </w:tc>
        <w:tc>
          <w:tcPr>
            <w:tcW w:w="686" w:type="dxa"/>
            <w:noWrap/>
            <w:vAlign w:val="center"/>
            <w:hideMark/>
          </w:tcPr>
          <w:p w14:paraId="0146017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21</w:t>
            </w:r>
          </w:p>
        </w:tc>
        <w:tc>
          <w:tcPr>
            <w:tcW w:w="1020" w:type="dxa"/>
            <w:noWrap/>
            <w:vAlign w:val="center"/>
            <w:hideMark/>
          </w:tcPr>
          <w:p w14:paraId="75B25AB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51</w:t>
            </w:r>
          </w:p>
        </w:tc>
        <w:tc>
          <w:tcPr>
            <w:tcW w:w="1020" w:type="dxa"/>
            <w:noWrap/>
            <w:vAlign w:val="center"/>
            <w:hideMark/>
          </w:tcPr>
          <w:p w14:paraId="564EF25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38</w:t>
            </w:r>
          </w:p>
        </w:tc>
        <w:tc>
          <w:tcPr>
            <w:tcW w:w="1361" w:type="dxa"/>
            <w:noWrap/>
            <w:vAlign w:val="center"/>
            <w:hideMark/>
          </w:tcPr>
          <w:p w14:paraId="2DB3496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-7</w:t>
            </w:r>
          </w:p>
        </w:tc>
        <w:tc>
          <w:tcPr>
            <w:tcW w:w="1361" w:type="dxa"/>
            <w:noWrap/>
            <w:vAlign w:val="center"/>
            <w:hideMark/>
          </w:tcPr>
          <w:p w14:paraId="521483F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13</w:t>
            </w:r>
          </w:p>
        </w:tc>
        <w:tc>
          <w:tcPr>
            <w:tcW w:w="1361" w:type="dxa"/>
            <w:noWrap/>
            <w:vAlign w:val="center"/>
            <w:hideMark/>
          </w:tcPr>
          <w:p w14:paraId="7817320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6</w:t>
            </w:r>
          </w:p>
        </w:tc>
        <w:tc>
          <w:tcPr>
            <w:tcW w:w="939" w:type="dxa"/>
            <w:noWrap/>
            <w:vAlign w:val="center"/>
            <w:hideMark/>
          </w:tcPr>
          <w:p w14:paraId="2CE7498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1 658</w:t>
            </w:r>
          </w:p>
        </w:tc>
      </w:tr>
      <w:tr w:rsidR="00DE5A48" w:rsidRPr="006070EA" w14:paraId="1203FADA" w14:textId="77777777" w:rsidTr="00A07BAD">
        <w:trPr>
          <w:trHeight w:val="300"/>
          <w:jc w:val="center"/>
        </w:trPr>
        <w:tc>
          <w:tcPr>
            <w:tcW w:w="505" w:type="dxa"/>
            <w:noWrap/>
            <w:vAlign w:val="center"/>
            <w:hideMark/>
          </w:tcPr>
          <w:p w14:paraId="7D5A1E2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2008</w:t>
            </w:r>
          </w:p>
        </w:tc>
        <w:tc>
          <w:tcPr>
            <w:tcW w:w="850" w:type="dxa"/>
            <w:noWrap/>
            <w:vAlign w:val="center"/>
            <w:hideMark/>
          </w:tcPr>
          <w:p w14:paraId="75CAA3BA"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w:t>
            </w:r>
          </w:p>
        </w:tc>
        <w:tc>
          <w:tcPr>
            <w:tcW w:w="686" w:type="dxa"/>
            <w:noWrap/>
            <w:vAlign w:val="center"/>
            <w:hideMark/>
          </w:tcPr>
          <w:p w14:paraId="79F80FF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12</w:t>
            </w:r>
          </w:p>
        </w:tc>
        <w:tc>
          <w:tcPr>
            <w:tcW w:w="1020" w:type="dxa"/>
            <w:noWrap/>
            <w:vAlign w:val="center"/>
            <w:hideMark/>
          </w:tcPr>
          <w:p w14:paraId="3C88E75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70</w:t>
            </w:r>
          </w:p>
        </w:tc>
        <w:tc>
          <w:tcPr>
            <w:tcW w:w="1020" w:type="dxa"/>
            <w:noWrap/>
            <w:vAlign w:val="center"/>
            <w:hideMark/>
          </w:tcPr>
          <w:p w14:paraId="6B20F85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27</w:t>
            </w:r>
          </w:p>
        </w:tc>
        <w:tc>
          <w:tcPr>
            <w:tcW w:w="1361" w:type="dxa"/>
            <w:noWrap/>
            <w:vAlign w:val="center"/>
            <w:hideMark/>
          </w:tcPr>
          <w:p w14:paraId="6AE4BAE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8</w:t>
            </w:r>
          </w:p>
        </w:tc>
        <w:tc>
          <w:tcPr>
            <w:tcW w:w="1361" w:type="dxa"/>
            <w:noWrap/>
            <w:vAlign w:val="center"/>
            <w:hideMark/>
          </w:tcPr>
          <w:p w14:paraId="63E26BC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43</w:t>
            </w:r>
          </w:p>
        </w:tc>
        <w:tc>
          <w:tcPr>
            <w:tcW w:w="1361" w:type="dxa"/>
            <w:noWrap/>
            <w:vAlign w:val="center"/>
            <w:hideMark/>
          </w:tcPr>
          <w:p w14:paraId="004EB9D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51</w:t>
            </w:r>
          </w:p>
        </w:tc>
        <w:tc>
          <w:tcPr>
            <w:tcW w:w="939" w:type="dxa"/>
            <w:noWrap/>
            <w:vAlign w:val="center"/>
            <w:hideMark/>
          </w:tcPr>
          <w:p w14:paraId="673C5E8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1 709</w:t>
            </w:r>
          </w:p>
        </w:tc>
      </w:tr>
      <w:tr w:rsidR="00DE5A48" w:rsidRPr="006070EA" w14:paraId="56FB55CC" w14:textId="77777777" w:rsidTr="00A07BAD">
        <w:trPr>
          <w:trHeight w:val="300"/>
          <w:jc w:val="center"/>
        </w:trPr>
        <w:tc>
          <w:tcPr>
            <w:tcW w:w="505" w:type="dxa"/>
            <w:noWrap/>
            <w:vAlign w:val="center"/>
            <w:hideMark/>
          </w:tcPr>
          <w:p w14:paraId="3DBB44D4"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2009</w:t>
            </w:r>
          </w:p>
        </w:tc>
        <w:tc>
          <w:tcPr>
            <w:tcW w:w="850" w:type="dxa"/>
            <w:noWrap/>
            <w:vAlign w:val="center"/>
            <w:hideMark/>
          </w:tcPr>
          <w:p w14:paraId="0D0E048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21</w:t>
            </w:r>
          </w:p>
        </w:tc>
        <w:tc>
          <w:tcPr>
            <w:tcW w:w="686" w:type="dxa"/>
            <w:noWrap/>
            <w:vAlign w:val="center"/>
            <w:hideMark/>
          </w:tcPr>
          <w:p w14:paraId="6DCFD58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18</w:t>
            </w:r>
          </w:p>
        </w:tc>
        <w:tc>
          <w:tcPr>
            <w:tcW w:w="1020" w:type="dxa"/>
            <w:noWrap/>
            <w:vAlign w:val="center"/>
            <w:hideMark/>
          </w:tcPr>
          <w:p w14:paraId="593E8D6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59</w:t>
            </w:r>
          </w:p>
        </w:tc>
        <w:tc>
          <w:tcPr>
            <w:tcW w:w="1020" w:type="dxa"/>
            <w:noWrap/>
            <w:vAlign w:val="center"/>
            <w:hideMark/>
          </w:tcPr>
          <w:p w14:paraId="4FC2A21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29</w:t>
            </w:r>
          </w:p>
        </w:tc>
        <w:tc>
          <w:tcPr>
            <w:tcW w:w="1361" w:type="dxa"/>
            <w:noWrap/>
            <w:vAlign w:val="center"/>
            <w:hideMark/>
          </w:tcPr>
          <w:p w14:paraId="78D0729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w:t>
            </w:r>
          </w:p>
        </w:tc>
        <w:tc>
          <w:tcPr>
            <w:tcW w:w="1361" w:type="dxa"/>
            <w:noWrap/>
            <w:vAlign w:val="center"/>
            <w:hideMark/>
          </w:tcPr>
          <w:p w14:paraId="6FC8F3D4"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30</w:t>
            </w:r>
          </w:p>
        </w:tc>
        <w:tc>
          <w:tcPr>
            <w:tcW w:w="1361" w:type="dxa"/>
            <w:noWrap/>
            <w:vAlign w:val="center"/>
            <w:hideMark/>
          </w:tcPr>
          <w:p w14:paraId="0B3EF84A"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33</w:t>
            </w:r>
          </w:p>
        </w:tc>
        <w:tc>
          <w:tcPr>
            <w:tcW w:w="939" w:type="dxa"/>
            <w:noWrap/>
            <w:vAlign w:val="center"/>
            <w:hideMark/>
          </w:tcPr>
          <w:p w14:paraId="09C7F47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1 742</w:t>
            </w:r>
          </w:p>
        </w:tc>
      </w:tr>
      <w:tr w:rsidR="00DE5A48" w:rsidRPr="006070EA" w14:paraId="0B893E9E" w14:textId="77777777" w:rsidTr="00A07BAD">
        <w:trPr>
          <w:trHeight w:val="300"/>
          <w:jc w:val="center"/>
        </w:trPr>
        <w:tc>
          <w:tcPr>
            <w:tcW w:w="505" w:type="dxa"/>
            <w:noWrap/>
            <w:vAlign w:val="center"/>
            <w:hideMark/>
          </w:tcPr>
          <w:p w14:paraId="03174CA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2010</w:t>
            </w:r>
          </w:p>
        </w:tc>
        <w:tc>
          <w:tcPr>
            <w:tcW w:w="850" w:type="dxa"/>
            <w:noWrap/>
            <w:vAlign w:val="center"/>
            <w:hideMark/>
          </w:tcPr>
          <w:p w14:paraId="6622B71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w:t>
            </w:r>
          </w:p>
        </w:tc>
        <w:tc>
          <w:tcPr>
            <w:tcW w:w="686" w:type="dxa"/>
            <w:noWrap/>
            <w:vAlign w:val="center"/>
            <w:hideMark/>
          </w:tcPr>
          <w:p w14:paraId="5CD76A8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w:t>
            </w:r>
          </w:p>
        </w:tc>
        <w:tc>
          <w:tcPr>
            <w:tcW w:w="1020" w:type="dxa"/>
            <w:noWrap/>
            <w:vAlign w:val="center"/>
            <w:hideMark/>
          </w:tcPr>
          <w:p w14:paraId="4F1F00E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43</w:t>
            </w:r>
          </w:p>
        </w:tc>
        <w:tc>
          <w:tcPr>
            <w:tcW w:w="1020" w:type="dxa"/>
            <w:noWrap/>
            <w:vAlign w:val="center"/>
            <w:hideMark/>
          </w:tcPr>
          <w:p w14:paraId="737296C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24</w:t>
            </w:r>
          </w:p>
        </w:tc>
        <w:tc>
          <w:tcPr>
            <w:tcW w:w="1361" w:type="dxa"/>
            <w:noWrap/>
            <w:vAlign w:val="center"/>
            <w:hideMark/>
          </w:tcPr>
          <w:p w14:paraId="0E0F299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w:t>
            </w:r>
          </w:p>
        </w:tc>
        <w:tc>
          <w:tcPr>
            <w:tcW w:w="1361" w:type="dxa"/>
            <w:noWrap/>
            <w:vAlign w:val="center"/>
            <w:hideMark/>
          </w:tcPr>
          <w:p w14:paraId="76BC0CE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w:t>
            </w:r>
          </w:p>
        </w:tc>
        <w:tc>
          <w:tcPr>
            <w:tcW w:w="1361" w:type="dxa"/>
            <w:noWrap/>
            <w:vAlign w:val="center"/>
            <w:hideMark/>
          </w:tcPr>
          <w:p w14:paraId="2748D65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w:t>
            </w:r>
          </w:p>
        </w:tc>
        <w:tc>
          <w:tcPr>
            <w:tcW w:w="939" w:type="dxa"/>
            <w:noWrap/>
            <w:vAlign w:val="center"/>
            <w:hideMark/>
          </w:tcPr>
          <w:p w14:paraId="30536CF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1 762</w:t>
            </w:r>
          </w:p>
        </w:tc>
      </w:tr>
      <w:tr w:rsidR="00DE5A48" w:rsidRPr="006070EA" w14:paraId="0154E8F6" w14:textId="77777777" w:rsidTr="00A07BAD">
        <w:trPr>
          <w:trHeight w:val="300"/>
          <w:jc w:val="center"/>
        </w:trPr>
        <w:tc>
          <w:tcPr>
            <w:tcW w:w="505" w:type="dxa"/>
            <w:noWrap/>
            <w:vAlign w:val="center"/>
            <w:hideMark/>
          </w:tcPr>
          <w:p w14:paraId="2B33EDE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2011</w:t>
            </w:r>
          </w:p>
        </w:tc>
        <w:tc>
          <w:tcPr>
            <w:tcW w:w="850" w:type="dxa"/>
            <w:noWrap/>
            <w:vAlign w:val="center"/>
            <w:hideMark/>
          </w:tcPr>
          <w:p w14:paraId="3203147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23</w:t>
            </w:r>
          </w:p>
        </w:tc>
        <w:tc>
          <w:tcPr>
            <w:tcW w:w="686" w:type="dxa"/>
            <w:noWrap/>
            <w:vAlign w:val="center"/>
            <w:hideMark/>
          </w:tcPr>
          <w:p w14:paraId="3B35310A"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24</w:t>
            </w:r>
          </w:p>
        </w:tc>
        <w:tc>
          <w:tcPr>
            <w:tcW w:w="1020" w:type="dxa"/>
            <w:noWrap/>
            <w:vAlign w:val="center"/>
            <w:hideMark/>
          </w:tcPr>
          <w:p w14:paraId="02A71744"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55</w:t>
            </w:r>
          </w:p>
        </w:tc>
        <w:tc>
          <w:tcPr>
            <w:tcW w:w="1020" w:type="dxa"/>
            <w:noWrap/>
            <w:vAlign w:val="center"/>
            <w:hideMark/>
          </w:tcPr>
          <w:p w14:paraId="5F343BE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31</w:t>
            </w:r>
          </w:p>
        </w:tc>
        <w:tc>
          <w:tcPr>
            <w:tcW w:w="1361" w:type="dxa"/>
            <w:noWrap/>
            <w:vAlign w:val="center"/>
            <w:hideMark/>
          </w:tcPr>
          <w:p w14:paraId="71EA1F1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w:t>
            </w:r>
          </w:p>
        </w:tc>
        <w:tc>
          <w:tcPr>
            <w:tcW w:w="1361" w:type="dxa"/>
            <w:noWrap/>
            <w:vAlign w:val="center"/>
            <w:hideMark/>
          </w:tcPr>
          <w:p w14:paraId="3DB701C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24</w:t>
            </w:r>
          </w:p>
        </w:tc>
        <w:tc>
          <w:tcPr>
            <w:tcW w:w="1361" w:type="dxa"/>
            <w:noWrap/>
            <w:vAlign w:val="center"/>
            <w:hideMark/>
          </w:tcPr>
          <w:p w14:paraId="30CD16E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23</w:t>
            </w:r>
          </w:p>
        </w:tc>
        <w:tc>
          <w:tcPr>
            <w:tcW w:w="939" w:type="dxa"/>
            <w:noWrap/>
            <w:vAlign w:val="center"/>
            <w:hideMark/>
          </w:tcPr>
          <w:p w14:paraId="46F35D73"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1 777</w:t>
            </w:r>
          </w:p>
        </w:tc>
      </w:tr>
      <w:tr w:rsidR="00DE5A48" w:rsidRPr="006070EA" w14:paraId="4F2180F2" w14:textId="77777777" w:rsidTr="00A07BAD">
        <w:trPr>
          <w:trHeight w:val="300"/>
          <w:jc w:val="center"/>
        </w:trPr>
        <w:tc>
          <w:tcPr>
            <w:tcW w:w="505" w:type="dxa"/>
            <w:noWrap/>
            <w:vAlign w:val="center"/>
            <w:hideMark/>
          </w:tcPr>
          <w:p w14:paraId="3179D33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2012</w:t>
            </w:r>
          </w:p>
        </w:tc>
        <w:tc>
          <w:tcPr>
            <w:tcW w:w="850" w:type="dxa"/>
            <w:noWrap/>
            <w:vAlign w:val="center"/>
            <w:hideMark/>
          </w:tcPr>
          <w:p w14:paraId="561E4C2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23</w:t>
            </w:r>
          </w:p>
        </w:tc>
        <w:tc>
          <w:tcPr>
            <w:tcW w:w="686" w:type="dxa"/>
            <w:noWrap/>
            <w:vAlign w:val="center"/>
            <w:hideMark/>
          </w:tcPr>
          <w:p w14:paraId="635CF4C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18</w:t>
            </w:r>
          </w:p>
        </w:tc>
        <w:tc>
          <w:tcPr>
            <w:tcW w:w="1020" w:type="dxa"/>
            <w:noWrap/>
            <w:vAlign w:val="center"/>
            <w:hideMark/>
          </w:tcPr>
          <w:p w14:paraId="0026A4A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74</w:t>
            </w:r>
          </w:p>
        </w:tc>
        <w:tc>
          <w:tcPr>
            <w:tcW w:w="1020" w:type="dxa"/>
            <w:noWrap/>
            <w:vAlign w:val="center"/>
            <w:hideMark/>
          </w:tcPr>
          <w:p w14:paraId="6586420C"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37</w:t>
            </w:r>
          </w:p>
        </w:tc>
        <w:tc>
          <w:tcPr>
            <w:tcW w:w="1361" w:type="dxa"/>
            <w:noWrap/>
            <w:vAlign w:val="center"/>
            <w:hideMark/>
          </w:tcPr>
          <w:p w14:paraId="6AA0C1D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w:t>
            </w:r>
          </w:p>
        </w:tc>
        <w:tc>
          <w:tcPr>
            <w:tcW w:w="1361" w:type="dxa"/>
            <w:noWrap/>
            <w:vAlign w:val="center"/>
            <w:hideMark/>
          </w:tcPr>
          <w:p w14:paraId="34394A8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37</w:t>
            </w:r>
          </w:p>
        </w:tc>
        <w:tc>
          <w:tcPr>
            <w:tcW w:w="1361" w:type="dxa"/>
            <w:noWrap/>
            <w:vAlign w:val="center"/>
            <w:hideMark/>
          </w:tcPr>
          <w:p w14:paraId="14EC9BF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42</w:t>
            </w:r>
          </w:p>
        </w:tc>
        <w:tc>
          <w:tcPr>
            <w:tcW w:w="939" w:type="dxa"/>
            <w:noWrap/>
            <w:vAlign w:val="center"/>
            <w:hideMark/>
          </w:tcPr>
          <w:p w14:paraId="54294AA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1 819</w:t>
            </w:r>
          </w:p>
        </w:tc>
      </w:tr>
      <w:tr w:rsidR="00DE5A48" w:rsidRPr="006070EA" w14:paraId="75B7C5AD" w14:textId="77777777" w:rsidTr="00A07BAD">
        <w:trPr>
          <w:trHeight w:val="300"/>
          <w:jc w:val="center"/>
        </w:trPr>
        <w:tc>
          <w:tcPr>
            <w:tcW w:w="505" w:type="dxa"/>
            <w:noWrap/>
            <w:vAlign w:val="center"/>
            <w:hideMark/>
          </w:tcPr>
          <w:p w14:paraId="535C980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2013</w:t>
            </w:r>
          </w:p>
        </w:tc>
        <w:tc>
          <w:tcPr>
            <w:tcW w:w="850" w:type="dxa"/>
            <w:noWrap/>
            <w:vAlign w:val="center"/>
            <w:hideMark/>
          </w:tcPr>
          <w:p w14:paraId="651B76B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15</w:t>
            </w:r>
          </w:p>
        </w:tc>
        <w:tc>
          <w:tcPr>
            <w:tcW w:w="686" w:type="dxa"/>
            <w:noWrap/>
            <w:vAlign w:val="center"/>
            <w:hideMark/>
          </w:tcPr>
          <w:p w14:paraId="69A648F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18</w:t>
            </w:r>
          </w:p>
        </w:tc>
        <w:tc>
          <w:tcPr>
            <w:tcW w:w="1020" w:type="dxa"/>
            <w:noWrap/>
            <w:vAlign w:val="center"/>
            <w:hideMark/>
          </w:tcPr>
          <w:p w14:paraId="2B49D03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37</w:t>
            </w:r>
          </w:p>
        </w:tc>
        <w:tc>
          <w:tcPr>
            <w:tcW w:w="1020" w:type="dxa"/>
            <w:noWrap/>
            <w:vAlign w:val="center"/>
            <w:hideMark/>
          </w:tcPr>
          <w:p w14:paraId="49C5DFCA"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33</w:t>
            </w:r>
          </w:p>
        </w:tc>
        <w:tc>
          <w:tcPr>
            <w:tcW w:w="1361" w:type="dxa"/>
            <w:noWrap/>
            <w:vAlign w:val="center"/>
            <w:hideMark/>
          </w:tcPr>
          <w:p w14:paraId="4727345B"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w:t>
            </w:r>
          </w:p>
        </w:tc>
        <w:tc>
          <w:tcPr>
            <w:tcW w:w="1361" w:type="dxa"/>
            <w:noWrap/>
            <w:vAlign w:val="center"/>
            <w:hideMark/>
          </w:tcPr>
          <w:p w14:paraId="46105715"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w:t>
            </w:r>
          </w:p>
        </w:tc>
        <w:tc>
          <w:tcPr>
            <w:tcW w:w="1361" w:type="dxa"/>
            <w:noWrap/>
            <w:vAlign w:val="center"/>
            <w:hideMark/>
          </w:tcPr>
          <w:p w14:paraId="7BE99A2A"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w:t>
            </w:r>
          </w:p>
        </w:tc>
        <w:tc>
          <w:tcPr>
            <w:tcW w:w="939" w:type="dxa"/>
            <w:noWrap/>
            <w:vAlign w:val="center"/>
            <w:hideMark/>
          </w:tcPr>
          <w:p w14:paraId="4BCC3FC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1 820</w:t>
            </w:r>
          </w:p>
        </w:tc>
      </w:tr>
      <w:tr w:rsidR="00DE5A48" w:rsidRPr="006070EA" w14:paraId="633C9B9D" w14:textId="77777777" w:rsidTr="00A07BAD">
        <w:trPr>
          <w:trHeight w:val="300"/>
          <w:jc w:val="center"/>
        </w:trPr>
        <w:tc>
          <w:tcPr>
            <w:tcW w:w="505" w:type="dxa"/>
            <w:noWrap/>
            <w:vAlign w:val="center"/>
            <w:hideMark/>
          </w:tcPr>
          <w:p w14:paraId="26277EE0"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2014</w:t>
            </w:r>
          </w:p>
        </w:tc>
        <w:tc>
          <w:tcPr>
            <w:tcW w:w="850" w:type="dxa"/>
            <w:noWrap/>
            <w:vAlign w:val="center"/>
            <w:hideMark/>
          </w:tcPr>
          <w:p w14:paraId="7CA56A9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18</w:t>
            </w:r>
          </w:p>
        </w:tc>
        <w:tc>
          <w:tcPr>
            <w:tcW w:w="686" w:type="dxa"/>
            <w:noWrap/>
            <w:vAlign w:val="center"/>
            <w:hideMark/>
          </w:tcPr>
          <w:p w14:paraId="70F81FD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14</w:t>
            </w:r>
          </w:p>
        </w:tc>
        <w:tc>
          <w:tcPr>
            <w:tcW w:w="1020" w:type="dxa"/>
            <w:noWrap/>
            <w:vAlign w:val="center"/>
            <w:hideMark/>
          </w:tcPr>
          <w:p w14:paraId="79EB53D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59</w:t>
            </w:r>
          </w:p>
        </w:tc>
        <w:tc>
          <w:tcPr>
            <w:tcW w:w="1020" w:type="dxa"/>
            <w:noWrap/>
            <w:vAlign w:val="center"/>
            <w:hideMark/>
          </w:tcPr>
          <w:p w14:paraId="53FCA1B1"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31</w:t>
            </w:r>
          </w:p>
        </w:tc>
        <w:tc>
          <w:tcPr>
            <w:tcW w:w="1361" w:type="dxa"/>
            <w:noWrap/>
            <w:vAlign w:val="center"/>
            <w:hideMark/>
          </w:tcPr>
          <w:p w14:paraId="1DD3F8DE"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w:t>
            </w:r>
          </w:p>
        </w:tc>
        <w:tc>
          <w:tcPr>
            <w:tcW w:w="1361" w:type="dxa"/>
            <w:noWrap/>
            <w:vAlign w:val="center"/>
            <w:hideMark/>
          </w:tcPr>
          <w:p w14:paraId="67FF0FE6"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28</w:t>
            </w:r>
          </w:p>
        </w:tc>
        <w:tc>
          <w:tcPr>
            <w:tcW w:w="1361" w:type="dxa"/>
            <w:noWrap/>
            <w:vAlign w:val="center"/>
            <w:hideMark/>
          </w:tcPr>
          <w:p w14:paraId="3F11CDAF"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32</w:t>
            </w:r>
          </w:p>
        </w:tc>
        <w:tc>
          <w:tcPr>
            <w:tcW w:w="939" w:type="dxa"/>
            <w:noWrap/>
            <w:vAlign w:val="center"/>
            <w:hideMark/>
          </w:tcPr>
          <w:p w14:paraId="290C9854"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1 852</w:t>
            </w:r>
          </w:p>
        </w:tc>
      </w:tr>
      <w:tr w:rsidR="00DE5A48" w:rsidRPr="006070EA" w14:paraId="000DE79C" w14:textId="77777777" w:rsidTr="00A07BAD">
        <w:trPr>
          <w:trHeight w:val="300"/>
          <w:jc w:val="center"/>
        </w:trPr>
        <w:tc>
          <w:tcPr>
            <w:tcW w:w="505" w:type="dxa"/>
            <w:noWrap/>
            <w:vAlign w:val="center"/>
            <w:hideMark/>
          </w:tcPr>
          <w:p w14:paraId="272AD2B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2015</w:t>
            </w:r>
          </w:p>
        </w:tc>
        <w:tc>
          <w:tcPr>
            <w:tcW w:w="850" w:type="dxa"/>
            <w:noWrap/>
            <w:vAlign w:val="center"/>
            <w:hideMark/>
          </w:tcPr>
          <w:p w14:paraId="00375AE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19</w:t>
            </w:r>
          </w:p>
        </w:tc>
        <w:tc>
          <w:tcPr>
            <w:tcW w:w="686" w:type="dxa"/>
            <w:noWrap/>
            <w:vAlign w:val="center"/>
            <w:hideMark/>
          </w:tcPr>
          <w:p w14:paraId="66A7594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20</w:t>
            </w:r>
          </w:p>
        </w:tc>
        <w:tc>
          <w:tcPr>
            <w:tcW w:w="1020" w:type="dxa"/>
            <w:noWrap/>
            <w:vAlign w:val="center"/>
            <w:hideMark/>
          </w:tcPr>
          <w:p w14:paraId="3D183728"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49</w:t>
            </w:r>
          </w:p>
        </w:tc>
        <w:tc>
          <w:tcPr>
            <w:tcW w:w="1020" w:type="dxa"/>
            <w:noWrap/>
            <w:vAlign w:val="center"/>
            <w:hideMark/>
          </w:tcPr>
          <w:p w14:paraId="6508DD42"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52</w:t>
            </w:r>
          </w:p>
        </w:tc>
        <w:tc>
          <w:tcPr>
            <w:tcW w:w="1361" w:type="dxa"/>
            <w:noWrap/>
            <w:vAlign w:val="center"/>
            <w:hideMark/>
          </w:tcPr>
          <w:p w14:paraId="201D241D"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w:t>
            </w:r>
          </w:p>
        </w:tc>
        <w:tc>
          <w:tcPr>
            <w:tcW w:w="1361" w:type="dxa"/>
            <w:noWrap/>
            <w:vAlign w:val="center"/>
            <w:hideMark/>
          </w:tcPr>
          <w:p w14:paraId="18FF3F0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-3</w:t>
            </w:r>
          </w:p>
        </w:tc>
        <w:tc>
          <w:tcPr>
            <w:tcW w:w="1361" w:type="dxa"/>
            <w:noWrap/>
            <w:vAlign w:val="center"/>
            <w:hideMark/>
          </w:tcPr>
          <w:p w14:paraId="1321EF39"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-4</w:t>
            </w:r>
          </w:p>
        </w:tc>
        <w:tc>
          <w:tcPr>
            <w:tcW w:w="939" w:type="dxa"/>
            <w:noWrap/>
            <w:vAlign w:val="center"/>
            <w:hideMark/>
          </w:tcPr>
          <w:p w14:paraId="17E324F7" w14:textId="77777777" w:rsidR="00DE5A48" w:rsidRPr="006070EA" w:rsidRDefault="00DE5A48" w:rsidP="00DE5A48">
            <w:pPr>
              <w:spacing w:after="0"/>
              <w:jc w:val="center"/>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1 848</w:t>
            </w:r>
          </w:p>
        </w:tc>
      </w:tr>
    </w:tbl>
    <w:p w14:paraId="7778FF0C" w14:textId="687089B9" w:rsidR="009E5E88" w:rsidRPr="006070EA" w:rsidRDefault="009E5E88" w:rsidP="00A07BAD">
      <w:pPr>
        <w:pStyle w:val="Atextkurzva"/>
        <w:keepNext/>
        <w:spacing w:after="60"/>
        <w:rPr>
          <w:rFonts w:asciiTheme="majorHAnsi" w:hAnsiTheme="majorHAnsi" w:cstheme="majorHAnsi"/>
          <w:color w:val="000000"/>
          <w:szCs w:val="18"/>
        </w:rPr>
      </w:pPr>
      <w:r w:rsidRPr="006070EA">
        <w:rPr>
          <w:rFonts w:asciiTheme="majorHAnsi" w:hAnsiTheme="majorHAnsi" w:cstheme="majorHAnsi"/>
          <w:color w:val="000000"/>
          <w:szCs w:val="18"/>
        </w:rPr>
        <w:t xml:space="preserve">Graf: Přirozený, migrační a celkový přírůstek v Kostomlatech nad Labem v období </w:t>
      </w:r>
      <w:proofErr w:type="gramStart"/>
      <w:r w:rsidRPr="006070EA">
        <w:rPr>
          <w:rFonts w:asciiTheme="majorHAnsi" w:hAnsiTheme="majorHAnsi" w:cstheme="majorHAnsi"/>
          <w:color w:val="000000"/>
          <w:szCs w:val="18"/>
        </w:rPr>
        <w:t xml:space="preserve">1995 </w:t>
      </w:r>
      <w:r w:rsidR="00A07BAD"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2015</w:t>
      </w:r>
      <w:proofErr w:type="gramEnd"/>
      <w:r w:rsidRPr="006070EA">
        <w:rPr>
          <w:rFonts w:asciiTheme="majorHAnsi" w:hAnsiTheme="majorHAnsi" w:cstheme="majorHAnsi"/>
          <w:color w:val="000000"/>
          <w:szCs w:val="18"/>
        </w:rPr>
        <w:t xml:space="preserve"> </w:t>
      </w:r>
    </w:p>
    <w:p w14:paraId="77DD661E" w14:textId="2E516AB6" w:rsidR="009E5E88" w:rsidRPr="006070EA" w:rsidRDefault="009E5E88" w:rsidP="009E5E88">
      <w:pPr>
        <w:jc w:val="both"/>
        <w:rPr>
          <w:rFonts w:asciiTheme="majorHAnsi" w:hAnsiTheme="majorHAnsi" w:cstheme="majorHAnsi"/>
          <w:color w:val="000000"/>
          <w:sz w:val="18"/>
          <w:szCs w:val="18"/>
        </w:rPr>
      </w:pPr>
      <w:r w:rsidRPr="006070EA">
        <w:rPr>
          <w:rFonts w:asciiTheme="majorHAnsi" w:hAnsiTheme="majorHAnsi" w:cstheme="majorHAnsi"/>
          <w:noProof/>
          <w:color w:val="000000"/>
          <w:sz w:val="18"/>
          <w:szCs w:val="18"/>
          <w:lang w:eastAsia="cs-CZ"/>
        </w:rPr>
        <w:drawing>
          <wp:inline distT="0" distB="0" distL="0" distR="0" wp14:anchorId="0B17EB46" wp14:editId="7119801D">
            <wp:extent cx="5569585" cy="3290570"/>
            <wp:effectExtent l="0" t="0" r="0" b="0"/>
            <wp:docPr id="62" name="Graf 6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2153EAB1" w14:textId="735B216E" w:rsidR="00E65004" w:rsidRPr="006070EA" w:rsidRDefault="00E65004" w:rsidP="00575033">
      <w:pPr>
        <w:keepNext/>
        <w:keepLines/>
        <w:spacing w:before="120" w:after="120" w:line="240" w:lineRule="auto"/>
        <w:ind w:firstLine="709"/>
        <w:jc w:val="both"/>
        <w:rPr>
          <w:rFonts w:asciiTheme="majorHAnsi" w:hAnsiTheme="majorHAnsi" w:cstheme="majorHAnsi"/>
          <w:sz w:val="18"/>
        </w:rPr>
      </w:pPr>
      <w:r w:rsidRPr="006070EA">
        <w:rPr>
          <w:rFonts w:asciiTheme="majorHAnsi" w:hAnsiTheme="majorHAnsi" w:cstheme="majorHAnsi"/>
          <w:sz w:val="18"/>
        </w:rPr>
        <w:t>Z grafu</w:t>
      </w:r>
      <w:r w:rsidR="0097746F" w:rsidRPr="006070EA">
        <w:rPr>
          <w:rFonts w:asciiTheme="majorHAnsi" w:hAnsiTheme="majorHAnsi" w:cstheme="majorHAnsi"/>
          <w:sz w:val="18"/>
        </w:rPr>
        <w:t xml:space="preserve"> je </w:t>
      </w:r>
      <w:r w:rsidRPr="006070EA">
        <w:rPr>
          <w:rFonts w:asciiTheme="majorHAnsi" w:hAnsiTheme="majorHAnsi" w:cstheme="majorHAnsi"/>
          <w:sz w:val="18"/>
        </w:rPr>
        <w:t>patrný převažující vliv stěhování (migrační přírůstek nabývá</w:t>
      </w:r>
      <w:r w:rsidR="0097746F" w:rsidRPr="006070EA">
        <w:rPr>
          <w:rFonts w:asciiTheme="majorHAnsi" w:hAnsiTheme="majorHAnsi" w:cstheme="majorHAnsi"/>
          <w:sz w:val="18"/>
        </w:rPr>
        <w:t xml:space="preserve"> hodnot -</w:t>
      </w:r>
      <w:r w:rsidR="0016126F" w:rsidRPr="006070EA">
        <w:rPr>
          <w:rFonts w:asciiTheme="majorHAnsi" w:hAnsiTheme="majorHAnsi" w:cstheme="majorHAnsi"/>
          <w:sz w:val="18"/>
        </w:rPr>
        <w:t>14</w:t>
      </w:r>
      <w:r w:rsidR="0097746F" w:rsidRPr="006070EA">
        <w:rPr>
          <w:rFonts w:asciiTheme="majorHAnsi" w:hAnsiTheme="majorHAnsi" w:cstheme="majorHAnsi"/>
          <w:sz w:val="18"/>
        </w:rPr>
        <w:t xml:space="preserve"> až +</w:t>
      </w:r>
      <w:r w:rsidR="0016126F" w:rsidRPr="006070EA">
        <w:rPr>
          <w:rFonts w:asciiTheme="majorHAnsi" w:hAnsiTheme="majorHAnsi" w:cstheme="majorHAnsi"/>
          <w:sz w:val="18"/>
        </w:rPr>
        <w:t>12</w:t>
      </w:r>
      <w:r w:rsidRPr="006070EA">
        <w:rPr>
          <w:rFonts w:asciiTheme="majorHAnsi" w:hAnsiTheme="majorHAnsi" w:cstheme="majorHAnsi"/>
          <w:sz w:val="18"/>
        </w:rPr>
        <w:t>)</w:t>
      </w:r>
      <w:r w:rsidR="0097746F" w:rsidRPr="006070EA">
        <w:rPr>
          <w:rFonts w:asciiTheme="majorHAnsi" w:hAnsiTheme="majorHAnsi" w:cstheme="majorHAnsi"/>
          <w:sz w:val="18"/>
        </w:rPr>
        <w:t>, na celkovém přírůstku</w:t>
      </w:r>
      <w:r w:rsidRPr="006070EA">
        <w:rPr>
          <w:rFonts w:asciiTheme="majorHAnsi" w:hAnsiTheme="majorHAnsi" w:cstheme="majorHAnsi"/>
          <w:sz w:val="18"/>
        </w:rPr>
        <w:t xml:space="preserve"> oproti přirozenému pohybu (přirozený přírůstek nabývá hodnot -</w:t>
      </w:r>
      <w:r w:rsidR="00A07BAD" w:rsidRPr="006070EA">
        <w:rPr>
          <w:rFonts w:asciiTheme="majorHAnsi" w:hAnsiTheme="majorHAnsi" w:cstheme="majorHAnsi"/>
          <w:sz w:val="18"/>
        </w:rPr>
        <w:t>12</w:t>
      </w:r>
      <w:r w:rsidRPr="006070EA">
        <w:rPr>
          <w:rFonts w:asciiTheme="majorHAnsi" w:hAnsiTheme="majorHAnsi" w:cstheme="majorHAnsi"/>
          <w:sz w:val="18"/>
        </w:rPr>
        <w:t xml:space="preserve"> až +</w:t>
      </w:r>
      <w:r w:rsidR="00A07BAD" w:rsidRPr="006070EA">
        <w:rPr>
          <w:rFonts w:asciiTheme="majorHAnsi" w:hAnsiTheme="majorHAnsi" w:cstheme="majorHAnsi"/>
          <w:sz w:val="18"/>
        </w:rPr>
        <w:t>43</w:t>
      </w:r>
      <w:r w:rsidRPr="006070EA">
        <w:rPr>
          <w:rFonts w:asciiTheme="majorHAnsi" w:hAnsiTheme="majorHAnsi" w:cstheme="majorHAnsi"/>
          <w:sz w:val="18"/>
        </w:rPr>
        <w:t xml:space="preserve">). V posledních </w:t>
      </w:r>
      <w:r w:rsidR="00A07BAD" w:rsidRPr="006070EA">
        <w:rPr>
          <w:rFonts w:asciiTheme="majorHAnsi" w:hAnsiTheme="majorHAnsi" w:cstheme="majorHAnsi"/>
          <w:sz w:val="18"/>
        </w:rPr>
        <w:t>dvaceti letech</w:t>
      </w:r>
      <w:r w:rsidRPr="006070EA">
        <w:rPr>
          <w:rFonts w:asciiTheme="majorHAnsi" w:hAnsiTheme="majorHAnsi" w:cstheme="majorHAnsi"/>
          <w:sz w:val="18"/>
        </w:rPr>
        <w:t xml:space="preserve"> lze v obci zaznamenat </w:t>
      </w:r>
      <w:r w:rsidR="00A07BAD" w:rsidRPr="006070EA">
        <w:rPr>
          <w:rFonts w:asciiTheme="majorHAnsi" w:hAnsiTheme="majorHAnsi" w:cstheme="majorHAnsi"/>
          <w:sz w:val="18"/>
        </w:rPr>
        <w:t xml:space="preserve">převážně </w:t>
      </w:r>
      <w:r w:rsidRPr="006070EA">
        <w:rPr>
          <w:rFonts w:asciiTheme="majorHAnsi" w:hAnsiTheme="majorHAnsi" w:cstheme="majorHAnsi"/>
          <w:sz w:val="18"/>
        </w:rPr>
        <w:t xml:space="preserve">kontinuální nárůst počtu obyvatel, který je důsledkem </w:t>
      </w:r>
      <w:r w:rsidR="00A07BAD" w:rsidRPr="006070EA">
        <w:rPr>
          <w:rFonts w:asciiTheme="majorHAnsi" w:hAnsiTheme="majorHAnsi" w:cstheme="majorHAnsi"/>
          <w:sz w:val="18"/>
        </w:rPr>
        <w:t xml:space="preserve">převažujících </w:t>
      </w:r>
      <w:r w:rsidRPr="006070EA">
        <w:rPr>
          <w:rFonts w:asciiTheme="majorHAnsi" w:hAnsiTheme="majorHAnsi" w:cstheme="majorHAnsi"/>
          <w:sz w:val="18"/>
        </w:rPr>
        <w:t xml:space="preserve">pozitivních hodnot </w:t>
      </w:r>
      <w:r w:rsidR="00A07BAD" w:rsidRPr="006070EA">
        <w:rPr>
          <w:rFonts w:asciiTheme="majorHAnsi" w:hAnsiTheme="majorHAnsi" w:cstheme="majorHAnsi"/>
          <w:sz w:val="18"/>
        </w:rPr>
        <w:t>celkového přírůstku.</w:t>
      </w:r>
      <w:r w:rsidRPr="006070EA">
        <w:rPr>
          <w:rFonts w:asciiTheme="majorHAnsi" w:hAnsiTheme="majorHAnsi" w:cstheme="majorHAnsi"/>
          <w:sz w:val="18"/>
        </w:rPr>
        <w:t xml:space="preserve"> Celkový přírůstek tedy </w:t>
      </w:r>
      <w:r w:rsidR="00A07BAD" w:rsidRPr="006070EA">
        <w:rPr>
          <w:rFonts w:asciiTheme="majorHAnsi" w:hAnsiTheme="majorHAnsi" w:cstheme="majorHAnsi"/>
          <w:sz w:val="18"/>
        </w:rPr>
        <w:t xml:space="preserve">mezi lety 1995 a 2015 </w:t>
      </w:r>
      <w:r w:rsidRPr="006070EA">
        <w:rPr>
          <w:rFonts w:asciiTheme="majorHAnsi" w:hAnsiTheme="majorHAnsi" w:cstheme="majorHAnsi"/>
          <w:sz w:val="18"/>
        </w:rPr>
        <w:t>nabyl záporných hodnot</w:t>
      </w:r>
      <w:r w:rsidR="00A07BAD" w:rsidRPr="006070EA">
        <w:rPr>
          <w:rFonts w:asciiTheme="majorHAnsi" w:hAnsiTheme="majorHAnsi" w:cstheme="majorHAnsi"/>
          <w:sz w:val="18"/>
        </w:rPr>
        <w:t xml:space="preserve"> pouze v letech 1998, 2004-2007 a 2015</w:t>
      </w:r>
      <w:r w:rsidRPr="006070EA">
        <w:rPr>
          <w:rFonts w:asciiTheme="majorHAnsi" w:hAnsiTheme="majorHAnsi" w:cstheme="majorHAnsi"/>
          <w:sz w:val="18"/>
        </w:rPr>
        <w:t xml:space="preserve">. Při pohledu na hodnoty přirozeného přírůstku v celém sledovaném období však lze poukázat na amplitudální vývoj, kdy se poměrně pravidelně střídají sekvence progresivních, resp. regresivních období. </w:t>
      </w:r>
    </w:p>
    <w:p w14:paraId="52436075" w14:textId="614016A4" w:rsidR="00852180" w:rsidRPr="006070EA" w:rsidRDefault="00852180" w:rsidP="00852180">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Pro zajištění progresivního populačního vývoje </w:t>
      </w:r>
      <w:r w:rsidR="00233BDB" w:rsidRPr="006070EA">
        <w:rPr>
          <w:rFonts w:asciiTheme="majorHAnsi" w:hAnsiTheme="majorHAnsi" w:cstheme="majorHAnsi"/>
          <w:sz w:val="18"/>
          <w:szCs w:val="18"/>
        </w:rPr>
        <w:t xml:space="preserve">do budoucna </w:t>
      </w:r>
      <w:r w:rsidRPr="006070EA">
        <w:rPr>
          <w:rFonts w:asciiTheme="majorHAnsi" w:hAnsiTheme="majorHAnsi" w:cstheme="majorHAnsi"/>
          <w:sz w:val="18"/>
          <w:szCs w:val="18"/>
        </w:rPr>
        <w:t xml:space="preserve">je vhodné, aby dětská složka převažovala nad postreprodukční. Tento vztah však v současné sociální struktuře republiky, která je charakteristická regresivním typem věkové pyramidy, není příliš obvyklý. </w:t>
      </w:r>
    </w:p>
    <w:p w14:paraId="7DD8420A" w14:textId="77777777" w:rsidR="00852180" w:rsidRPr="006070EA" w:rsidRDefault="00852180" w:rsidP="00DD53D3">
      <w:pPr>
        <w:pStyle w:val="Mra2-reakceern"/>
        <w:keepNext/>
        <w:pBdr>
          <w:left w:val="none" w:sz="0" w:space="0" w:color="auto"/>
        </w:pBdr>
        <w:shd w:val="clear" w:color="auto" w:fill="F2F2F2" w:themeFill="background1" w:themeFillShade="F2"/>
        <w:spacing w:before="120" w:after="120"/>
        <w:ind w:left="0"/>
        <w:jc w:val="left"/>
        <w:rPr>
          <w:rFonts w:asciiTheme="majorHAnsi" w:hAnsiTheme="majorHAnsi" w:cstheme="majorHAnsi"/>
          <w:b/>
          <w:color w:val="auto"/>
          <w:sz w:val="20"/>
        </w:rPr>
      </w:pPr>
      <w:r w:rsidRPr="006070EA">
        <w:rPr>
          <w:rFonts w:asciiTheme="majorHAnsi" w:hAnsiTheme="majorHAnsi" w:cstheme="majorHAnsi"/>
          <w:b/>
          <w:color w:val="auto"/>
          <w:sz w:val="20"/>
        </w:rPr>
        <w:lastRenderedPageBreak/>
        <w:t>Dojížďka do zaměstnání a do škol</w:t>
      </w:r>
    </w:p>
    <w:p w14:paraId="6C6A7C28" w14:textId="3714FDC5" w:rsidR="00852180" w:rsidRPr="006070EA" w:rsidRDefault="00233BDB" w:rsidP="00DD53D3">
      <w:pPr>
        <w:keepNext/>
        <w:keepLines/>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Kostomlaty nad Labem jsou</w:t>
      </w:r>
      <w:r w:rsidR="00852180" w:rsidRPr="006070EA">
        <w:rPr>
          <w:rFonts w:asciiTheme="majorHAnsi" w:hAnsiTheme="majorHAnsi" w:cstheme="majorHAnsi"/>
          <w:sz w:val="18"/>
          <w:szCs w:val="18"/>
        </w:rPr>
        <w:t xml:space="preserve"> obcí se základní občanskou vybaveností. Značná část obyvatelstva </w:t>
      </w:r>
      <w:r w:rsidRPr="006070EA">
        <w:rPr>
          <w:rFonts w:asciiTheme="majorHAnsi" w:hAnsiTheme="majorHAnsi" w:cstheme="majorHAnsi"/>
          <w:sz w:val="18"/>
          <w:szCs w:val="18"/>
        </w:rPr>
        <w:t xml:space="preserve">vyjíždí </w:t>
      </w:r>
      <w:r w:rsidR="00852180" w:rsidRPr="006070EA">
        <w:rPr>
          <w:rFonts w:asciiTheme="majorHAnsi" w:hAnsiTheme="majorHAnsi" w:cstheme="majorHAnsi"/>
          <w:sz w:val="18"/>
          <w:szCs w:val="18"/>
        </w:rPr>
        <w:t>za prací a do škol dojíždět do blízkých spádových center</w:t>
      </w:r>
      <w:r w:rsidRPr="006070EA">
        <w:rPr>
          <w:rFonts w:asciiTheme="majorHAnsi" w:hAnsiTheme="majorHAnsi" w:cstheme="majorHAnsi"/>
          <w:sz w:val="18"/>
          <w:szCs w:val="18"/>
        </w:rPr>
        <w:t xml:space="preserve"> </w:t>
      </w:r>
      <w:r w:rsidR="00852180" w:rsidRPr="006070EA">
        <w:rPr>
          <w:rFonts w:asciiTheme="majorHAnsi" w:hAnsiTheme="majorHAnsi" w:cstheme="majorHAnsi"/>
          <w:sz w:val="18"/>
          <w:szCs w:val="18"/>
        </w:rPr>
        <w:t>(</w:t>
      </w:r>
      <w:r w:rsidRPr="006070EA">
        <w:rPr>
          <w:rFonts w:asciiTheme="majorHAnsi" w:hAnsiTheme="majorHAnsi" w:cstheme="majorHAnsi"/>
          <w:sz w:val="18"/>
          <w:szCs w:val="18"/>
        </w:rPr>
        <w:t>Nymburk, Praha ad.</w:t>
      </w:r>
      <w:r w:rsidR="00852180" w:rsidRPr="006070EA">
        <w:rPr>
          <w:rFonts w:asciiTheme="majorHAnsi" w:hAnsiTheme="majorHAnsi" w:cstheme="majorHAnsi"/>
          <w:sz w:val="18"/>
          <w:szCs w:val="18"/>
        </w:rPr>
        <w:t xml:space="preserve">). V roce 2011 vyjíždělo z obce do zaměstnání a do škol </w:t>
      </w:r>
      <w:r w:rsidRPr="006070EA">
        <w:rPr>
          <w:rFonts w:asciiTheme="majorHAnsi" w:hAnsiTheme="majorHAnsi" w:cstheme="majorHAnsi"/>
          <w:sz w:val="18"/>
          <w:szCs w:val="18"/>
        </w:rPr>
        <w:t xml:space="preserve">544 obyvatel, tedy </w:t>
      </w:r>
      <w:r w:rsidR="00852180" w:rsidRPr="006070EA">
        <w:rPr>
          <w:rFonts w:asciiTheme="majorHAnsi" w:hAnsiTheme="majorHAnsi" w:cstheme="majorHAnsi"/>
          <w:sz w:val="18"/>
          <w:szCs w:val="18"/>
        </w:rPr>
        <w:t>2</w:t>
      </w:r>
      <w:r w:rsidRPr="006070EA">
        <w:rPr>
          <w:rFonts w:asciiTheme="majorHAnsi" w:hAnsiTheme="majorHAnsi" w:cstheme="majorHAnsi"/>
          <w:sz w:val="18"/>
          <w:szCs w:val="18"/>
        </w:rPr>
        <w:t>9</w:t>
      </w:r>
      <w:r w:rsidR="00852180" w:rsidRPr="006070EA">
        <w:rPr>
          <w:rFonts w:asciiTheme="majorHAnsi" w:hAnsiTheme="majorHAnsi" w:cstheme="majorHAnsi"/>
          <w:sz w:val="18"/>
          <w:szCs w:val="18"/>
        </w:rPr>
        <w:t xml:space="preserve"> %. </w:t>
      </w:r>
      <w:r w:rsidRPr="006070EA">
        <w:rPr>
          <w:rFonts w:asciiTheme="majorHAnsi" w:hAnsiTheme="majorHAnsi" w:cstheme="majorHAnsi"/>
          <w:sz w:val="18"/>
          <w:szCs w:val="18"/>
        </w:rPr>
        <w:t>Do Kostomlat nad Labem dojížd</w:t>
      </w:r>
      <w:r w:rsidR="008F5436" w:rsidRPr="006070EA">
        <w:rPr>
          <w:rFonts w:asciiTheme="majorHAnsi" w:hAnsiTheme="majorHAnsi" w:cstheme="majorHAnsi"/>
          <w:sz w:val="18"/>
          <w:szCs w:val="18"/>
        </w:rPr>
        <w:t>ělo v témže roce</w:t>
      </w:r>
      <w:r w:rsidRPr="006070EA">
        <w:rPr>
          <w:rFonts w:asciiTheme="majorHAnsi" w:hAnsiTheme="majorHAnsi" w:cstheme="majorHAnsi"/>
          <w:sz w:val="18"/>
          <w:szCs w:val="18"/>
        </w:rPr>
        <w:t xml:space="preserve"> </w:t>
      </w:r>
      <w:r w:rsidR="008F5436" w:rsidRPr="006070EA">
        <w:rPr>
          <w:rFonts w:asciiTheme="majorHAnsi" w:hAnsiTheme="majorHAnsi" w:cstheme="majorHAnsi"/>
          <w:sz w:val="18"/>
          <w:szCs w:val="18"/>
        </w:rPr>
        <w:t>za zaměstnáním a do škol 61 obyvatel. Obec tedy disponuje vlastním spádovým územím dojížďky.</w:t>
      </w:r>
    </w:p>
    <w:p w14:paraId="1E502387" w14:textId="77777777" w:rsidR="009E5E88" w:rsidRPr="006070EA" w:rsidRDefault="009E5E88" w:rsidP="00233BDB">
      <w:pPr>
        <w:pStyle w:val="Atextkurzva"/>
        <w:keepNext/>
        <w:spacing w:after="60"/>
        <w:rPr>
          <w:rFonts w:asciiTheme="majorHAnsi" w:hAnsiTheme="majorHAnsi" w:cstheme="majorHAnsi"/>
        </w:rPr>
      </w:pPr>
      <w:r w:rsidRPr="006070EA">
        <w:rPr>
          <w:rFonts w:asciiTheme="majorHAnsi" w:hAnsiTheme="majorHAnsi" w:cstheme="majorHAnsi"/>
        </w:rPr>
        <w:t>Tab. Vyjížďka obyvatel do zaměstnání a do škol (dle ČSÚ, k 26. 3. 2011)</w:t>
      </w:r>
    </w:p>
    <w:tbl>
      <w:tblPr>
        <w:tblW w:w="0" w:type="auto"/>
        <w:jc w:val="center"/>
        <w:tblLook w:val="04A0" w:firstRow="1" w:lastRow="0" w:firstColumn="1" w:lastColumn="0" w:noHBand="0" w:noVBand="1"/>
      </w:tblPr>
      <w:tblGrid>
        <w:gridCol w:w="1098"/>
        <w:gridCol w:w="634"/>
        <w:gridCol w:w="765"/>
        <w:gridCol w:w="697"/>
        <w:gridCol w:w="738"/>
        <w:gridCol w:w="691"/>
        <w:gridCol w:w="984"/>
        <w:gridCol w:w="622"/>
        <w:gridCol w:w="771"/>
        <w:gridCol w:w="671"/>
        <w:gridCol w:w="712"/>
        <w:gridCol w:w="687"/>
      </w:tblGrid>
      <w:tr w:rsidR="008F5436" w:rsidRPr="006070EA" w14:paraId="78D7EF3F" w14:textId="77777777" w:rsidTr="00233BDB">
        <w:trPr>
          <w:trHeight w:val="283"/>
          <w:jc w:val="center"/>
        </w:trPr>
        <w:tc>
          <w:tcPr>
            <w:tcW w:w="1102" w:type="dxa"/>
            <w:vMerge w:val="restart"/>
            <w:tcBorders>
              <w:top w:val="nil"/>
              <w:left w:val="nil"/>
              <w:bottom w:val="single" w:sz="12" w:space="0" w:color="auto"/>
              <w:right w:val="single" w:sz="12" w:space="0" w:color="auto"/>
            </w:tcBorders>
            <w:vAlign w:val="center"/>
            <w:hideMark/>
          </w:tcPr>
          <w:p w14:paraId="036FB3C2" w14:textId="77777777" w:rsidR="009E5E88" w:rsidRPr="006070EA" w:rsidRDefault="009E5E88" w:rsidP="00233BDB">
            <w:pPr>
              <w:pStyle w:val="Bezmezer"/>
              <w:keepNext/>
              <w:tabs>
                <w:tab w:val="left" w:pos="720"/>
              </w:tabs>
              <w:jc w:val="center"/>
              <w:rPr>
                <w:rFonts w:asciiTheme="majorHAnsi" w:hAnsiTheme="majorHAnsi" w:cstheme="majorHAnsi"/>
                <w:b/>
                <w:lang w:val="cs-CZ"/>
              </w:rPr>
            </w:pPr>
            <w:r w:rsidRPr="006070EA">
              <w:rPr>
                <w:rFonts w:asciiTheme="majorHAnsi" w:hAnsiTheme="majorHAnsi" w:cstheme="majorHAnsi"/>
                <w:b/>
                <w:lang w:val="cs-CZ"/>
              </w:rPr>
              <w:t>vyjíždějící do zaměstnání celkem</w:t>
            </w:r>
          </w:p>
        </w:tc>
        <w:tc>
          <w:tcPr>
            <w:tcW w:w="3546" w:type="dxa"/>
            <w:gridSpan w:val="5"/>
            <w:tcBorders>
              <w:top w:val="nil"/>
              <w:left w:val="single" w:sz="12" w:space="0" w:color="auto"/>
              <w:bottom w:val="single" w:sz="12" w:space="0" w:color="auto"/>
              <w:right w:val="single" w:sz="12" w:space="0" w:color="auto"/>
            </w:tcBorders>
            <w:vAlign w:val="center"/>
          </w:tcPr>
          <w:p w14:paraId="6F4FD86A"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z toho</w:t>
            </w:r>
          </w:p>
        </w:tc>
        <w:tc>
          <w:tcPr>
            <w:tcW w:w="990" w:type="dxa"/>
            <w:vMerge w:val="restart"/>
            <w:tcBorders>
              <w:top w:val="nil"/>
              <w:left w:val="single" w:sz="12" w:space="0" w:color="auto"/>
              <w:bottom w:val="single" w:sz="12" w:space="0" w:color="auto"/>
              <w:right w:val="single" w:sz="12" w:space="0" w:color="auto"/>
            </w:tcBorders>
            <w:vAlign w:val="center"/>
            <w:hideMark/>
          </w:tcPr>
          <w:p w14:paraId="652E4A86"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vyjíždějící do škol celkem</w:t>
            </w:r>
          </w:p>
        </w:tc>
        <w:tc>
          <w:tcPr>
            <w:tcW w:w="509" w:type="dxa"/>
            <w:tcBorders>
              <w:top w:val="nil"/>
              <w:left w:val="single" w:sz="12" w:space="0" w:color="auto"/>
              <w:bottom w:val="single" w:sz="12" w:space="0" w:color="auto"/>
              <w:right w:val="single" w:sz="12" w:space="0" w:color="auto"/>
            </w:tcBorders>
            <w:vAlign w:val="center"/>
          </w:tcPr>
          <w:p w14:paraId="3BEDE5CD" w14:textId="77777777" w:rsidR="009E5E88" w:rsidRPr="006070EA" w:rsidRDefault="009E5E88" w:rsidP="00233BDB">
            <w:pPr>
              <w:pStyle w:val="Bezmezer"/>
              <w:keepNext/>
              <w:jc w:val="center"/>
              <w:rPr>
                <w:rFonts w:asciiTheme="majorHAnsi" w:hAnsiTheme="majorHAnsi" w:cstheme="majorHAnsi"/>
                <w:b/>
                <w:lang w:val="cs-CZ"/>
              </w:rPr>
            </w:pPr>
          </w:p>
        </w:tc>
        <w:tc>
          <w:tcPr>
            <w:tcW w:w="2857" w:type="dxa"/>
            <w:gridSpan w:val="4"/>
            <w:tcBorders>
              <w:top w:val="nil"/>
              <w:left w:val="single" w:sz="12" w:space="0" w:color="auto"/>
              <w:bottom w:val="single" w:sz="12" w:space="0" w:color="auto"/>
              <w:right w:val="nil"/>
            </w:tcBorders>
            <w:vAlign w:val="center"/>
            <w:hideMark/>
          </w:tcPr>
          <w:p w14:paraId="3095AB43"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z toho</w:t>
            </w:r>
          </w:p>
        </w:tc>
      </w:tr>
      <w:tr w:rsidR="008F5436" w:rsidRPr="006070EA" w14:paraId="7A18F108" w14:textId="77777777" w:rsidTr="00233BDB">
        <w:trPr>
          <w:trHeight w:val="283"/>
          <w:jc w:val="center"/>
        </w:trPr>
        <w:tc>
          <w:tcPr>
            <w:tcW w:w="1102" w:type="dxa"/>
            <w:vMerge/>
            <w:tcBorders>
              <w:top w:val="nil"/>
              <w:left w:val="nil"/>
              <w:bottom w:val="single" w:sz="12" w:space="0" w:color="auto"/>
              <w:right w:val="single" w:sz="12" w:space="0" w:color="auto"/>
            </w:tcBorders>
            <w:vAlign w:val="center"/>
            <w:hideMark/>
          </w:tcPr>
          <w:p w14:paraId="0F022FC9" w14:textId="77777777" w:rsidR="009E5E88" w:rsidRPr="006070EA" w:rsidRDefault="009E5E88" w:rsidP="00233BDB">
            <w:pPr>
              <w:keepNext/>
              <w:jc w:val="center"/>
              <w:rPr>
                <w:rFonts w:asciiTheme="majorHAnsi" w:eastAsia="Calibri" w:hAnsiTheme="majorHAnsi" w:cstheme="majorHAnsi"/>
                <w:b/>
                <w:sz w:val="18"/>
                <w:lang w:bidi="en-US"/>
              </w:rPr>
            </w:pPr>
          </w:p>
        </w:tc>
        <w:tc>
          <w:tcPr>
            <w:tcW w:w="635" w:type="dxa"/>
            <w:tcBorders>
              <w:top w:val="single" w:sz="12" w:space="0" w:color="auto"/>
              <w:left w:val="single" w:sz="12" w:space="0" w:color="auto"/>
              <w:bottom w:val="single" w:sz="12" w:space="0" w:color="auto"/>
              <w:right w:val="single" w:sz="12" w:space="0" w:color="auto"/>
            </w:tcBorders>
            <w:vAlign w:val="center"/>
          </w:tcPr>
          <w:p w14:paraId="61EFFB13"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w:t>
            </w:r>
          </w:p>
          <w:p w14:paraId="4E7FE590"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rámci obce</w:t>
            </w:r>
          </w:p>
        </w:tc>
        <w:tc>
          <w:tcPr>
            <w:tcW w:w="770" w:type="dxa"/>
            <w:tcBorders>
              <w:top w:val="single" w:sz="12" w:space="0" w:color="auto"/>
              <w:left w:val="single" w:sz="12" w:space="0" w:color="auto"/>
              <w:bottom w:val="single" w:sz="12" w:space="0" w:color="auto"/>
              <w:right w:val="single" w:sz="12" w:space="0" w:color="auto"/>
            </w:tcBorders>
            <w:vAlign w:val="center"/>
            <w:hideMark/>
          </w:tcPr>
          <w:p w14:paraId="1B96A11A"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 rámci okresu</w:t>
            </w:r>
          </w:p>
        </w:tc>
        <w:tc>
          <w:tcPr>
            <w:tcW w:w="703" w:type="dxa"/>
            <w:tcBorders>
              <w:top w:val="single" w:sz="12" w:space="0" w:color="auto"/>
              <w:left w:val="single" w:sz="12" w:space="0" w:color="auto"/>
              <w:bottom w:val="single" w:sz="12" w:space="0" w:color="auto"/>
              <w:right w:val="single" w:sz="12" w:space="0" w:color="auto"/>
            </w:tcBorders>
            <w:vAlign w:val="center"/>
            <w:hideMark/>
          </w:tcPr>
          <w:p w14:paraId="7CAF2979"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 rámci kraje</w:t>
            </w:r>
          </w:p>
        </w:tc>
        <w:tc>
          <w:tcPr>
            <w:tcW w:w="743" w:type="dxa"/>
            <w:tcBorders>
              <w:top w:val="single" w:sz="12" w:space="0" w:color="auto"/>
              <w:left w:val="single" w:sz="12" w:space="0" w:color="auto"/>
              <w:bottom w:val="single" w:sz="12" w:space="0" w:color="auto"/>
              <w:right w:val="single" w:sz="12" w:space="0" w:color="auto"/>
            </w:tcBorders>
            <w:vAlign w:val="center"/>
            <w:hideMark/>
          </w:tcPr>
          <w:p w14:paraId="66D70EA6"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do jiného kraje</w:t>
            </w:r>
          </w:p>
        </w:tc>
        <w:tc>
          <w:tcPr>
            <w:tcW w:w="695" w:type="dxa"/>
            <w:tcBorders>
              <w:top w:val="single" w:sz="12" w:space="0" w:color="auto"/>
              <w:left w:val="single" w:sz="12" w:space="0" w:color="auto"/>
              <w:bottom w:val="single" w:sz="12" w:space="0" w:color="auto"/>
              <w:right w:val="single" w:sz="12" w:space="0" w:color="auto"/>
            </w:tcBorders>
            <w:vAlign w:val="center"/>
            <w:hideMark/>
          </w:tcPr>
          <w:p w14:paraId="6359F4B5"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mimo ČR</w:t>
            </w:r>
          </w:p>
        </w:tc>
        <w:tc>
          <w:tcPr>
            <w:tcW w:w="990" w:type="dxa"/>
            <w:vMerge/>
            <w:tcBorders>
              <w:top w:val="nil"/>
              <w:left w:val="single" w:sz="12" w:space="0" w:color="auto"/>
              <w:bottom w:val="single" w:sz="12" w:space="0" w:color="auto"/>
              <w:right w:val="single" w:sz="12" w:space="0" w:color="auto"/>
            </w:tcBorders>
            <w:vAlign w:val="center"/>
            <w:hideMark/>
          </w:tcPr>
          <w:p w14:paraId="0D0DAE01" w14:textId="77777777" w:rsidR="009E5E88" w:rsidRPr="006070EA" w:rsidRDefault="009E5E88" w:rsidP="00233BDB">
            <w:pPr>
              <w:keepNext/>
              <w:jc w:val="center"/>
              <w:rPr>
                <w:rFonts w:asciiTheme="majorHAnsi" w:eastAsia="Calibri" w:hAnsiTheme="majorHAnsi" w:cstheme="majorHAnsi"/>
                <w:b/>
                <w:sz w:val="18"/>
                <w:lang w:bidi="en-US"/>
              </w:rPr>
            </w:pPr>
          </w:p>
        </w:tc>
        <w:tc>
          <w:tcPr>
            <w:tcW w:w="509" w:type="dxa"/>
            <w:tcBorders>
              <w:top w:val="nil"/>
              <w:left w:val="single" w:sz="12" w:space="0" w:color="auto"/>
              <w:bottom w:val="single" w:sz="12" w:space="0" w:color="auto"/>
              <w:right w:val="single" w:sz="12" w:space="0" w:color="auto"/>
            </w:tcBorders>
            <w:vAlign w:val="center"/>
          </w:tcPr>
          <w:p w14:paraId="60D92591"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w:t>
            </w:r>
          </w:p>
          <w:p w14:paraId="05831747"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rámci obce</w:t>
            </w:r>
          </w:p>
        </w:tc>
        <w:tc>
          <w:tcPr>
            <w:tcW w:w="776" w:type="dxa"/>
            <w:tcBorders>
              <w:top w:val="nil"/>
              <w:left w:val="single" w:sz="12" w:space="0" w:color="auto"/>
              <w:bottom w:val="single" w:sz="12" w:space="0" w:color="auto"/>
              <w:right w:val="nil"/>
            </w:tcBorders>
            <w:vAlign w:val="center"/>
            <w:hideMark/>
          </w:tcPr>
          <w:p w14:paraId="1120ABFA"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 rámci okresu</w:t>
            </w:r>
          </w:p>
        </w:tc>
        <w:tc>
          <w:tcPr>
            <w:tcW w:w="675" w:type="dxa"/>
            <w:tcBorders>
              <w:top w:val="nil"/>
              <w:left w:val="single" w:sz="12" w:space="0" w:color="auto"/>
              <w:bottom w:val="single" w:sz="12" w:space="0" w:color="auto"/>
              <w:right w:val="nil"/>
            </w:tcBorders>
            <w:vAlign w:val="center"/>
            <w:hideMark/>
          </w:tcPr>
          <w:p w14:paraId="2D725D9A"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 rámci kraje</w:t>
            </w:r>
          </w:p>
        </w:tc>
        <w:tc>
          <w:tcPr>
            <w:tcW w:w="715" w:type="dxa"/>
            <w:tcBorders>
              <w:top w:val="nil"/>
              <w:left w:val="single" w:sz="12" w:space="0" w:color="auto"/>
              <w:bottom w:val="single" w:sz="12" w:space="0" w:color="auto"/>
              <w:right w:val="nil"/>
            </w:tcBorders>
            <w:vAlign w:val="center"/>
            <w:hideMark/>
          </w:tcPr>
          <w:p w14:paraId="177DB73D"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do jiného kraje</w:t>
            </w:r>
          </w:p>
        </w:tc>
        <w:tc>
          <w:tcPr>
            <w:tcW w:w="686" w:type="dxa"/>
            <w:tcBorders>
              <w:top w:val="nil"/>
              <w:left w:val="single" w:sz="12" w:space="0" w:color="auto"/>
              <w:bottom w:val="single" w:sz="12" w:space="0" w:color="auto"/>
              <w:right w:val="nil"/>
            </w:tcBorders>
            <w:vAlign w:val="center"/>
            <w:hideMark/>
          </w:tcPr>
          <w:p w14:paraId="4CEB4DEA"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mimo ČR</w:t>
            </w:r>
          </w:p>
        </w:tc>
      </w:tr>
      <w:tr w:rsidR="008F5436" w:rsidRPr="006070EA" w14:paraId="4B3BC4AF" w14:textId="77777777" w:rsidTr="00233BDB">
        <w:trPr>
          <w:trHeight w:val="283"/>
          <w:jc w:val="center"/>
        </w:trPr>
        <w:tc>
          <w:tcPr>
            <w:tcW w:w="1102" w:type="dxa"/>
            <w:tcBorders>
              <w:top w:val="single" w:sz="12" w:space="0" w:color="auto"/>
              <w:left w:val="nil"/>
              <w:bottom w:val="nil"/>
              <w:right w:val="single" w:sz="4" w:space="0" w:color="auto"/>
            </w:tcBorders>
            <w:vAlign w:val="center"/>
            <w:hideMark/>
          </w:tcPr>
          <w:p w14:paraId="29E3B6BF"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396</w:t>
            </w:r>
          </w:p>
        </w:tc>
        <w:tc>
          <w:tcPr>
            <w:tcW w:w="635" w:type="dxa"/>
            <w:tcBorders>
              <w:top w:val="single" w:sz="12" w:space="0" w:color="auto"/>
              <w:left w:val="single" w:sz="4" w:space="0" w:color="auto"/>
              <w:bottom w:val="nil"/>
              <w:right w:val="single" w:sz="4" w:space="0" w:color="auto"/>
            </w:tcBorders>
            <w:vAlign w:val="center"/>
          </w:tcPr>
          <w:p w14:paraId="1FE67429"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36</w:t>
            </w:r>
          </w:p>
        </w:tc>
        <w:tc>
          <w:tcPr>
            <w:tcW w:w="770" w:type="dxa"/>
            <w:tcBorders>
              <w:top w:val="single" w:sz="12" w:space="0" w:color="auto"/>
              <w:left w:val="single" w:sz="4" w:space="0" w:color="auto"/>
              <w:bottom w:val="nil"/>
              <w:right w:val="single" w:sz="4" w:space="0" w:color="auto"/>
            </w:tcBorders>
            <w:vAlign w:val="center"/>
          </w:tcPr>
          <w:p w14:paraId="67031A44"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188</w:t>
            </w:r>
          </w:p>
        </w:tc>
        <w:tc>
          <w:tcPr>
            <w:tcW w:w="703" w:type="dxa"/>
            <w:tcBorders>
              <w:top w:val="single" w:sz="12" w:space="0" w:color="auto"/>
              <w:left w:val="single" w:sz="4" w:space="0" w:color="auto"/>
              <w:bottom w:val="nil"/>
              <w:right w:val="single" w:sz="4" w:space="0" w:color="auto"/>
            </w:tcBorders>
            <w:vAlign w:val="center"/>
          </w:tcPr>
          <w:p w14:paraId="7D138694"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51</w:t>
            </w:r>
          </w:p>
        </w:tc>
        <w:tc>
          <w:tcPr>
            <w:tcW w:w="743" w:type="dxa"/>
            <w:tcBorders>
              <w:top w:val="single" w:sz="12" w:space="0" w:color="auto"/>
              <w:left w:val="single" w:sz="4" w:space="0" w:color="auto"/>
              <w:bottom w:val="nil"/>
              <w:right w:val="single" w:sz="4" w:space="0" w:color="auto"/>
            </w:tcBorders>
            <w:vAlign w:val="center"/>
          </w:tcPr>
          <w:p w14:paraId="711EE0D6"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119</w:t>
            </w:r>
          </w:p>
        </w:tc>
        <w:tc>
          <w:tcPr>
            <w:tcW w:w="695" w:type="dxa"/>
            <w:tcBorders>
              <w:top w:val="single" w:sz="12" w:space="0" w:color="auto"/>
              <w:left w:val="single" w:sz="4" w:space="0" w:color="auto"/>
              <w:bottom w:val="nil"/>
              <w:right w:val="single" w:sz="4" w:space="0" w:color="auto"/>
            </w:tcBorders>
            <w:vAlign w:val="center"/>
          </w:tcPr>
          <w:p w14:paraId="48A4625C"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2</w:t>
            </w:r>
          </w:p>
        </w:tc>
        <w:tc>
          <w:tcPr>
            <w:tcW w:w="990" w:type="dxa"/>
            <w:tcBorders>
              <w:top w:val="single" w:sz="12" w:space="0" w:color="auto"/>
              <w:left w:val="single" w:sz="4" w:space="0" w:color="auto"/>
              <w:bottom w:val="nil"/>
              <w:right w:val="single" w:sz="4" w:space="0" w:color="auto"/>
            </w:tcBorders>
            <w:vAlign w:val="center"/>
          </w:tcPr>
          <w:p w14:paraId="655E3D8F"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149</w:t>
            </w:r>
          </w:p>
        </w:tc>
        <w:tc>
          <w:tcPr>
            <w:tcW w:w="509" w:type="dxa"/>
            <w:tcBorders>
              <w:top w:val="single" w:sz="12" w:space="0" w:color="auto"/>
              <w:left w:val="single" w:sz="4" w:space="0" w:color="auto"/>
              <w:bottom w:val="nil"/>
              <w:right w:val="single" w:sz="4" w:space="0" w:color="auto"/>
            </w:tcBorders>
            <w:vAlign w:val="center"/>
          </w:tcPr>
          <w:p w14:paraId="6B6C847E"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54</w:t>
            </w:r>
          </w:p>
        </w:tc>
        <w:tc>
          <w:tcPr>
            <w:tcW w:w="776" w:type="dxa"/>
            <w:tcBorders>
              <w:top w:val="single" w:sz="12" w:space="0" w:color="auto"/>
              <w:left w:val="single" w:sz="4" w:space="0" w:color="auto"/>
              <w:bottom w:val="nil"/>
              <w:right w:val="single" w:sz="4" w:space="0" w:color="auto"/>
            </w:tcBorders>
            <w:vAlign w:val="center"/>
          </w:tcPr>
          <w:p w14:paraId="3D23C50B"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35</w:t>
            </w:r>
          </w:p>
        </w:tc>
        <w:tc>
          <w:tcPr>
            <w:tcW w:w="675" w:type="dxa"/>
            <w:tcBorders>
              <w:top w:val="single" w:sz="12" w:space="0" w:color="auto"/>
              <w:left w:val="single" w:sz="4" w:space="0" w:color="auto"/>
              <w:bottom w:val="nil"/>
              <w:right w:val="single" w:sz="4" w:space="0" w:color="auto"/>
            </w:tcBorders>
            <w:vAlign w:val="center"/>
          </w:tcPr>
          <w:p w14:paraId="204B06CC"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13</w:t>
            </w:r>
          </w:p>
        </w:tc>
        <w:tc>
          <w:tcPr>
            <w:tcW w:w="715" w:type="dxa"/>
            <w:tcBorders>
              <w:top w:val="single" w:sz="12" w:space="0" w:color="auto"/>
              <w:left w:val="single" w:sz="4" w:space="0" w:color="auto"/>
              <w:bottom w:val="nil"/>
              <w:right w:val="single" w:sz="4" w:space="0" w:color="auto"/>
            </w:tcBorders>
            <w:vAlign w:val="center"/>
          </w:tcPr>
          <w:p w14:paraId="795084BE"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47</w:t>
            </w:r>
          </w:p>
        </w:tc>
        <w:tc>
          <w:tcPr>
            <w:tcW w:w="686" w:type="dxa"/>
            <w:tcBorders>
              <w:top w:val="single" w:sz="12" w:space="0" w:color="auto"/>
              <w:left w:val="single" w:sz="4" w:space="0" w:color="auto"/>
              <w:bottom w:val="nil"/>
              <w:right w:val="nil"/>
            </w:tcBorders>
            <w:vAlign w:val="center"/>
          </w:tcPr>
          <w:p w14:paraId="2101558D"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w:t>
            </w:r>
          </w:p>
        </w:tc>
      </w:tr>
    </w:tbl>
    <w:p w14:paraId="336B178D" w14:textId="77777777" w:rsidR="009E5E88" w:rsidRPr="006070EA" w:rsidRDefault="009E5E88" w:rsidP="00233BDB">
      <w:pPr>
        <w:pStyle w:val="Atextkurzva"/>
        <w:keepNext/>
        <w:spacing w:after="60"/>
        <w:rPr>
          <w:rFonts w:asciiTheme="majorHAnsi" w:hAnsiTheme="majorHAnsi" w:cstheme="majorHAnsi"/>
        </w:rPr>
      </w:pPr>
      <w:r w:rsidRPr="006070EA">
        <w:rPr>
          <w:rFonts w:asciiTheme="majorHAnsi" w:hAnsiTheme="majorHAnsi" w:cstheme="majorHAnsi"/>
        </w:rPr>
        <w:t>Tab. Dojížďka obyvatel do zaměstnání a do škol (dle ČSÚ, k 26. 3. 2011)</w:t>
      </w:r>
    </w:p>
    <w:tbl>
      <w:tblPr>
        <w:tblW w:w="0" w:type="auto"/>
        <w:tblLook w:val="04A0" w:firstRow="1" w:lastRow="0" w:firstColumn="1" w:lastColumn="0" w:noHBand="0" w:noVBand="1"/>
      </w:tblPr>
      <w:tblGrid>
        <w:gridCol w:w="1177"/>
        <w:gridCol w:w="1183"/>
        <w:gridCol w:w="1176"/>
        <w:gridCol w:w="1106"/>
        <w:gridCol w:w="1109"/>
        <w:gridCol w:w="1172"/>
        <w:gridCol w:w="1035"/>
        <w:gridCol w:w="1046"/>
      </w:tblGrid>
      <w:tr w:rsidR="008F5436" w:rsidRPr="006070EA" w14:paraId="1BA76AB6" w14:textId="77777777" w:rsidTr="00233BDB">
        <w:trPr>
          <w:trHeight w:val="283"/>
        </w:trPr>
        <w:tc>
          <w:tcPr>
            <w:tcW w:w="1177" w:type="dxa"/>
            <w:vMerge w:val="restart"/>
            <w:tcBorders>
              <w:top w:val="nil"/>
              <w:left w:val="nil"/>
              <w:bottom w:val="single" w:sz="12" w:space="0" w:color="auto"/>
              <w:right w:val="single" w:sz="12" w:space="0" w:color="auto"/>
            </w:tcBorders>
            <w:vAlign w:val="center"/>
            <w:hideMark/>
          </w:tcPr>
          <w:p w14:paraId="2E7348A7" w14:textId="77777777" w:rsidR="009E5E88" w:rsidRPr="006070EA" w:rsidRDefault="009E5E88" w:rsidP="00233BDB">
            <w:pPr>
              <w:pStyle w:val="Bezmezer"/>
              <w:keepNext/>
              <w:tabs>
                <w:tab w:val="left" w:pos="720"/>
              </w:tabs>
              <w:jc w:val="center"/>
              <w:rPr>
                <w:rFonts w:asciiTheme="majorHAnsi" w:hAnsiTheme="majorHAnsi" w:cstheme="majorHAnsi"/>
                <w:b/>
                <w:lang w:val="cs-CZ"/>
              </w:rPr>
            </w:pPr>
            <w:r w:rsidRPr="006070EA">
              <w:rPr>
                <w:rFonts w:asciiTheme="majorHAnsi" w:hAnsiTheme="majorHAnsi" w:cstheme="majorHAnsi"/>
                <w:b/>
                <w:lang w:val="cs-CZ"/>
              </w:rPr>
              <w:t>dojížďky do zaměstnání celkem</w:t>
            </w:r>
          </w:p>
        </w:tc>
        <w:tc>
          <w:tcPr>
            <w:tcW w:w="3465" w:type="dxa"/>
            <w:gridSpan w:val="3"/>
            <w:tcBorders>
              <w:top w:val="nil"/>
              <w:left w:val="single" w:sz="12" w:space="0" w:color="auto"/>
              <w:bottom w:val="single" w:sz="12" w:space="0" w:color="auto"/>
              <w:right w:val="single" w:sz="12" w:space="0" w:color="auto"/>
            </w:tcBorders>
            <w:vAlign w:val="center"/>
            <w:hideMark/>
          </w:tcPr>
          <w:p w14:paraId="17B6ECA3" w14:textId="2E104C80"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z toho</w:t>
            </w:r>
          </w:p>
        </w:tc>
        <w:tc>
          <w:tcPr>
            <w:tcW w:w="1109" w:type="dxa"/>
            <w:vMerge w:val="restart"/>
            <w:tcBorders>
              <w:top w:val="nil"/>
              <w:left w:val="single" w:sz="12" w:space="0" w:color="auto"/>
              <w:bottom w:val="single" w:sz="12" w:space="0" w:color="auto"/>
              <w:right w:val="single" w:sz="12" w:space="0" w:color="auto"/>
            </w:tcBorders>
            <w:vAlign w:val="center"/>
            <w:hideMark/>
          </w:tcPr>
          <w:p w14:paraId="5FA0E502"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dojížďky do škol celkem</w:t>
            </w:r>
          </w:p>
        </w:tc>
        <w:tc>
          <w:tcPr>
            <w:tcW w:w="3253" w:type="dxa"/>
            <w:gridSpan w:val="3"/>
            <w:tcBorders>
              <w:top w:val="nil"/>
              <w:left w:val="single" w:sz="12" w:space="0" w:color="auto"/>
              <w:bottom w:val="single" w:sz="12" w:space="0" w:color="auto"/>
              <w:right w:val="nil"/>
            </w:tcBorders>
            <w:vAlign w:val="center"/>
            <w:hideMark/>
          </w:tcPr>
          <w:p w14:paraId="3A7E559E" w14:textId="4253A34A"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z toho</w:t>
            </w:r>
          </w:p>
        </w:tc>
      </w:tr>
      <w:tr w:rsidR="008F5436" w:rsidRPr="006070EA" w14:paraId="36988A94" w14:textId="77777777" w:rsidTr="00233BDB">
        <w:trPr>
          <w:trHeight w:val="283"/>
        </w:trPr>
        <w:tc>
          <w:tcPr>
            <w:tcW w:w="0" w:type="auto"/>
            <w:vMerge/>
            <w:tcBorders>
              <w:top w:val="nil"/>
              <w:left w:val="nil"/>
              <w:bottom w:val="single" w:sz="12" w:space="0" w:color="auto"/>
              <w:right w:val="single" w:sz="12" w:space="0" w:color="auto"/>
            </w:tcBorders>
            <w:vAlign w:val="center"/>
            <w:hideMark/>
          </w:tcPr>
          <w:p w14:paraId="00B59992" w14:textId="77777777" w:rsidR="009E5E88" w:rsidRPr="006070EA" w:rsidRDefault="009E5E88" w:rsidP="00233BDB">
            <w:pPr>
              <w:keepNext/>
              <w:jc w:val="center"/>
              <w:rPr>
                <w:rFonts w:asciiTheme="majorHAnsi" w:eastAsia="Calibri" w:hAnsiTheme="majorHAnsi" w:cstheme="majorHAnsi"/>
                <w:b/>
                <w:sz w:val="18"/>
                <w:lang w:bidi="en-US"/>
              </w:rPr>
            </w:pPr>
          </w:p>
        </w:tc>
        <w:tc>
          <w:tcPr>
            <w:tcW w:w="1183" w:type="dxa"/>
            <w:tcBorders>
              <w:top w:val="single" w:sz="12" w:space="0" w:color="auto"/>
              <w:left w:val="single" w:sz="12" w:space="0" w:color="auto"/>
              <w:bottom w:val="single" w:sz="12" w:space="0" w:color="auto"/>
              <w:right w:val="single" w:sz="12" w:space="0" w:color="auto"/>
            </w:tcBorders>
            <w:vAlign w:val="center"/>
            <w:hideMark/>
          </w:tcPr>
          <w:p w14:paraId="51D11429"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 rámci okresu</w:t>
            </w:r>
          </w:p>
        </w:tc>
        <w:tc>
          <w:tcPr>
            <w:tcW w:w="1176" w:type="dxa"/>
            <w:tcBorders>
              <w:top w:val="single" w:sz="12" w:space="0" w:color="auto"/>
              <w:left w:val="single" w:sz="12" w:space="0" w:color="auto"/>
              <w:bottom w:val="single" w:sz="12" w:space="0" w:color="auto"/>
              <w:right w:val="single" w:sz="12" w:space="0" w:color="auto"/>
            </w:tcBorders>
            <w:vAlign w:val="center"/>
            <w:hideMark/>
          </w:tcPr>
          <w:p w14:paraId="5CFF437C"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 rámci kraje</w:t>
            </w:r>
          </w:p>
        </w:tc>
        <w:tc>
          <w:tcPr>
            <w:tcW w:w="1106" w:type="dxa"/>
            <w:tcBorders>
              <w:top w:val="single" w:sz="12" w:space="0" w:color="auto"/>
              <w:left w:val="single" w:sz="12" w:space="0" w:color="auto"/>
              <w:bottom w:val="single" w:sz="12" w:space="0" w:color="auto"/>
              <w:right w:val="single" w:sz="12" w:space="0" w:color="auto"/>
            </w:tcBorders>
            <w:vAlign w:val="center"/>
            <w:hideMark/>
          </w:tcPr>
          <w:p w14:paraId="47CCC224"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z jiného kraje</w:t>
            </w:r>
          </w:p>
        </w:tc>
        <w:tc>
          <w:tcPr>
            <w:tcW w:w="0" w:type="auto"/>
            <w:vMerge/>
            <w:tcBorders>
              <w:top w:val="nil"/>
              <w:left w:val="single" w:sz="12" w:space="0" w:color="auto"/>
              <w:bottom w:val="single" w:sz="12" w:space="0" w:color="auto"/>
              <w:right w:val="single" w:sz="12" w:space="0" w:color="auto"/>
            </w:tcBorders>
            <w:vAlign w:val="center"/>
            <w:hideMark/>
          </w:tcPr>
          <w:p w14:paraId="1540AD9B" w14:textId="77777777" w:rsidR="009E5E88" w:rsidRPr="006070EA" w:rsidRDefault="009E5E88" w:rsidP="00233BDB">
            <w:pPr>
              <w:keepNext/>
              <w:jc w:val="center"/>
              <w:rPr>
                <w:rFonts w:asciiTheme="majorHAnsi" w:eastAsia="Calibri" w:hAnsiTheme="majorHAnsi" w:cstheme="majorHAnsi"/>
                <w:b/>
                <w:sz w:val="18"/>
                <w:lang w:bidi="en-US"/>
              </w:rPr>
            </w:pPr>
          </w:p>
        </w:tc>
        <w:tc>
          <w:tcPr>
            <w:tcW w:w="1172" w:type="dxa"/>
            <w:tcBorders>
              <w:top w:val="nil"/>
              <w:left w:val="single" w:sz="12" w:space="0" w:color="auto"/>
              <w:bottom w:val="single" w:sz="12" w:space="0" w:color="auto"/>
              <w:right w:val="nil"/>
            </w:tcBorders>
            <w:vAlign w:val="center"/>
            <w:hideMark/>
          </w:tcPr>
          <w:p w14:paraId="6D50D492"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 rámci okresu</w:t>
            </w:r>
          </w:p>
        </w:tc>
        <w:tc>
          <w:tcPr>
            <w:tcW w:w="1035" w:type="dxa"/>
            <w:tcBorders>
              <w:top w:val="nil"/>
              <w:left w:val="single" w:sz="12" w:space="0" w:color="auto"/>
              <w:bottom w:val="single" w:sz="12" w:space="0" w:color="auto"/>
              <w:right w:val="nil"/>
            </w:tcBorders>
            <w:vAlign w:val="center"/>
            <w:hideMark/>
          </w:tcPr>
          <w:p w14:paraId="50F7C6E5"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v rámci kraje</w:t>
            </w:r>
          </w:p>
        </w:tc>
        <w:tc>
          <w:tcPr>
            <w:tcW w:w="1046" w:type="dxa"/>
            <w:tcBorders>
              <w:top w:val="nil"/>
              <w:left w:val="single" w:sz="12" w:space="0" w:color="auto"/>
              <w:bottom w:val="single" w:sz="12" w:space="0" w:color="auto"/>
              <w:right w:val="nil"/>
            </w:tcBorders>
            <w:vAlign w:val="center"/>
            <w:hideMark/>
          </w:tcPr>
          <w:p w14:paraId="4C9621B9" w14:textId="77777777" w:rsidR="009E5E88" w:rsidRPr="006070EA" w:rsidRDefault="009E5E88" w:rsidP="00233BDB">
            <w:pPr>
              <w:pStyle w:val="Bezmezer"/>
              <w:keepNext/>
              <w:jc w:val="center"/>
              <w:rPr>
                <w:rFonts w:asciiTheme="majorHAnsi" w:hAnsiTheme="majorHAnsi" w:cstheme="majorHAnsi"/>
                <w:b/>
                <w:lang w:val="cs-CZ"/>
              </w:rPr>
            </w:pPr>
            <w:r w:rsidRPr="006070EA">
              <w:rPr>
                <w:rFonts w:asciiTheme="majorHAnsi" w:hAnsiTheme="majorHAnsi" w:cstheme="majorHAnsi"/>
                <w:b/>
                <w:lang w:val="cs-CZ"/>
              </w:rPr>
              <w:t>z jiného kraje</w:t>
            </w:r>
          </w:p>
        </w:tc>
      </w:tr>
      <w:tr w:rsidR="008F5436" w:rsidRPr="006070EA" w14:paraId="253C2A92" w14:textId="77777777" w:rsidTr="00233BDB">
        <w:trPr>
          <w:trHeight w:val="283"/>
        </w:trPr>
        <w:tc>
          <w:tcPr>
            <w:tcW w:w="1177" w:type="dxa"/>
            <w:tcBorders>
              <w:top w:val="single" w:sz="12" w:space="0" w:color="auto"/>
              <w:left w:val="nil"/>
              <w:bottom w:val="nil"/>
              <w:right w:val="single" w:sz="4" w:space="0" w:color="auto"/>
            </w:tcBorders>
            <w:vAlign w:val="center"/>
          </w:tcPr>
          <w:p w14:paraId="1509177A"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53</w:t>
            </w:r>
          </w:p>
        </w:tc>
        <w:tc>
          <w:tcPr>
            <w:tcW w:w="1183" w:type="dxa"/>
            <w:tcBorders>
              <w:top w:val="single" w:sz="12" w:space="0" w:color="auto"/>
              <w:left w:val="single" w:sz="4" w:space="0" w:color="auto"/>
              <w:bottom w:val="nil"/>
              <w:right w:val="single" w:sz="4" w:space="0" w:color="auto"/>
            </w:tcBorders>
            <w:vAlign w:val="center"/>
          </w:tcPr>
          <w:p w14:paraId="18D65048"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44</w:t>
            </w:r>
          </w:p>
        </w:tc>
        <w:tc>
          <w:tcPr>
            <w:tcW w:w="1176" w:type="dxa"/>
            <w:tcBorders>
              <w:top w:val="single" w:sz="12" w:space="0" w:color="auto"/>
              <w:left w:val="single" w:sz="4" w:space="0" w:color="auto"/>
              <w:bottom w:val="nil"/>
              <w:right w:val="single" w:sz="4" w:space="0" w:color="auto"/>
            </w:tcBorders>
            <w:vAlign w:val="center"/>
          </w:tcPr>
          <w:p w14:paraId="70D28D08"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5</w:t>
            </w:r>
          </w:p>
        </w:tc>
        <w:tc>
          <w:tcPr>
            <w:tcW w:w="1106" w:type="dxa"/>
            <w:tcBorders>
              <w:top w:val="single" w:sz="12" w:space="0" w:color="auto"/>
              <w:left w:val="single" w:sz="4" w:space="0" w:color="auto"/>
              <w:bottom w:val="nil"/>
              <w:right w:val="single" w:sz="4" w:space="0" w:color="auto"/>
            </w:tcBorders>
            <w:vAlign w:val="center"/>
          </w:tcPr>
          <w:p w14:paraId="5879528F"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4</w:t>
            </w:r>
          </w:p>
        </w:tc>
        <w:tc>
          <w:tcPr>
            <w:tcW w:w="1109" w:type="dxa"/>
            <w:tcBorders>
              <w:top w:val="single" w:sz="12" w:space="0" w:color="auto"/>
              <w:left w:val="single" w:sz="4" w:space="0" w:color="auto"/>
              <w:bottom w:val="nil"/>
              <w:right w:val="single" w:sz="4" w:space="0" w:color="auto"/>
            </w:tcBorders>
            <w:vAlign w:val="center"/>
          </w:tcPr>
          <w:p w14:paraId="41610C18"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8</w:t>
            </w:r>
          </w:p>
        </w:tc>
        <w:tc>
          <w:tcPr>
            <w:tcW w:w="1172" w:type="dxa"/>
            <w:tcBorders>
              <w:top w:val="single" w:sz="12" w:space="0" w:color="auto"/>
              <w:left w:val="single" w:sz="4" w:space="0" w:color="auto"/>
              <w:bottom w:val="nil"/>
              <w:right w:val="single" w:sz="4" w:space="0" w:color="auto"/>
            </w:tcBorders>
            <w:vAlign w:val="center"/>
          </w:tcPr>
          <w:p w14:paraId="4319CDE2"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7</w:t>
            </w:r>
          </w:p>
        </w:tc>
        <w:tc>
          <w:tcPr>
            <w:tcW w:w="1035" w:type="dxa"/>
            <w:tcBorders>
              <w:top w:val="single" w:sz="12" w:space="0" w:color="auto"/>
              <w:left w:val="single" w:sz="4" w:space="0" w:color="auto"/>
              <w:bottom w:val="nil"/>
              <w:right w:val="single" w:sz="4" w:space="0" w:color="auto"/>
            </w:tcBorders>
            <w:vAlign w:val="center"/>
          </w:tcPr>
          <w:p w14:paraId="4FFC36C9"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w:t>
            </w:r>
          </w:p>
        </w:tc>
        <w:tc>
          <w:tcPr>
            <w:tcW w:w="1046" w:type="dxa"/>
            <w:tcBorders>
              <w:top w:val="single" w:sz="12" w:space="0" w:color="auto"/>
              <w:left w:val="single" w:sz="4" w:space="0" w:color="auto"/>
              <w:bottom w:val="nil"/>
              <w:right w:val="nil"/>
            </w:tcBorders>
            <w:vAlign w:val="center"/>
          </w:tcPr>
          <w:p w14:paraId="19CE9523" w14:textId="77777777" w:rsidR="009E5E88" w:rsidRPr="006070EA" w:rsidRDefault="009E5E88" w:rsidP="00233BDB">
            <w:pPr>
              <w:pStyle w:val="Bezmezer"/>
              <w:jc w:val="center"/>
              <w:rPr>
                <w:rFonts w:asciiTheme="majorHAnsi" w:hAnsiTheme="majorHAnsi" w:cstheme="majorHAnsi"/>
                <w:lang w:val="cs-CZ"/>
              </w:rPr>
            </w:pPr>
            <w:r w:rsidRPr="006070EA">
              <w:rPr>
                <w:rFonts w:asciiTheme="majorHAnsi" w:hAnsiTheme="majorHAnsi" w:cstheme="majorHAnsi"/>
                <w:lang w:val="cs-CZ"/>
              </w:rPr>
              <w:t>1</w:t>
            </w:r>
          </w:p>
        </w:tc>
      </w:tr>
    </w:tbl>
    <w:p w14:paraId="1E4840AA" w14:textId="77777777" w:rsidR="00567339" w:rsidRPr="006070EA" w:rsidRDefault="00567339" w:rsidP="00575033">
      <w:pPr>
        <w:pStyle w:val="Mra2-reakceern"/>
        <w:keepNext/>
        <w:pBdr>
          <w:left w:val="none" w:sz="0" w:space="0" w:color="auto"/>
        </w:pBdr>
        <w:shd w:val="clear" w:color="auto" w:fill="F2F2F2" w:themeFill="background1" w:themeFillShade="F2"/>
        <w:spacing w:before="120" w:after="120"/>
        <w:ind w:left="0"/>
        <w:rPr>
          <w:rFonts w:asciiTheme="majorHAnsi" w:hAnsiTheme="majorHAnsi" w:cstheme="majorHAnsi"/>
          <w:b/>
          <w:color w:val="auto"/>
          <w:sz w:val="20"/>
        </w:rPr>
      </w:pPr>
      <w:r w:rsidRPr="006070EA">
        <w:rPr>
          <w:rFonts w:asciiTheme="majorHAnsi" w:hAnsiTheme="majorHAnsi" w:cstheme="majorHAnsi"/>
          <w:b/>
          <w:color w:val="auto"/>
          <w:sz w:val="20"/>
        </w:rPr>
        <w:t>Struktura obyvatelstva</w:t>
      </w:r>
    </w:p>
    <w:p w14:paraId="07B37121" w14:textId="3EB3CE13" w:rsidR="009E5E88" w:rsidRPr="006070EA" w:rsidRDefault="009E5E88" w:rsidP="009E5E88">
      <w:pPr>
        <w:pStyle w:val="Atext"/>
        <w:rPr>
          <w:rFonts w:asciiTheme="majorHAnsi" w:hAnsiTheme="majorHAnsi" w:cstheme="majorHAnsi"/>
        </w:rPr>
      </w:pPr>
      <w:r w:rsidRPr="006070EA">
        <w:rPr>
          <w:rFonts w:asciiTheme="majorHAnsi" w:hAnsiTheme="majorHAnsi" w:cstheme="majorHAnsi"/>
        </w:rPr>
        <w:t>Průměrný věk obyvatel Kostomlat nad Labem čin</w:t>
      </w:r>
      <w:r w:rsidR="00804C50" w:rsidRPr="006070EA">
        <w:rPr>
          <w:rFonts w:asciiTheme="majorHAnsi" w:hAnsiTheme="majorHAnsi" w:cstheme="majorHAnsi"/>
        </w:rPr>
        <w:t>il v roce 2015</w:t>
      </w:r>
      <w:r w:rsidRPr="006070EA">
        <w:rPr>
          <w:rFonts w:asciiTheme="majorHAnsi" w:hAnsiTheme="majorHAnsi" w:cstheme="majorHAnsi"/>
        </w:rPr>
        <w:t xml:space="preserve"> 40,5 </w:t>
      </w:r>
      <w:r w:rsidR="00804C50" w:rsidRPr="006070EA">
        <w:rPr>
          <w:rFonts w:asciiTheme="majorHAnsi" w:hAnsiTheme="majorHAnsi" w:cstheme="majorHAnsi"/>
        </w:rPr>
        <w:t>let, k 1. 1. 2022 je hodnota tohoto ukazatele 41,6</w:t>
      </w:r>
      <w:r w:rsidRPr="006070EA">
        <w:rPr>
          <w:rFonts w:asciiTheme="majorHAnsi" w:hAnsiTheme="majorHAnsi" w:cstheme="majorHAnsi"/>
        </w:rPr>
        <w:t xml:space="preserve">. </w:t>
      </w:r>
      <w:r w:rsidR="00804C50" w:rsidRPr="006070EA">
        <w:rPr>
          <w:rFonts w:asciiTheme="majorHAnsi" w:hAnsiTheme="majorHAnsi" w:cstheme="majorHAnsi"/>
        </w:rPr>
        <w:t xml:space="preserve">V celkovém pohledu tedy dochází ke stárnutí populace obce. Hodnoty ukazatele v řešeném území jsou mírně nižší ve srovnání s průměrem celého okresu Nymburk a Středočeského kraje. </w:t>
      </w:r>
    </w:p>
    <w:p w14:paraId="39289949" w14:textId="77777777" w:rsidR="00D520C7" w:rsidRPr="006070EA" w:rsidRDefault="009E5E88" w:rsidP="009E5E88">
      <w:pPr>
        <w:pStyle w:val="Atext"/>
        <w:rPr>
          <w:rFonts w:asciiTheme="majorHAnsi" w:hAnsiTheme="majorHAnsi" w:cstheme="majorHAnsi"/>
        </w:rPr>
      </w:pPr>
      <w:r w:rsidRPr="006070EA">
        <w:rPr>
          <w:rFonts w:asciiTheme="majorHAnsi" w:hAnsiTheme="majorHAnsi" w:cstheme="majorHAnsi"/>
        </w:rPr>
        <w:t xml:space="preserve">Podle pohlaví je počet žen i mužů v obci </w:t>
      </w:r>
      <w:r w:rsidR="00804C50" w:rsidRPr="006070EA">
        <w:rPr>
          <w:rFonts w:asciiTheme="majorHAnsi" w:hAnsiTheme="majorHAnsi" w:cstheme="majorHAnsi"/>
        </w:rPr>
        <w:t xml:space="preserve">obdobný </w:t>
      </w:r>
      <w:r w:rsidRPr="006070EA">
        <w:rPr>
          <w:rFonts w:asciiTheme="majorHAnsi" w:hAnsiTheme="majorHAnsi" w:cstheme="majorHAnsi"/>
        </w:rPr>
        <w:t>(</w:t>
      </w:r>
      <w:r w:rsidR="00804C50" w:rsidRPr="006070EA">
        <w:rPr>
          <w:rFonts w:asciiTheme="majorHAnsi" w:hAnsiTheme="majorHAnsi" w:cstheme="majorHAnsi"/>
        </w:rPr>
        <w:t>k 1. 1. 2022 je v území 50,7% zastoupení mužů</w:t>
      </w:r>
      <w:r w:rsidRPr="006070EA">
        <w:rPr>
          <w:rFonts w:asciiTheme="majorHAnsi" w:hAnsiTheme="majorHAnsi" w:cstheme="majorHAnsi"/>
        </w:rPr>
        <w:t xml:space="preserve">). </w:t>
      </w:r>
    </w:p>
    <w:p w14:paraId="0A07A4AE" w14:textId="09436C42" w:rsidR="009E5E88" w:rsidRPr="006070EA" w:rsidRDefault="00804C50" w:rsidP="009E5E88">
      <w:pPr>
        <w:pStyle w:val="Atext"/>
        <w:rPr>
          <w:rFonts w:asciiTheme="majorHAnsi" w:hAnsiTheme="majorHAnsi" w:cstheme="majorHAnsi"/>
        </w:rPr>
      </w:pPr>
      <w:r w:rsidRPr="006070EA">
        <w:rPr>
          <w:rFonts w:asciiTheme="majorHAnsi" w:hAnsiTheme="majorHAnsi" w:cstheme="majorHAnsi"/>
        </w:rPr>
        <w:t>Podle věku</w:t>
      </w:r>
      <w:r w:rsidR="00D520C7" w:rsidRPr="006070EA">
        <w:rPr>
          <w:rFonts w:asciiTheme="majorHAnsi" w:hAnsiTheme="majorHAnsi" w:cstheme="majorHAnsi"/>
        </w:rPr>
        <w:t xml:space="preserve"> </w:t>
      </w:r>
      <w:r w:rsidRPr="006070EA">
        <w:rPr>
          <w:rFonts w:asciiTheme="majorHAnsi" w:hAnsiTheme="majorHAnsi" w:cstheme="majorHAnsi"/>
        </w:rPr>
        <w:t>je podíl předproduktivní složky (0-14 let</w:t>
      </w:r>
      <w:r w:rsidR="00D520C7" w:rsidRPr="006070EA">
        <w:rPr>
          <w:rFonts w:asciiTheme="majorHAnsi" w:hAnsiTheme="majorHAnsi" w:cstheme="majorHAnsi"/>
        </w:rPr>
        <w:t>, 339 obyvatel</w:t>
      </w:r>
      <w:r w:rsidRPr="006070EA">
        <w:rPr>
          <w:rFonts w:asciiTheme="majorHAnsi" w:hAnsiTheme="majorHAnsi" w:cstheme="majorHAnsi"/>
        </w:rPr>
        <w:t xml:space="preserve">) </w:t>
      </w:r>
      <w:r w:rsidR="00D520C7" w:rsidRPr="006070EA">
        <w:rPr>
          <w:rFonts w:asciiTheme="majorHAnsi" w:hAnsiTheme="majorHAnsi" w:cstheme="majorHAnsi"/>
        </w:rPr>
        <w:t xml:space="preserve">obdobný s postproduktivní (65+ let, 358 obyvatel), index stáří v území je tedy pouze mírně negativní. </w:t>
      </w:r>
      <w:r w:rsidR="009E5E88" w:rsidRPr="006070EA">
        <w:rPr>
          <w:rFonts w:asciiTheme="majorHAnsi" w:hAnsiTheme="majorHAnsi" w:cstheme="majorHAnsi"/>
        </w:rPr>
        <w:t>Nejpočetnější věkovou skupinou v</w:t>
      </w:r>
      <w:r w:rsidRPr="006070EA">
        <w:rPr>
          <w:rFonts w:asciiTheme="majorHAnsi" w:hAnsiTheme="majorHAnsi" w:cstheme="majorHAnsi"/>
        </w:rPr>
        <w:t xml:space="preserve"> Kostomlatech nad Labem </w:t>
      </w:r>
      <w:r w:rsidR="009E5E88" w:rsidRPr="006070EA">
        <w:rPr>
          <w:rFonts w:asciiTheme="majorHAnsi" w:hAnsiTheme="majorHAnsi" w:cstheme="majorHAnsi"/>
        </w:rPr>
        <w:t xml:space="preserve">jsou obyvatelé ve věku </w:t>
      </w:r>
      <w:proofErr w:type="gramStart"/>
      <w:r w:rsidR="009E5E88" w:rsidRPr="006070EA">
        <w:rPr>
          <w:rFonts w:asciiTheme="majorHAnsi" w:hAnsiTheme="majorHAnsi" w:cstheme="majorHAnsi"/>
        </w:rPr>
        <w:t xml:space="preserve">35 </w:t>
      </w:r>
      <w:r w:rsidR="00D520C7" w:rsidRPr="006070EA">
        <w:rPr>
          <w:rFonts w:asciiTheme="majorHAnsi" w:hAnsiTheme="majorHAnsi" w:cstheme="majorHAnsi"/>
        </w:rPr>
        <w:t>–</w:t>
      </w:r>
      <w:r w:rsidR="009E5E88" w:rsidRPr="006070EA">
        <w:rPr>
          <w:rFonts w:asciiTheme="majorHAnsi" w:hAnsiTheme="majorHAnsi" w:cstheme="majorHAnsi"/>
        </w:rPr>
        <w:t xml:space="preserve"> 39</w:t>
      </w:r>
      <w:proofErr w:type="gramEnd"/>
      <w:r w:rsidR="009E5E88" w:rsidRPr="006070EA">
        <w:rPr>
          <w:rFonts w:asciiTheme="majorHAnsi" w:hAnsiTheme="majorHAnsi" w:cstheme="majorHAnsi"/>
        </w:rPr>
        <w:t xml:space="preserve"> let, následují věková rozmezí </w:t>
      </w:r>
      <w:proofErr w:type="gramStart"/>
      <w:r w:rsidR="009E5E88" w:rsidRPr="006070EA">
        <w:rPr>
          <w:rFonts w:asciiTheme="majorHAnsi" w:hAnsiTheme="majorHAnsi" w:cstheme="majorHAnsi"/>
        </w:rPr>
        <w:t xml:space="preserve">40 </w:t>
      </w:r>
      <w:r w:rsidR="00D520C7" w:rsidRPr="006070EA">
        <w:rPr>
          <w:rFonts w:asciiTheme="majorHAnsi" w:hAnsiTheme="majorHAnsi" w:cstheme="majorHAnsi"/>
        </w:rPr>
        <w:t>–</w:t>
      </w:r>
      <w:r w:rsidR="009E5E88" w:rsidRPr="006070EA">
        <w:rPr>
          <w:rFonts w:asciiTheme="majorHAnsi" w:hAnsiTheme="majorHAnsi" w:cstheme="majorHAnsi"/>
        </w:rPr>
        <w:t xml:space="preserve"> 44</w:t>
      </w:r>
      <w:proofErr w:type="gramEnd"/>
      <w:r w:rsidR="009E5E88" w:rsidRPr="006070EA">
        <w:rPr>
          <w:rFonts w:asciiTheme="majorHAnsi" w:hAnsiTheme="majorHAnsi" w:cstheme="majorHAnsi"/>
        </w:rPr>
        <w:t xml:space="preserve"> let a </w:t>
      </w:r>
      <w:proofErr w:type="gramStart"/>
      <w:r w:rsidR="009E5E88" w:rsidRPr="006070EA">
        <w:rPr>
          <w:rFonts w:asciiTheme="majorHAnsi" w:hAnsiTheme="majorHAnsi" w:cstheme="majorHAnsi"/>
        </w:rPr>
        <w:t xml:space="preserve">45 </w:t>
      </w:r>
      <w:r w:rsidR="00D520C7" w:rsidRPr="006070EA">
        <w:rPr>
          <w:rFonts w:asciiTheme="majorHAnsi" w:hAnsiTheme="majorHAnsi" w:cstheme="majorHAnsi"/>
        </w:rPr>
        <w:t>–</w:t>
      </w:r>
      <w:r w:rsidR="009E5E88" w:rsidRPr="006070EA">
        <w:rPr>
          <w:rFonts w:asciiTheme="majorHAnsi" w:hAnsiTheme="majorHAnsi" w:cstheme="majorHAnsi"/>
        </w:rPr>
        <w:t xml:space="preserve"> 49</w:t>
      </w:r>
      <w:proofErr w:type="gramEnd"/>
      <w:r w:rsidR="009E5E88" w:rsidRPr="006070EA">
        <w:rPr>
          <w:rFonts w:asciiTheme="majorHAnsi" w:hAnsiTheme="majorHAnsi" w:cstheme="majorHAnsi"/>
        </w:rPr>
        <w:t xml:space="preserve"> let. Naopak nejméně početnými věkovými skupinami jsou obyvatelé starší 85 let a lidé ve věku </w:t>
      </w:r>
      <w:proofErr w:type="gramStart"/>
      <w:r w:rsidR="009E5E88" w:rsidRPr="006070EA">
        <w:rPr>
          <w:rFonts w:asciiTheme="majorHAnsi" w:hAnsiTheme="majorHAnsi" w:cstheme="majorHAnsi"/>
        </w:rPr>
        <w:t xml:space="preserve">80 </w:t>
      </w:r>
      <w:r w:rsidR="00D520C7" w:rsidRPr="006070EA">
        <w:rPr>
          <w:rFonts w:asciiTheme="majorHAnsi" w:hAnsiTheme="majorHAnsi" w:cstheme="majorHAnsi"/>
        </w:rPr>
        <w:t>–</w:t>
      </w:r>
      <w:r w:rsidR="009E5E88" w:rsidRPr="006070EA">
        <w:rPr>
          <w:rFonts w:asciiTheme="majorHAnsi" w:hAnsiTheme="majorHAnsi" w:cstheme="majorHAnsi"/>
        </w:rPr>
        <w:t xml:space="preserve"> 84</w:t>
      </w:r>
      <w:proofErr w:type="gramEnd"/>
      <w:r w:rsidR="009E5E88" w:rsidRPr="006070EA">
        <w:rPr>
          <w:rFonts w:asciiTheme="majorHAnsi" w:hAnsiTheme="majorHAnsi" w:cstheme="majorHAnsi"/>
        </w:rPr>
        <w:t xml:space="preserve"> let</w:t>
      </w:r>
      <w:r w:rsidR="00D520C7" w:rsidRPr="006070EA">
        <w:rPr>
          <w:rFonts w:asciiTheme="majorHAnsi" w:hAnsiTheme="majorHAnsi" w:cstheme="majorHAnsi"/>
        </w:rPr>
        <w:t>.</w:t>
      </w:r>
    </w:p>
    <w:p w14:paraId="29A4D3D6" w14:textId="77777777" w:rsidR="00B9741F" w:rsidRPr="006070EA" w:rsidRDefault="00B9741F" w:rsidP="00B9741F">
      <w:pPr>
        <w:pStyle w:val="Mra2-reakceern"/>
        <w:pBdr>
          <w:left w:val="none" w:sz="0" w:space="0" w:color="auto"/>
        </w:pBdr>
        <w:shd w:val="clear" w:color="auto" w:fill="F2F2F2" w:themeFill="background1" w:themeFillShade="F2"/>
        <w:spacing w:after="60"/>
        <w:ind w:left="0"/>
        <w:rPr>
          <w:rFonts w:asciiTheme="majorHAnsi" w:hAnsiTheme="majorHAnsi" w:cstheme="majorHAnsi"/>
          <w:b/>
          <w:color w:val="auto"/>
          <w:sz w:val="20"/>
        </w:rPr>
      </w:pPr>
      <w:bookmarkStart w:id="186" w:name="_Toc424119823"/>
      <w:r w:rsidRPr="006070EA">
        <w:rPr>
          <w:rFonts w:asciiTheme="majorHAnsi" w:hAnsiTheme="majorHAnsi" w:cstheme="majorHAnsi"/>
          <w:b/>
          <w:color w:val="auto"/>
          <w:sz w:val="20"/>
        </w:rPr>
        <w:t>Odhad budoucího demografického vývoje</w:t>
      </w:r>
    </w:p>
    <w:p w14:paraId="335F9282" w14:textId="338478E7" w:rsidR="00F15107" w:rsidRPr="006070EA" w:rsidRDefault="00B9741F" w:rsidP="00EA2C09">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Obec </w:t>
      </w:r>
      <w:r w:rsidR="00D520C7" w:rsidRPr="006070EA">
        <w:rPr>
          <w:rFonts w:asciiTheme="majorHAnsi" w:hAnsiTheme="majorHAnsi" w:cstheme="majorHAnsi"/>
          <w:sz w:val="18"/>
          <w:szCs w:val="18"/>
        </w:rPr>
        <w:t>Kostomlaty nad Labem</w:t>
      </w:r>
      <w:r w:rsidRPr="006070EA">
        <w:rPr>
          <w:rFonts w:asciiTheme="majorHAnsi" w:hAnsiTheme="majorHAnsi" w:cstheme="majorHAnsi"/>
          <w:sz w:val="18"/>
          <w:szCs w:val="18"/>
        </w:rPr>
        <w:t xml:space="preserve"> se v současnosti vyznačuje progresivním populačním vývojem, má vybudovány sítě základní technické infrastruktury </w:t>
      </w:r>
      <w:r w:rsidR="00F15107" w:rsidRPr="006070EA">
        <w:rPr>
          <w:rFonts w:asciiTheme="majorHAnsi" w:hAnsiTheme="majorHAnsi" w:cstheme="majorHAnsi"/>
          <w:sz w:val="18"/>
          <w:szCs w:val="18"/>
        </w:rPr>
        <w:t>(</w:t>
      </w:r>
      <w:r w:rsidR="00D520C7" w:rsidRPr="006070EA">
        <w:rPr>
          <w:rFonts w:asciiTheme="majorHAnsi" w:hAnsiTheme="majorHAnsi" w:cstheme="majorHAnsi"/>
          <w:sz w:val="18"/>
          <w:szCs w:val="18"/>
        </w:rPr>
        <w:t>včetně navržení rozvoje vodovodu a kanalizace ve venkovských sídlech</w:t>
      </w:r>
      <w:r w:rsidR="00F15107" w:rsidRPr="006070EA">
        <w:rPr>
          <w:rFonts w:asciiTheme="majorHAnsi" w:hAnsiTheme="majorHAnsi" w:cstheme="majorHAnsi"/>
          <w:sz w:val="18"/>
          <w:szCs w:val="18"/>
        </w:rPr>
        <w:t xml:space="preserve">) </w:t>
      </w:r>
      <w:r w:rsidRPr="006070EA">
        <w:rPr>
          <w:rFonts w:asciiTheme="majorHAnsi" w:hAnsiTheme="majorHAnsi" w:cstheme="majorHAnsi"/>
          <w:sz w:val="18"/>
          <w:szCs w:val="18"/>
        </w:rPr>
        <w:t xml:space="preserve">a </w:t>
      </w:r>
      <w:r w:rsidR="00D520C7" w:rsidRPr="006070EA">
        <w:rPr>
          <w:rFonts w:asciiTheme="majorHAnsi" w:hAnsiTheme="majorHAnsi" w:cstheme="majorHAnsi"/>
          <w:sz w:val="18"/>
          <w:szCs w:val="18"/>
        </w:rPr>
        <w:t xml:space="preserve">disponuje </w:t>
      </w:r>
      <w:r w:rsidR="003C6903" w:rsidRPr="006070EA">
        <w:rPr>
          <w:rFonts w:asciiTheme="majorHAnsi" w:hAnsiTheme="majorHAnsi" w:cstheme="majorHAnsi"/>
          <w:sz w:val="18"/>
          <w:szCs w:val="18"/>
        </w:rPr>
        <w:t>základní občanskou vybavenost</w:t>
      </w:r>
      <w:r w:rsidR="00D520C7" w:rsidRPr="006070EA">
        <w:rPr>
          <w:rFonts w:asciiTheme="majorHAnsi" w:hAnsiTheme="majorHAnsi" w:cstheme="majorHAnsi"/>
          <w:sz w:val="18"/>
          <w:szCs w:val="18"/>
        </w:rPr>
        <w:t>í</w:t>
      </w:r>
      <w:r w:rsidR="00F15107" w:rsidRPr="006070EA">
        <w:rPr>
          <w:rFonts w:asciiTheme="majorHAnsi" w:hAnsiTheme="majorHAnsi" w:cstheme="majorHAnsi"/>
          <w:sz w:val="18"/>
          <w:szCs w:val="18"/>
        </w:rPr>
        <w:t xml:space="preserve"> (základní škola, mateřská škola, praktický lékař, církevní zařízení, ubytovací a stravovací zařízení)</w:t>
      </w:r>
      <w:r w:rsidRPr="006070EA">
        <w:rPr>
          <w:rFonts w:asciiTheme="majorHAnsi" w:hAnsiTheme="majorHAnsi" w:cstheme="majorHAnsi"/>
          <w:sz w:val="18"/>
          <w:szCs w:val="18"/>
        </w:rPr>
        <w:t xml:space="preserve">. </w:t>
      </w:r>
      <w:r w:rsidR="00D520C7" w:rsidRPr="006070EA">
        <w:rPr>
          <w:rFonts w:asciiTheme="majorHAnsi" w:hAnsiTheme="majorHAnsi" w:cstheme="majorHAnsi"/>
          <w:sz w:val="18"/>
          <w:szCs w:val="18"/>
        </w:rPr>
        <w:t>Současně je území velmi dobře dostupné a geograficky výhodně lokalizované v blízkosti nadřazených center osídlení a v dostupnosti metropolitní oblasti hlavního města Prahy.</w:t>
      </w:r>
    </w:p>
    <w:p w14:paraId="74844FED" w14:textId="29ACC569" w:rsidR="00B9741F" w:rsidRPr="006070EA" w:rsidRDefault="00F15107" w:rsidP="00EA2C09">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Část obyvatel (cca </w:t>
      </w:r>
      <w:r w:rsidR="00D520C7" w:rsidRPr="006070EA">
        <w:rPr>
          <w:rFonts w:asciiTheme="majorHAnsi" w:hAnsiTheme="majorHAnsi" w:cstheme="majorHAnsi"/>
          <w:sz w:val="18"/>
          <w:szCs w:val="18"/>
        </w:rPr>
        <w:t>30</w:t>
      </w:r>
      <w:r w:rsidRPr="006070EA">
        <w:rPr>
          <w:rFonts w:asciiTheme="majorHAnsi" w:hAnsiTheme="majorHAnsi" w:cstheme="majorHAnsi"/>
          <w:sz w:val="18"/>
          <w:szCs w:val="18"/>
        </w:rPr>
        <w:t xml:space="preserve"> %)</w:t>
      </w:r>
      <w:r w:rsidR="00B9741F" w:rsidRPr="006070EA">
        <w:rPr>
          <w:rFonts w:asciiTheme="majorHAnsi" w:hAnsiTheme="majorHAnsi" w:cstheme="majorHAnsi"/>
          <w:sz w:val="18"/>
          <w:szCs w:val="18"/>
        </w:rPr>
        <w:t xml:space="preserve"> </w:t>
      </w:r>
      <w:r w:rsidRPr="006070EA">
        <w:rPr>
          <w:rFonts w:asciiTheme="majorHAnsi" w:hAnsiTheme="majorHAnsi" w:cstheme="majorHAnsi"/>
          <w:sz w:val="18"/>
          <w:szCs w:val="18"/>
        </w:rPr>
        <w:t xml:space="preserve">vyjíždí z obce </w:t>
      </w:r>
      <w:r w:rsidR="00B9741F" w:rsidRPr="006070EA">
        <w:rPr>
          <w:rFonts w:asciiTheme="majorHAnsi" w:hAnsiTheme="majorHAnsi" w:cstheme="majorHAnsi"/>
          <w:sz w:val="18"/>
          <w:szCs w:val="18"/>
        </w:rPr>
        <w:t>do dostupných center s vyšší občanskou vybaveností a širší nabídkou pracovních příležitostí. Pozitiv</w:t>
      </w:r>
      <w:r w:rsidRPr="006070EA">
        <w:rPr>
          <w:rFonts w:asciiTheme="majorHAnsi" w:hAnsiTheme="majorHAnsi" w:cstheme="majorHAnsi"/>
          <w:sz w:val="18"/>
          <w:szCs w:val="18"/>
        </w:rPr>
        <w:t>y</w:t>
      </w:r>
      <w:r w:rsidR="00B9741F" w:rsidRPr="006070EA">
        <w:rPr>
          <w:rFonts w:asciiTheme="majorHAnsi" w:hAnsiTheme="majorHAnsi" w:cstheme="majorHAnsi"/>
          <w:sz w:val="18"/>
          <w:szCs w:val="18"/>
        </w:rPr>
        <w:t xml:space="preserve"> obce </w:t>
      </w:r>
      <w:r w:rsidRPr="006070EA">
        <w:rPr>
          <w:rFonts w:asciiTheme="majorHAnsi" w:hAnsiTheme="majorHAnsi" w:cstheme="majorHAnsi"/>
          <w:sz w:val="18"/>
          <w:szCs w:val="18"/>
        </w:rPr>
        <w:t>jsou zejména</w:t>
      </w:r>
      <w:r w:rsidR="00B9741F" w:rsidRPr="006070EA">
        <w:rPr>
          <w:rFonts w:asciiTheme="majorHAnsi" w:hAnsiTheme="majorHAnsi" w:cstheme="majorHAnsi"/>
          <w:sz w:val="18"/>
          <w:szCs w:val="18"/>
        </w:rPr>
        <w:t xml:space="preserve"> </w:t>
      </w:r>
      <w:r w:rsidRPr="006070EA">
        <w:rPr>
          <w:rFonts w:asciiTheme="majorHAnsi" w:hAnsiTheme="majorHAnsi" w:cstheme="majorHAnsi"/>
          <w:sz w:val="18"/>
          <w:szCs w:val="18"/>
        </w:rPr>
        <w:t xml:space="preserve">částečná nezávislost, daná přítomností základní veřejné infrastruktury včetně základních služeb, přírodní prostředí s krajinnou a rekreační vazbou na </w:t>
      </w:r>
      <w:r w:rsidR="00D520C7" w:rsidRPr="006070EA">
        <w:rPr>
          <w:rFonts w:asciiTheme="majorHAnsi" w:hAnsiTheme="majorHAnsi" w:cstheme="majorHAnsi"/>
          <w:sz w:val="18"/>
          <w:szCs w:val="18"/>
        </w:rPr>
        <w:t>řeku Labe</w:t>
      </w:r>
      <w:r w:rsidR="00B9741F" w:rsidRPr="006070EA">
        <w:rPr>
          <w:rFonts w:asciiTheme="majorHAnsi" w:hAnsiTheme="majorHAnsi" w:cstheme="majorHAnsi"/>
          <w:sz w:val="18"/>
          <w:szCs w:val="18"/>
        </w:rPr>
        <w:t>. V</w:t>
      </w:r>
      <w:r w:rsidR="00D520C7" w:rsidRPr="006070EA">
        <w:rPr>
          <w:rFonts w:asciiTheme="majorHAnsi" w:hAnsiTheme="majorHAnsi" w:cstheme="majorHAnsi"/>
          <w:sz w:val="18"/>
          <w:szCs w:val="18"/>
        </w:rPr>
        <w:t> </w:t>
      </w:r>
      <w:r w:rsidR="00B9741F" w:rsidRPr="006070EA">
        <w:rPr>
          <w:rFonts w:asciiTheme="majorHAnsi" w:hAnsiTheme="majorHAnsi" w:cstheme="majorHAnsi"/>
          <w:sz w:val="18"/>
          <w:szCs w:val="18"/>
        </w:rPr>
        <w:t>poslední</w:t>
      </w:r>
      <w:r w:rsidR="00D520C7" w:rsidRPr="006070EA">
        <w:rPr>
          <w:rFonts w:asciiTheme="majorHAnsi" w:hAnsiTheme="majorHAnsi" w:cstheme="majorHAnsi"/>
          <w:sz w:val="18"/>
          <w:szCs w:val="18"/>
        </w:rPr>
        <w:t xml:space="preserve">ch dvaceti letech </w:t>
      </w:r>
      <w:r w:rsidR="00B9741F" w:rsidRPr="006070EA">
        <w:rPr>
          <w:rFonts w:asciiTheme="majorHAnsi" w:hAnsiTheme="majorHAnsi" w:cstheme="majorHAnsi"/>
          <w:sz w:val="18"/>
          <w:szCs w:val="18"/>
        </w:rPr>
        <w:t xml:space="preserve">lze pozorovat tendenci pozitivního populačního vývoje a s tím </w:t>
      </w:r>
      <w:r w:rsidR="00EA2C09" w:rsidRPr="006070EA">
        <w:rPr>
          <w:rFonts w:asciiTheme="majorHAnsi" w:hAnsiTheme="majorHAnsi" w:cstheme="majorHAnsi"/>
          <w:sz w:val="18"/>
          <w:szCs w:val="18"/>
        </w:rPr>
        <w:t>spojený</w:t>
      </w:r>
      <w:r w:rsidR="00B9741F" w:rsidRPr="006070EA">
        <w:rPr>
          <w:rFonts w:asciiTheme="majorHAnsi" w:hAnsiTheme="majorHAnsi" w:cstheme="majorHAnsi"/>
          <w:sz w:val="18"/>
          <w:szCs w:val="18"/>
        </w:rPr>
        <w:t xml:space="preserve"> nárůst zájmu o</w:t>
      </w:r>
      <w:r w:rsidRPr="006070EA">
        <w:rPr>
          <w:rFonts w:asciiTheme="majorHAnsi" w:hAnsiTheme="majorHAnsi" w:cstheme="majorHAnsi"/>
          <w:sz w:val="18"/>
          <w:szCs w:val="18"/>
        </w:rPr>
        <w:t> </w:t>
      </w:r>
      <w:r w:rsidR="00B9741F" w:rsidRPr="006070EA">
        <w:rPr>
          <w:rFonts w:asciiTheme="majorHAnsi" w:hAnsiTheme="majorHAnsi" w:cstheme="majorHAnsi"/>
          <w:sz w:val="18"/>
          <w:szCs w:val="18"/>
        </w:rPr>
        <w:t xml:space="preserve">bydlení v obci, který vyústil v rozvoj zástavby. </w:t>
      </w:r>
    </w:p>
    <w:p w14:paraId="12FB3AF9" w14:textId="2EDA4FC7" w:rsidR="00B9741F" w:rsidRPr="006070EA" w:rsidRDefault="00B9741F" w:rsidP="00EA2C09">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Jedním z úkolů územního plánování je zohlednit demografický vývoj obce a podpořit populační stabilizaci, případně vytvořit podmínky pro její růst. Při současném demografickém vývoji v Česku toho lze docílit především navýšením migračního přírůstku, tedy trvalým pozitivním saldem migrace, resp. stálým zvyšováním počtu přistěhovalých oproti vystěhovalým. Územní plán však zároveň musí zohlednit charakter síd</w:t>
      </w:r>
      <w:r w:rsidR="00997EFB" w:rsidRPr="006070EA">
        <w:rPr>
          <w:rFonts w:asciiTheme="majorHAnsi" w:hAnsiTheme="majorHAnsi" w:cstheme="majorHAnsi"/>
          <w:sz w:val="18"/>
          <w:szCs w:val="18"/>
        </w:rPr>
        <w:t>e</w:t>
      </w:r>
      <w:r w:rsidRPr="006070EA">
        <w:rPr>
          <w:rFonts w:asciiTheme="majorHAnsi" w:hAnsiTheme="majorHAnsi" w:cstheme="majorHAnsi"/>
          <w:sz w:val="18"/>
          <w:szCs w:val="18"/>
        </w:rPr>
        <w:t>l</w:t>
      </w:r>
      <w:r w:rsidR="00997EFB" w:rsidRPr="006070EA">
        <w:rPr>
          <w:rFonts w:asciiTheme="majorHAnsi" w:hAnsiTheme="majorHAnsi" w:cstheme="majorHAnsi"/>
          <w:sz w:val="18"/>
          <w:szCs w:val="18"/>
        </w:rPr>
        <w:t xml:space="preserve"> v území</w:t>
      </w:r>
      <w:r w:rsidRPr="006070EA">
        <w:rPr>
          <w:rFonts w:asciiTheme="majorHAnsi" w:hAnsiTheme="majorHAnsi" w:cstheme="majorHAnsi"/>
          <w:sz w:val="18"/>
          <w:szCs w:val="18"/>
        </w:rPr>
        <w:t xml:space="preserve"> a limity rozvoje</w:t>
      </w:r>
      <w:r w:rsidR="00997EFB" w:rsidRPr="006070EA">
        <w:rPr>
          <w:rFonts w:asciiTheme="majorHAnsi" w:hAnsiTheme="majorHAnsi" w:cstheme="majorHAnsi"/>
          <w:sz w:val="18"/>
          <w:szCs w:val="18"/>
        </w:rPr>
        <w:t xml:space="preserve"> </w:t>
      </w:r>
      <w:r w:rsidRPr="006070EA">
        <w:rPr>
          <w:rFonts w:asciiTheme="majorHAnsi" w:hAnsiTheme="majorHAnsi" w:cstheme="majorHAnsi"/>
          <w:sz w:val="18"/>
          <w:szCs w:val="18"/>
        </w:rPr>
        <w:t xml:space="preserve">a zabránit neřízenému </w:t>
      </w:r>
      <w:r w:rsidR="00F15107" w:rsidRPr="006070EA">
        <w:rPr>
          <w:rFonts w:asciiTheme="majorHAnsi" w:hAnsiTheme="majorHAnsi" w:cstheme="majorHAnsi"/>
          <w:sz w:val="18"/>
          <w:szCs w:val="18"/>
        </w:rPr>
        <w:t xml:space="preserve">živelnému </w:t>
      </w:r>
      <w:r w:rsidRPr="006070EA">
        <w:rPr>
          <w:rFonts w:asciiTheme="majorHAnsi" w:hAnsiTheme="majorHAnsi" w:cstheme="majorHAnsi"/>
          <w:sz w:val="18"/>
          <w:szCs w:val="18"/>
        </w:rPr>
        <w:t xml:space="preserve">rozvoji zástavby. </w:t>
      </w:r>
    </w:p>
    <w:p w14:paraId="4B12304F" w14:textId="77777777" w:rsidR="00B9741F" w:rsidRPr="006070EA" w:rsidRDefault="00B9741F" w:rsidP="00EA2C09">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Vytvořením podmínek pro kvalitativní rozvoj ve všech funkčních složkách obce lze podpořit další populační růst a</w:t>
      </w:r>
      <w:r w:rsidR="00F15107" w:rsidRPr="006070EA">
        <w:rPr>
          <w:rFonts w:asciiTheme="majorHAnsi" w:hAnsiTheme="majorHAnsi" w:cstheme="majorHAnsi"/>
          <w:sz w:val="18"/>
          <w:szCs w:val="18"/>
        </w:rPr>
        <w:t> </w:t>
      </w:r>
      <w:r w:rsidRPr="006070EA">
        <w:rPr>
          <w:rFonts w:asciiTheme="majorHAnsi" w:hAnsiTheme="majorHAnsi" w:cstheme="majorHAnsi"/>
          <w:sz w:val="18"/>
          <w:szCs w:val="18"/>
        </w:rPr>
        <w:t>stabilizovat velikost obce v budoucích letech. Toho je třeba docílit nejen příchodem nových rezidentů, ale také snižováním počtu vystěhovalých obyvatel (např. nalezením správných motivací pro setrvání v obci).</w:t>
      </w:r>
    </w:p>
    <w:p w14:paraId="13D415FA" w14:textId="10D17A24" w:rsidR="00B9741F" w:rsidRPr="006070EA" w:rsidRDefault="00B9741F" w:rsidP="00EA2C09">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Z hlediska věkové struktury obyvatelstva a relativně stabilního přirozeného přírůstku obyvatel lze konstatovat poměrně příznivou demografickou charakteristiku území pro budoucí stabilizaci a populační rozvoj obce. V případě vytvoření nabídky nových (vlastnicky dostupných) ploch</w:t>
      </w:r>
      <w:r w:rsidR="00F90BC8" w:rsidRPr="006070EA">
        <w:rPr>
          <w:rFonts w:asciiTheme="majorHAnsi" w:hAnsiTheme="majorHAnsi" w:cstheme="majorHAnsi"/>
          <w:sz w:val="18"/>
          <w:szCs w:val="18"/>
        </w:rPr>
        <w:t xml:space="preserve"> pro</w:t>
      </w:r>
      <w:r w:rsidRPr="006070EA">
        <w:rPr>
          <w:rFonts w:asciiTheme="majorHAnsi" w:hAnsiTheme="majorHAnsi" w:cstheme="majorHAnsi"/>
          <w:sz w:val="18"/>
          <w:szCs w:val="18"/>
        </w:rPr>
        <w:t xml:space="preserve"> bydlení lze předpokládat </w:t>
      </w:r>
      <w:r w:rsidR="00F90BC8" w:rsidRPr="006070EA">
        <w:rPr>
          <w:rFonts w:asciiTheme="majorHAnsi" w:hAnsiTheme="majorHAnsi" w:cstheme="majorHAnsi"/>
          <w:sz w:val="18"/>
          <w:szCs w:val="18"/>
        </w:rPr>
        <w:t>nárůst</w:t>
      </w:r>
      <w:r w:rsidRPr="006070EA">
        <w:rPr>
          <w:rFonts w:asciiTheme="majorHAnsi" w:hAnsiTheme="majorHAnsi" w:cstheme="majorHAnsi"/>
          <w:sz w:val="18"/>
          <w:szCs w:val="18"/>
        </w:rPr>
        <w:t xml:space="preserve"> počtu obyvatel o cca </w:t>
      </w:r>
      <w:r w:rsidR="00997EFB" w:rsidRPr="006070EA">
        <w:rPr>
          <w:rFonts w:asciiTheme="majorHAnsi" w:hAnsiTheme="majorHAnsi" w:cstheme="majorHAnsi"/>
          <w:sz w:val="18"/>
          <w:szCs w:val="18"/>
        </w:rPr>
        <w:t>150</w:t>
      </w:r>
      <w:r w:rsidRPr="006070EA">
        <w:rPr>
          <w:rFonts w:asciiTheme="majorHAnsi" w:hAnsiTheme="majorHAnsi" w:cstheme="majorHAnsi"/>
          <w:sz w:val="18"/>
          <w:szCs w:val="18"/>
        </w:rPr>
        <w:t xml:space="preserve"> na </w:t>
      </w:r>
      <w:r w:rsidR="00F36850" w:rsidRPr="006070EA">
        <w:rPr>
          <w:rFonts w:asciiTheme="majorHAnsi" w:hAnsiTheme="majorHAnsi" w:cstheme="majorHAnsi"/>
          <w:sz w:val="18"/>
          <w:szCs w:val="18"/>
        </w:rPr>
        <w:t>během návrhového období ÚP</w:t>
      </w:r>
      <w:r w:rsidR="00997EFB" w:rsidRPr="006070EA">
        <w:rPr>
          <w:rFonts w:asciiTheme="majorHAnsi" w:hAnsiTheme="majorHAnsi" w:cstheme="majorHAnsi"/>
          <w:sz w:val="18"/>
          <w:szCs w:val="18"/>
        </w:rPr>
        <w:t xml:space="preserve"> (cca do r. 2035)</w:t>
      </w:r>
      <w:r w:rsidRPr="006070EA">
        <w:rPr>
          <w:rFonts w:asciiTheme="majorHAnsi" w:hAnsiTheme="majorHAnsi" w:cstheme="majorHAnsi"/>
          <w:sz w:val="18"/>
          <w:szCs w:val="18"/>
        </w:rPr>
        <w:t xml:space="preserve">. </w:t>
      </w:r>
    </w:p>
    <w:p w14:paraId="4A5BD20A" w14:textId="1C5EFDFC" w:rsidR="00B9741F" w:rsidRPr="006070EA" w:rsidRDefault="00B9741F" w:rsidP="00EA2C09">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Předpokládaný vývoj je stanoven odborným odhadem, založeným zejména na analýze historického vývoje, současných společenských tendencích (suburbanizace apod.), </w:t>
      </w:r>
      <w:r w:rsidR="00F90BC8" w:rsidRPr="006070EA">
        <w:rPr>
          <w:rFonts w:asciiTheme="majorHAnsi" w:hAnsiTheme="majorHAnsi" w:cstheme="majorHAnsi"/>
          <w:sz w:val="18"/>
          <w:szCs w:val="18"/>
        </w:rPr>
        <w:t>kapacitách rozvojových ploch</w:t>
      </w:r>
      <w:r w:rsidRPr="006070EA">
        <w:rPr>
          <w:rFonts w:asciiTheme="majorHAnsi" w:hAnsiTheme="majorHAnsi" w:cstheme="majorHAnsi"/>
          <w:sz w:val="18"/>
          <w:szCs w:val="18"/>
        </w:rPr>
        <w:t xml:space="preserve">, </w:t>
      </w:r>
      <w:r w:rsidR="00F36850" w:rsidRPr="006070EA">
        <w:rPr>
          <w:rFonts w:asciiTheme="majorHAnsi" w:hAnsiTheme="majorHAnsi" w:cstheme="majorHAnsi"/>
          <w:sz w:val="18"/>
          <w:szCs w:val="18"/>
        </w:rPr>
        <w:t xml:space="preserve">blízkosti </w:t>
      </w:r>
      <w:r w:rsidR="00997EFB" w:rsidRPr="006070EA">
        <w:rPr>
          <w:rFonts w:asciiTheme="majorHAnsi" w:hAnsiTheme="majorHAnsi" w:cstheme="majorHAnsi"/>
          <w:sz w:val="18"/>
          <w:szCs w:val="18"/>
        </w:rPr>
        <w:t xml:space="preserve">spádových center a dostupnosti Prahy s přihlédnutím k atraktivitě území </w:t>
      </w:r>
      <w:r w:rsidR="00F36850" w:rsidRPr="006070EA">
        <w:rPr>
          <w:rFonts w:asciiTheme="majorHAnsi" w:hAnsiTheme="majorHAnsi" w:cstheme="majorHAnsi"/>
          <w:sz w:val="18"/>
          <w:szCs w:val="18"/>
        </w:rPr>
        <w:t xml:space="preserve">při předpokladu pokračování současného vývoje s následnou stabilizací </w:t>
      </w:r>
      <w:r w:rsidR="00F90BC8" w:rsidRPr="006070EA">
        <w:rPr>
          <w:rFonts w:asciiTheme="majorHAnsi" w:hAnsiTheme="majorHAnsi" w:cstheme="majorHAnsi"/>
          <w:sz w:val="18"/>
          <w:szCs w:val="18"/>
        </w:rPr>
        <w:t>populační velikosti</w:t>
      </w:r>
      <w:r w:rsidR="00F36850" w:rsidRPr="006070EA">
        <w:rPr>
          <w:rFonts w:asciiTheme="majorHAnsi" w:hAnsiTheme="majorHAnsi" w:cstheme="majorHAnsi"/>
          <w:sz w:val="18"/>
          <w:szCs w:val="18"/>
        </w:rPr>
        <w:t xml:space="preserve"> obce</w:t>
      </w:r>
      <w:r w:rsidR="00997EFB" w:rsidRPr="006070EA">
        <w:rPr>
          <w:rFonts w:asciiTheme="majorHAnsi" w:hAnsiTheme="majorHAnsi" w:cstheme="majorHAnsi"/>
          <w:sz w:val="18"/>
          <w:szCs w:val="18"/>
        </w:rPr>
        <w:t>. Na základě výše uvedeného je k roku 2035 předpokládáno při využití rozvojových příležitostí stanovených územním plánem</w:t>
      </w:r>
      <w:r w:rsidR="00F36850" w:rsidRPr="006070EA">
        <w:rPr>
          <w:rFonts w:asciiTheme="majorHAnsi" w:hAnsiTheme="majorHAnsi" w:cstheme="majorHAnsi"/>
          <w:sz w:val="18"/>
          <w:szCs w:val="18"/>
        </w:rPr>
        <w:t xml:space="preserve"> okolo hodnoty </w:t>
      </w:r>
      <w:r w:rsidR="00997EFB" w:rsidRPr="006070EA">
        <w:rPr>
          <w:rFonts w:asciiTheme="majorHAnsi" w:hAnsiTheme="majorHAnsi" w:cstheme="majorHAnsi"/>
          <w:b/>
          <w:bCs/>
          <w:sz w:val="18"/>
          <w:szCs w:val="18"/>
        </w:rPr>
        <w:t>2 050 obyvatel v r. 2035</w:t>
      </w:r>
      <w:r w:rsidR="00F36850" w:rsidRPr="006070EA">
        <w:rPr>
          <w:rFonts w:asciiTheme="majorHAnsi" w:hAnsiTheme="majorHAnsi" w:cstheme="majorHAnsi"/>
          <w:sz w:val="18"/>
          <w:szCs w:val="18"/>
        </w:rPr>
        <w:t>.</w:t>
      </w:r>
    </w:p>
    <w:p w14:paraId="481C931B" w14:textId="77777777" w:rsidR="00B9741F" w:rsidRPr="006070EA" w:rsidRDefault="00B9741F" w:rsidP="00F90B15">
      <w:pPr>
        <w:pStyle w:val="Odstavecseseznamem"/>
        <w:keepNext/>
        <w:numPr>
          <w:ilvl w:val="1"/>
          <w:numId w:val="29"/>
        </w:numPr>
        <w:spacing w:before="160" w:after="120" w:line="240" w:lineRule="auto"/>
        <w:ind w:left="709" w:hanging="709"/>
        <w:contextualSpacing w:val="0"/>
        <w:outlineLvl w:val="1"/>
        <w:rPr>
          <w:rFonts w:asciiTheme="majorHAnsi" w:hAnsiTheme="majorHAnsi" w:cstheme="majorHAnsi"/>
          <w:b/>
          <w:sz w:val="24"/>
          <w:szCs w:val="20"/>
        </w:rPr>
      </w:pPr>
      <w:bookmarkStart w:id="187" w:name="_Toc204678181"/>
      <w:r w:rsidRPr="006070EA">
        <w:rPr>
          <w:rFonts w:asciiTheme="majorHAnsi" w:hAnsiTheme="majorHAnsi" w:cstheme="majorHAnsi"/>
          <w:b/>
          <w:sz w:val="24"/>
          <w:szCs w:val="20"/>
        </w:rPr>
        <w:lastRenderedPageBreak/>
        <w:t>Vývoj domovního a bytového fondu</w:t>
      </w:r>
      <w:bookmarkEnd w:id="187"/>
    </w:p>
    <w:p w14:paraId="0B443FB0" w14:textId="77777777" w:rsidR="007266DF" w:rsidRPr="006070EA" w:rsidRDefault="007266DF" w:rsidP="00F90B15">
      <w:pPr>
        <w:pStyle w:val="Mra2-reakceern"/>
        <w:keepNext/>
        <w:pBdr>
          <w:left w:val="none" w:sz="0" w:space="0" w:color="auto"/>
        </w:pBdr>
        <w:shd w:val="clear" w:color="auto" w:fill="F2F2F2" w:themeFill="background1" w:themeFillShade="F2"/>
        <w:spacing w:before="120" w:after="120"/>
        <w:ind w:left="0"/>
        <w:rPr>
          <w:rFonts w:asciiTheme="majorHAnsi" w:hAnsiTheme="majorHAnsi" w:cstheme="majorHAnsi"/>
          <w:b/>
          <w:color w:val="auto"/>
          <w:sz w:val="20"/>
        </w:rPr>
      </w:pPr>
      <w:r w:rsidRPr="006070EA">
        <w:rPr>
          <w:rFonts w:asciiTheme="majorHAnsi" w:hAnsiTheme="majorHAnsi" w:cstheme="majorHAnsi"/>
          <w:b/>
          <w:color w:val="auto"/>
          <w:sz w:val="20"/>
        </w:rPr>
        <w:t>Vývoj počtu domů a bytů</w:t>
      </w:r>
    </w:p>
    <w:p w14:paraId="6D57327E" w14:textId="18E81162" w:rsidR="002F3880" w:rsidRPr="006070EA" w:rsidRDefault="002F3880" w:rsidP="00F90B15">
      <w:pPr>
        <w:pStyle w:val="Atext"/>
        <w:keepLines/>
        <w:rPr>
          <w:rFonts w:asciiTheme="majorHAnsi" w:hAnsiTheme="majorHAnsi" w:cstheme="majorHAnsi"/>
          <w:color w:val="000000"/>
          <w:szCs w:val="18"/>
        </w:rPr>
      </w:pPr>
      <w:r w:rsidRPr="006070EA">
        <w:rPr>
          <w:rFonts w:asciiTheme="majorHAnsi" w:hAnsiTheme="majorHAnsi" w:cstheme="majorHAnsi"/>
          <w:color w:val="000000"/>
          <w:szCs w:val="18"/>
        </w:rPr>
        <w:t xml:space="preserve">Vývoj počtu domů v Kostomlatech nad Labem přibližuje následující tabulka. Z té je patrný rostoucí trend zejména po roce 1980 až do současnosti, přestože byl mezi lety </w:t>
      </w:r>
      <w:proofErr w:type="gramStart"/>
      <w:r w:rsidRPr="006070EA">
        <w:rPr>
          <w:rFonts w:asciiTheme="majorHAnsi" w:hAnsiTheme="majorHAnsi" w:cstheme="majorHAnsi"/>
          <w:color w:val="000000"/>
          <w:szCs w:val="18"/>
        </w:rPr>
        <w:t xml:space="preserve">1950 </w:t>
      </w:r>
      <w:r w:rsidR="00EA2C09"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1980</w:t>
      </w:r>
      <w:proofErr w:type="gramEnd"/>
      <w:r w:rsidRPr="006070EA">
        <w:rPr>
          <w:rFonts w:asciiTheme="majorHAnsi" w:hAnsiTheme="majorHAnsi" w:cstheme="majorHAnsi"/>
          <w:color w:val="000000"/>
          <w:szCs w:val="18"/>
        </w:rPr>
        <w:t xml:space="preserve"> zaznamenán stavební úpadek (situace souvisí zejména se stěhováním obyvatelstva na sídliště do velkých měst). Dnešní trendy suburbanizace však napomáhají stavebnímu rozvoji na venkově </w:t>
      </w:r>
      <w:r w:rsidR="00EA2C09" w:rsidRPr="006070EA">
        <w:rPr>
          <w:rFonts w:asciiTheme="majorHAnsi" w:hAnsiTheme="majorHAnsi" w:cstheme="majorHAnsi"/>
          <w:color w:val="000000"/>
          <w:szCs w:val="18"/>
        </w:rPr>
        <w:t>a v dostupných obcích v zázemí velkých měst –</w:t>
      </w:r>
      <w:r w:rsidRPr="006070EA">
        <w:rPr>
          <w:rFonts w:asciiTheme="majorHAnsi" w:hAnsiTheme="majorHAnsi" w:cstheme="majorHAnsi"/>
          <w:color w:val="000000"/>
          <w:szCs w:val="18"/>
        </w:rPr>
        <w:t xml:space="preserve"> a tak je i v Kostomlatech nad Labem zaznamenáno historické maximum v roce 2011 (676 domů).</w:t>
      </w:r>
    </w:p>
    <w:p w14:paraId="45390502" w14:textId="77777777" w:rsidR="002F3880" w:rsidRPr="006070EA" w:rsidRDefault="002F3880" w:rsidP="002F3880">
      <w:pPr>
        <w:pStyle w:val="Atext"/>
        <w:rPr>
          <w:rFonts w:asciiTheme="majorHAnsi" w:hAnsiTheme="majorHAnsi" w:cstheme="majorHAnsi"/>
          <w:color w:val="000000"/>
          <w:szCs w:val="18"/>
        </w:rPr>
      </w:pPr>
      <w:r w:rsidRPr="006070EA">
        <w:rPr>
          <w:rFonts w:asciiTheme="majorHAnsi" w:hAnsiTheme="majorHAnsi" w:cstheme="majorHAnsi"/>
          <w:color w:val="000000"/>
          <w:szCs w:val="18"/>
        </w:rPr>
        <w:t>S ohledem na stávající trend vývoje počtu domů v Kostomlatech nad Labem lze i do budoucna očekávat stabilní stavební růst a požadavky na výstavbu objektů k bydlení.</w:t>
      </w:r>
    </w:p>
    <w:p w14:paraId="0F6DCE13" w14:textId="78415546" w:rsidR="002F3880" w:rsidRPr="006070EA" w:rsidRDefault="002F3880" w:rsidP="00EA2C09">
      <w:pPr>
        <w:pStyle w:val="Atextkurzva"/>
        <w:keepNext/>
        <w:spacing w:after="60"/>
        <w:rPr>
          <w:rFonts w:asciiTheme="majorHAnsi" w:hAnsiTheme="majorHAnsi" w:cstheme="majorHAnsi"/>
          <w:color w:val="000000"/>
          <w:szCs w:val="18"/>
        </w:rPr>
      </w:pPr>
      <w:r w:rsidRPr="006070EA">
        <w:rPr>
          <w:rFonts w:asciiTheme="majorHAnsi" w:hAnsiTheme="majorHAnsi" w:cstheme="majorHAnsi"/>
          <w:color w:val="000000"/>
          <w:szCs w:val="18"/>
        </w:rPr>
        <w:t xml:space="preserve">Tab. Dlouhodobý vývoj počtu domů v letech </w:t>
      </w:r>
      <w:proofErr w:type="gramStart"/>
      <w:r w:rsidRPr="006070EA">
        <w:rPr>
          <w:rFonts w:asciiTheme="majorHAnsi" w:hAnsiTheme="majorHAnsi" w:cstheme="majorHAnsi"/>
          <w:color w:val="000000"/>
          <w:szCs w:val="18"/>
        </w:rPr>
        <w:t>1869 – 2011</w:t>
      </w:r>
      <w:proofErr w:type="gramEnd"/>
    </w:p>
    <w:tbl>
      <w:tblPr>
        <w:tblW w:w="9010" w:type="dxa"/>
        <w:jc w:val="center"/>
        <w:tblLayout w:type="fixed"/>
        <w:tblLook w:val="04A0" w:firstRow="1" w:lastRow="0" w:firstColumn="1" w:lastColumn="0" w:noHBand="0" w:noVBand="1"/>
      </w:tblPr>
      <w:tblGrid>
        <w:gridCol w:w="680"/>
        <w:gridCol w:w="595"/>
        <w:gridCol w:w="595"/>
        <w:gridCol w:w="595"/>
        <w:gridCol w:w="595"/>
        <w:gridCol w:w="595"/>
        <w:gridCol w:w="595"/>
        <w:gridCol w:w="595"/>
        <w:gridCol w:w="595"/>
        <w:gridCol w:w="595"/>
        <w:gridCol w:w="595"/>
        <w:gridCol w:w="595"/>
        <w:gridCol w:w="595"/>
        <w:gridCol w:w="595"/>
        <w:gridCol w:w="595"/>
      </w:tblGrid>
      <w:tr w:rsidR="002F3880" w:rsidRPr="006070EA" w14:paraId="696822C5" w14:textId="77777777" w:rsidTr="00EA2C09">
        <w:trPr>
          <w:trHeight w:val="283"/>
          <w:jc w:val="center"/>
        </w:trPr>
        <w:tc>
          <w:tcPr>
            <w:tcW w:w="680" w:type="dxa"/>
            <w:tcBorders>
              <w:top w:val="nil"/>
              <w:left w:val="nil"/>
              <w:bottom w:val="single" w:sz="12" w:space="0" w:color="auto"/>
              <w:right w:val="single" w:sz="12" w:space="0" w:color="auto"/>
            </w:tcBorders>
            <w:vAlign w:val="center"/>
            <w:hideMark/>
          </w:tcPr>
          <w:p w14:paraId="22230EE4"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rok</w:t>
            </w:r>
          </w:p>
        </w:tc>
        <w:tc>
          <w:tcPr>
            <w:tcW w:w="595" w:type="dxa"/>
            <w:tcBorders>
              <w:top w:val="nil"/>
              <w:left w:val="single" w:sz="12" w:space="0" w:color="auto"/>
              <w:bottom w:val="single" w:sz="12" w:space="0" w:color="auto"/>
              <w:right w:val="single" w:sz="12" w:space="0" w:color="auto"/>
            </w:tcBorders>
            <w:vAlign w:val="center"/>
            <w:hideMark/>
          </w:tcPr>
          <w:p w14:paraId="35FF03E4"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1869</w:t>
            </w:r>
          </w:p>
        </w:tc>
        <w:tc>
          <w:tcPr>
            <w:tcW w:w="595" w:type="dxa"/>
            <w:tcBorders>
              <w:top w:val="nil"/>
              <w:left w:val="single" w:sz="12" w:space="0" w:color="auto"/>
              <w:bottom w:val="single" w:sz="12" w:space="0" w:color="auto"/>
              <w:right w:val="single" w:sz="12" w:space="0" w:color="auto"/>
            </w:tcBorders>
            <w:vAlign w:val="center"/>
            <w:hideMark/>
          </w:tcPr>
          <w:p w14:paraId="1345221D"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1880</w:t>
            </w:r>
          </w:p>
        </w:tc>
        <w:tc>
          <w:tcPr>
            <w:tcW w:w="595" w:type="dxa"/>
            <w:tcBorders>
              <w:top w:val="nil"/>
              <w:left w:val="single" w:sz="12" w:space="0" w:color="auto"/>
              <w:bottom w:val="single" w:sz="12" w:space="0" w:color="auto"/>
              <w:right w:val="single" w:sz="12" w:space="0" w:color="auto"/>
            </w:tcBorders>
            <w:vAlign w:val="center"/>
            <w:hideMark/>
          </w:tcPr>
          <w:p w14:paraId="5E3A75AB"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1890</w:t>
            </w:r>
          </w:p>
        </w:tc>
        <w:tc>
          <w:tcPr>
            <w:tcW w:w="595" w:type="dxa"/>
            <w:tcBorders>
              <w:top w:val="nil"/>
              <w:left w:val="single" w:sz="12" w:space="0" w:color="auto"/>
              <w:bottom w:val="single" w:sz="12" w:space="0" w:color="auto"/>
              <w:right w:val="single" w:sz="12" w:space="0" w:color="auto"/>
            </w:tcBorders>
            <w:vAlign w:val="center"/>
            <w:hideMark/>
          </w:tcPr>
          <w:p w14:paraId="03C117BD"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1900</w:t>
            </w:r>
          </w:p>
        </w:tc>
        <w:tc>
          <w:tcPr>
            <w:tcW w:w="595" w:type="dxa"/>
            <w:tcBorders>
              <w:top w:val="nil"/>
              <w:left w:val="single" w:sz="12" w:space="0" w:color="auto"/>
              <w:bottom w:val="single" w:sz="12" w:space="0" w:color="auto"/>
              <w:right w:val="single" w:sz="12" w:space="0" w:color="auto"/>
            </w:tcBorders>
            <w:vAlign w:val="center"/>
            <w:hideMark/>
          </w:tcPr>
          <w:p w14:paraId="21B84F61"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1910</w:t>
            </w:r>
          </w:p>
        </w:tc>
        <w:tc>
          <w:tcPr>
            <w:tcW w:w="595" w:type="dxa"/>
            <w:tcBorders>
              <w:top w:val="nil"/>
              <w:left w:val="single" w:sz="12" w:space="0" w:color="auto"/>
              <w:bottom w:val="single" w:sz="12" w:space="0" w:color="auto"/>
              <w:right w:val="single" w:sz="12" w:space="0" w:color="auto"/>
            </w:tcBorders>
            <w:vAlign w:val="center"/>
            <w:hideMark/>
          </w:tcPr>
          <w:p w14:paraId="36CA0C0A"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1921</w:t>
            </w:r>
          </w:p>
        </w:tc>
        <w:tc>
          <w:tcPr>
            <w:tcW w:w="595" w:type="dxa"/>
            <w:tcBorders>
              <w:top w:val="nil"/>
              <w:left w:val="single" w:sz="12" w:space="0" w:color="auto"/>
              <w:bottom w:val="single" w:sz="12" w:space="0" w:color="auto"/>
              <w:right w:val="single" w:sz="12" w:space="0" w:color="auto"/>
            </w:tcBorders>
            <w:vAlign w:val="center"/>
            <w:hideMark/>
          </w:tcPr>
          <w:p w14:paraId="003CA045"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1930</w:t>
            </w:r>
          </w:p>
        </w:tc>
        <w:tc>
          <w:tcPr>
            <w:tcW w:w="595" w:type="dxa"/>
            <w:tcBorders>
              <w:top w:val="nil"/>
              <w:left w:val="single" w:sz="12" w:space="0" w:color="auto"/>
              <w:bottom w:val="single" w:sz="12" w:space="0" w:color="auto"/>
              <w:right w:val="single" w:sz="12" w:space="0" w:color="auto"/>
            </w:tcBorders>
            <w:vAlign w:val="center"/>
            <w:hideMark/>
          </w:tcPr>
          <w:p w14:paraId="30DD393B"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1950</w:t>
            </w:r>
          </w:p>
        </w:tc>
        <w:tc>
          <w:tcPr>
            <w:tcW w:w="595" w:type="dxa"/>
            <w:tcBorders>
              <w:top w:val="nil"/>
              <w:left w:val="single" w:sz="12" w:space="0" w:color="auto"/>
              <w:bottom w:val="single" w:sz="12" w:space="0" w:color="auto"/>
              <w:right w:val="single" w:sz="12" w:space="0" w:color="auto"/>
            </w:tcBorders>
            <w:vAlign w:val="center"/>
            <w:hideMark/>
          </w:tcPr>
          <w:p w14:paraId="31E94ED3"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1961</w:t>
            </w:r>
          </w:p>
        </w:tc>
        <w:tc>
          <w:tcPr>
            <w:tcW w:w="595" w:type="dxa"/>
            <w:tcBorders>
              <w:top w:val="nil"/>
              <w:left w:val="single" w:sz="12" w:space="0" w:color="auto"/>
              <w:bottom w:val="single" w:sz="12" w:space="0" w:color="auto"/>
              <w:right w:val="single" w:sz="12" w:space="0" w:color="auto"/>
            </w:tcBorders>
            <w:vAlign w:val="center"/>
            <w:hideMark/>
          </w:tcPr>
          <w:p w14:paraId="5E81B3F7"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1970</w:t>
            </w:r>
          </w:p>
        </w:tc>
        <w:tc>
          <w:tcPr>
            <w:tcW w:w="595" w:type="dxa"/>
            <w:tcBorders>
              <w:top w:val="nil"/>
              <w:left w:val="single" w:sz="12" w:space="0" w:color="auto"/>
              <w:bottom w:val="single" w:sz="12" w:space="0" w:color="auto"/>
              <w:right w:val="single" w:sz="12" w:space="0" w:color="auto"/>
            </w:tcBorders>
            <w:vAlign w:val="center"/>
            <w:hideMark/>
          </w:tcPr>
          <w:p w14:paraId="30E1F73A"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1980</w:t>
            </w:r>
          </w:p>
        </w:tc>
        <w:tc>
          <w:tcPr>
            <w:tcW w:w="595" w:type="dxa"/>
            <w:tcBorders>
              <w:top w:val="nil"/>
              <w:left w:val="single" w:sz="12" w:space="0" w:color="auto"/>
              <w:bottom w:val="single" w:sz="12" w:space="0" w:color="auto"/>
              <w:right w:val="single" w:sz="12" w:space="0" w:color="auto"/>
            </w:tcBorders>
            <w:vAlign w:val="center"/>
            <w:hideMark/>
          </w:tcPr>
          <w:p w14:paraId="67D64682"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1991</w:t>
            </w:r>
          </w:p>
        </w:tc>
        <w:tc>
          <w:tcPr>
            <w:tcW w:w="595" w:type="dxa"/>
            <w:tcBorders>
              <w:top w:val="nil"/>
              <w:left w:val="single" w:sz="12" w:space="0" w:color="auto"/>
              <w:bottom w:val="single" w:sz="12" w:space="0" w:color="auto"/>
              <w:right w:val="nil"/>
            </w:tcBorders>
            <w:vAlign w:val="center"/>
            <w:hideMark/>
          </w:tcPr>
          <w:p w14:paraId="225BCC49"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2001</w:t>
            </w:r>
          </w:p>
        </w:tc>
        <w:tc>
          <w:tcPr>
            <w:tcW w:w="595" w:type="dxa"/>
            <w:tcBorders>
              <w:top w:val="nil"/>
              <w:left w:val="single" w:sz="12" w:space="0" w:color="auto"/>
              <w:bottom w:val="single" w:sz="12" w:space="0" w:color="auto"/>
              <w:right w:val="nil"/>
            </w:tcBorders>
            <w:vAlign w:val="center"/>
            <w:hideMark/>
          </w:tcPr>
          <w:p w14:paraId="36B8C4F1" w14:textId="77777777" w:rsidR="002F3880" w:rsidRPr="006070EA" w:rsidRDefault="002F3880" w:rsidP="00EA2C09">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2011</w:t>
            </w:r>
          </w:p>
        </w:tc>
      </w:tr>
      <w:tr w:rsidR="002F3880" w:rsidRPr="006070EA" w14:paraId="001A8D99" w14:textId="77777777" w:rsidTr="00EA2C09">
        <w:trPr>
          <w:trHeight w:val="283"/>
          <w:jc w:val="center"/>
        </w:trPr>
        <w:tc>
          <w:tcPr>
            <w:tcW w:w="680" w:type="dxa"/>
            <w:tcBorders>
              <w:top w:val="single" w:sz="12" w:space="0" w:color="auto"/>
              <w:left w:val="nil"/>
              <w:bottom w:val="nil"/>
              <w:right w:val="single" w:sz="4" w:space="0" w:color="auto"/>
            </w:tcBorders>
            <w:vAlign w:val="center"/>
            <w:hideMark/>
          </w:tcPr>
          <w:p w14:paraId="5B0ADBDF" w14:textId="781C4FBC" w:rsidR="002F3880" w:rsidRPr="006070EA" w:rsidRDefault="00EA2C09"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w:t>
            </w:r>
            <w:r w:rsidR="002F3880" w:rsidRPr="006070EA">
              <w:rPr>
                <w:rFonts w:asciiTheme="majorHAnsi" w:hAnsiTheme="majorHAnsi" w:cstheme="majorHAnsi"/>
                <w:color w:val="000000"/>
                <w:szCs w:val="18"/>
                <w:lang w:val="cs-CZ"/>
              </w:rPr>
              <w:t>oč</w:t>
            </w:r>
            <w:r w:rsidRPr="006070EA">
              <w:rPr>
                <w:rFonts w:asciiTheme="majorHAnsi" w:hAnsiTheme="majorHAnsi" w:cstheme="majorHAnsi"/>
                <w:color w:val="000000"/>
                <w:szCs w:val="18"/>
                <w:lang w:val="cs-CZ"/>
              </w:rPr>
              <w:t>et domů</w:t>
            </w:r>
          </w:p>
        </w:tc>
        <w:tc>
          <w:tcPr>
            <w:tcW w:w="595" w:type="dxa"/>
            <w:tcBorders>
              <w:top w:val="single" w:sz="12" w:space="0" w:color="auto"/>
              <w:left w:val="single" w:sz="4" w:space="0" w:color="auto"/>
              <w:bottom w:val="nil"/>
              <w:right w:val="single" w:sz="4" w:space="0" w:color="auto"/>
            </w:tcBorders>
            <w:vAlign w:val="center"/>
          </w:tcPr>
          <w:p w14:paraId="4AA1E0F6"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217</w:t>
            </w:r>
          </w:p>
        </w:tc>
        <w:tc>
          <w:tcPr>
            <w:tcW w:w="595" w:type="dxa"/>
            <w:tcBorders>
              <w:top w:val="single" w:sz="12" w:space="0" w:color="auto"/>
              <w:left w:val="single" w:sz="4" w:space="0" w:color="auto"/>
              <w:bottom w:val="nil"/>
              <w:right w:val="single" w:sz="4" w:space="0" w:color="auto"/>
            </w:tcBorders>
            <w:vAlign w:val="center"/>
          </w:tcPr>
          <w:p w14:paraId="3F402D3C"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232</w:t>
            </w:r>
          </w:p>
        </w:tc>
        <w:tc>
          <w:tcPr>
            <w:tcW w:w="595" w:type="dxa"/>
            <w:tcBorders>
              <w:top w:val="single" w:sz="12" w:space="0" w:color="auto"/>
              <w:left w:val="single" w:sz="4" w:space="0" w:color="auto"/>
              <w:bottom w:val="nil"/>
              <w:right w:val="single" w:sz="4" w:space="0" w:color="auto"/>
            </w:tcBorders>
            <w:vAlign w:val="center"/>
          </w:tcPr>
          <w:p w14:paraId="1C1437E8"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238</w:t>
            </w:r>
          </w:p>
        </w:tc>
        <w:tc>
          <w:tcPr>
            <w:tcW w:w="595" w:type="dxa"/>
            <w:tcBorders>
              <w:top w:val="single" w:sz="12" w:space="0" w:color="auto"/>
              <w:left w:val="single" w:sz="4" w:space="0" w:color="auto"/>
              <w:bottom w:val="nil"/>
              <w:right w:val="single" w:sz="4" w:space="0" w:color="auto"/>
            </w:tcBorders>
            <w:vAlign w:val="center"/>
          </w:tcPr>
          <w:p w14:paraId="4EB18257"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248</w:t>
            </w:r>
          </w:p>
        </w:tc>
        <w:tc>
          <w:tcPr>
            <w:tcW w:w="595" w:type="dxa"/>
            <w:tcBorders>
              <w:top w:val="single" w:sz="12" w:space="0" w:color="auto"/>
              <w:left w:val="single" w:sz="4" w:space="0" w:color="auto"/>
              <w:bottom w:val="nil"/>
              <w:right w:val="single" w:sz="4" w:space="0" w:color="auto"/>
            </w:tcBorders>
            <w:vAlign w:val="center"/>
          </w:tcPr>
          <w:p w14:paraId="0AE23341"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287</w:t>
            </w:r>
          </w:p>
        </w:tc>
        <w:tc>
          <w:tcPr>
            <w:tcW w:w="595" w:type="dxa"/>
            <w:tcBorders>
              <w:top w:val="single" w:sz="12" w:space="0" w:color="auto"/>
              <w:left w:val="single" w:sz="4" w:space="0" w:color="auto"/>
              <w:bottom w:val="nil"/>
              <w:right w:val="single" w:sz="4" w:space="0" w:color="auto"/>
            </w:tcBorders>
            <w:vAlign w:val="center"/>
          </w:tcPr>
          <w:p w14:paraId="22D4EA74"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327</w:t>
            </w:r>
          </w:p>
        </w:tc>
        <w:tc>
          <w:tcPr>
            <w:tcW w:w="595" w:type="dxa"/>
            <w:tcBorders>
              <w:top w:val="single" w:sz="12" w:space="0" w:color="auto"/>
              <w:left w:val="single" w:sz="4" w:space="0" w:color="auto"/>
              <w:bottom w:val="nil"/>
              <w:right w:val="single" w:sz="4" w:space="0" w:color="auto"/>
            </w:tcBorders>
            <w:vAlign w:val="center"/>
          </w:tcPr>
          <w:p w14:paraId="5D333390"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435</w:t>
            </w:r>
          </w:p>
        </w:tc>
        <w:tc>
          <w:tcPr>
            <w:tcW w:w="595" w:type="dxa"/>
            <w:tcBorders>
              <w:top w:val="single" w:sz="12" w:space="0" w:color="auto"/>
              <w:left w:val="single" w:sz="4" w:space="0" w:color="auto"/>
              <w:bottom w:val="nil"/>
              <w:right w:val="single" w:sz="4" w:space="0" w:color="auto"/>
            </w:tcBorders>
            <w:vAlign w:val="center"/>
          </w:tcPr>
          <w:p w14:paraId="104E09D6"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527</w:t>
            </w:r>
          </w:p>
        </w:tc>
        <w:tc>
          <w:tcPr>
            <w:tcW w:w="595" w:type="dxa"/>
            <w:tcBorders>
              <w:top w:val="single" w:sz="12" w:space="0" w:color="auto"/>
              <w:left w:val="single" w:sz="4" w:space="0" w:color="auto"/>
              <w:bottom w:val="nil"/>
              <w:right w:val="single" w:sz="4" w:space="0" w:color="auto"/>
            </w:tcBorders>
            <w:vAlign w:val="center"/>
          </w:tcPr>
          <w:p w14:paraId="1CDC0726"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509</w:t>
            </w:r>
          </w:p>
        </w:tc>
        <w:tc>
          <w:tcPr>
            <w:tcW w:w="595" w:type="dxa"/>
            <w:tcBorders>
              <w:top w:val="single" w:sz="12" w:space="0" w:color="auto"/>
              <w:left w:val="single" w:sz="4" w:space="0" w:color="auto"/>
              <w:bottom w:val="nil"/>
              <w:right w:val="single" w:sz="4" w:space="0" w:color="auto"/>
            </w:tcBorders>
            <w:vAlign w:val="center"/>
          </w:tcPr>
          <w:p w14:paraId="400AFD51"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513</w:t>
            </w:r>
          </w:p>
        </w:tc>
        <w:tc>
          <w:tcPr>
            <w:tcW w:w="595" w:type="dxa"/>
            <w:tcBorders>
              <w:top w:val="single" w:sz="12" w:space="0" w:color="auto"/>
              <w:left w:val="single" w:sz="4" w:space="0" w:color="auto"/>
              <w:bottom w:val="nil"/>
              <w:right w:val="single" w:sz="4" w:space="0" w:color="auto"/>
            </w:tcBorders>
            <w:vAlign w:val="center"/>
          </w:tcPr>
          <w:p w14:paraId="00A4F554"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504</w:t>
            </w:r>
          </w:p>
        </w:tc>
        <w:tc>
          <w:tcPr>
            <w:tcW w:w="595" w:type="dxa"/>
            <w:tcBorders>
              <w:top w:val="single" w:sz="12" w:space="0" w:color="auto"/>
              <w:left w:val="single" w:sz="4" w:space="0" w:color="auto"/>
              <w:bottom w:val="nil"/>
              <w:right w:val="single" w:sz="4" w:space="0" w:color="auto"/>
            </w:tcBorders>
            <w:vAlign w:val="center"/>
          </w:tcPr>
          <w:p w14:paraId="53645661"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580</w:t>
            </w:r>
          </w:p>
        </w:tc>
        <w:tc>
          <w:tcPr>
            <w:tcW w:w="595" w:type="dxa"/>
            <w:tcBorders>
              <w:top w:val="single" w:sz="12" w:space="0" w:color="auto"/>
              <w:left w:val="single" w:sz="4" w:space="0" w:color="auto"/>
              <w:bottom w:val="nil"/>
              <w:right w:val="nil"/>
            </w:tcBorders>
            <w:vAlign w:val="center"/>
          </w:tcPr>
          <w:p w14:paraId="4B52B04A"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611</w:t>
            </w:r>
          </w:p>
        </w:tc>
        <w:tc>
          <w:tcPr>
            <w:tcW w:w="595" w:type="dxa"/>
            <w:tcBorders>
              <w:top w:val="single" w:sz="12" w:space="0" w:color="auto"/>
              <w:left w:val="single" w:sz="4" w:space="0" w:color="auto"/>
              <w:bottom w:val="nil"/>
              <w:right w:val="nil"/>
            </w:tcBorders>
            <w:vAlign w:val="center"/>
          </w:tcPr>
          <w:p w14:paraId="3E41DF26" w14:textId="77777777" w:rsidR="002F3880" w:rsidRPr="006070EA" w:rsidRDefault="002F3880" w:rsidP="00EA2C09">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676</w:t>
            </w:r>
          </w:p>
        </w:tc>
      </w:tr>
    </w:tbl>
    <w:p w14:paraId="15B6E36D" w14:textId="77777777" w:rsidR="002F3880" w:rsidRPr="006070EA" w:rsidRDefault="002F3880" w:rsidP="00EA2C09">
      <w:pPr>
        <w:pStyle w:val="Atextkurzva"/>
        <w:keepNext/>
        <w:spacing w:after="60"/>
        <w:rPr>
          <w:rFonts w:asciiTheme="majorHAnsi" w:hAnsiTheme="majorHAnsi" w:cstheme="majorHAnsi"/>
          <w:color w:val="000000"/>
          <w:szCs w:val="18"/>
        </w:rPr>
      </w:pPr>
      <w:r w:rsidRPr="006070EA">
        <w:rPr>
          <w:rFonts w:asciiTheme="majorHAnsi" w:hAnsiTheme="majorHAnsi" w:cstheme="majorHAnsi"/>
          <w:color w:val="000000"/>
          <w:szCs w:val="18"/>
        </w:rPr>
        <w:t xml:space="preserve">Graf: Dlouhodobý vývoj počtu domů v Kostomlatech nad Labem </w:t>
      </w:r>
      <w:proofErr w:type="gramStart"/>
      <w:r w:rsidRPr="006070EA">
        <w:rPr>
          <w:rFonts w:asciiTheme="majorHAnsi" w:hAnsiTheme="majorHAnsi" w:cstheme="majorHAnsi"/>
          <w:color w:val="000000"/>
          <w:szCs w:val="18"/>
        </w:rPr>
        <w:t>1869 – 2011</w:t>
      </w:r>
      <w:proofErr w:type="gramEnd"/>
    </w:p>
    <w:p w14:paraId="243F92F5" w14:textId="4820B60B" w:rsidR="002F3880" w:rsidRPr="006070EA" w:rsidRDefault="002F3880" w:rsidP="002F3880">
      <w:pPr>
        <w:pStyle w:val="Atextkurzva"/>
        <w:keepNext/>
        <w:rPr>
          <w:rFonts w:asciiTheme="majorHAnsi" w:hAnsiTheme="majorHAnsi" w:cstheme="majorHAnsi"/>
          <w:color w:val="000000"/>
          <w:szCs w:val="18"/>
        </w:rPr>
      </w:pPr>
      <w:r w:rsidRPr="006070EA">
        <w:rPr>
          <w:rFonts w:asciiTheme="majorHAnsi" w:hAnsiTheme="majorHAnsi" w:cstheme="majorHAnsi"/>
          <w:noProof/>
          <w:color w:val="000000"/>
          <w:szCs w:val="18"/>
          <w:lang w:eastAsia="cs-CZ"/>
        </w:rPr>
        <w:drawing>
          <wp:inline distT="0" distB="0" distL="0" distR="0" wp14:anchorId="05F6EFB9" wp14:editId="507DB434">
            <wp:extent cx="5565775" cy="3187700"/>
            <wp:effectExtent l="0" t="0" r="0" b="0"/>
            <wp:docPr id="63" name="Graf 6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45C9242D" w14:textId="77777777" w:rsidR="00B87807" w:rsidRPr="006070EA" w:rsidRDefault="00B87807" w:rsidP="00B87807">
      <w:pPr>
        <w:spacing w:after="60" w:line="240" w:lineRule="auto"/>
        <w:ind w:firstLine="709"/>
        <w:jc w:val="both"/>
        <w:rPr>
          <w:rFonts w:asciiTheme="majorHAnsi" w:hAnsiTheme="majorHAnsi" w:cstheme="majorHAnsi"/>
          <w:bCs/>
          <w:iCs/>
          <w:sz w:val="18"/>
          <w:szCs w:val="18"/>
        </w:rPr>
      </w:pPr>
      <w:r w:rsidRPr="006070EA">
        <w:rPr>
          <w:rFonts w:asciiTheme="majorHAnsi" w:hAnsiTheme="majorHAnsi" w:cstheme="majorHAnsi"/>
          <w:bCs/>
          <w:iCs/>
          <w:sz w:val="18"/>
          <w:szCs w:val="18"/>
        </w:rPr>
        <w:t xml:space="preserve">Nelze opomenout, že v historii docházelo k nárůstu počtu domů na území obce i přes demografický pokles či stagnaci, viz graf výše. Tento trend je možný pozorovat zejména od r. 1980, přičemž jej lze přisuzovat zejména tendencím snižování míry nechtěného soužití a klesajícího počtu lidí v jedné domácnosti, či zvyšující se oblibě rodinné rekreace. S ohledem na stávající trendy bydlení lze v této souvislosti do budoucna očekávat rostoucí požadavky na výstavbu objektů k bydlení. </w:t>
      </w:r>
    </w:p>
    <w:p w14:paraId="29E28E76" w14:textId="77777777" w:rsidR="002F3880" w:rsidRPr="006070EA" w:rsidRDefault="002F3880" w:rsidP="00EA2C09">
      <w:pPr>
        <w:pStyle w:val="Atextkurzva"/>
        <w:keepNext/>
        <w:spacing w:after="60"/>
        <w:rPr>
          <w:rFonts w:asciiTheme="majorHAnsi" w:hAnsiTheme="majorHAnsi" w:cstheme="majorHAnsi"/>
          <w:color w:val="000000"/>
          <w:szCs w:val="18"/>
        </w:rPr>
      </w:pPr>
      <w:r w:rsidRPr="006070EA">
        <w:rPr>
          <w:rFonts w:asciiTheme="majorHAnsi" w:hAnsiTheme="majorHAnsi" w:cstheme="majorHAnsi"/>
          <w:color w:val="000000"/>
          <w:szCs w:val="18"/>
        </w:rPr>
        <w:t>Tab. Domovní fond v Kostomlatech nad Labem – domy (k 26. 3. 2011, dle ČSÚ)</w:t>
      </w:r>
    </w:p>
    <w:tbl>
      <w:tblPr>
        <w:tblW w:w="0" w:type="auto"/>
        <w:jc w:val="center"/>
        <w:tblBorders>
          <w:insideH w:val="single" w:sz="6" w:space="0" w:color="000000"/>
          <w:insideV w:val="single" w:sz="6" w:space="0" w:color="000000"/>
        </w:tblBorders>
        <w:tblLook w:val="04A0" w:firstRow="1" w:lastRow="0" w:firstColumn="1" w:lastColumn="0" w:noHBand="0" w:noVBand="1"/>
      </w:tblPr>
      <w:tblGrid>
        <w:gridCol w:w="1275"/>
        <w:gridCol w:w="1275"/>
        <w:gridCol w:w="1275"/>
        <w:gridCol w:w="1275"/>
        <w:gridCol w:w="1276"/>
        <w:gridCol w:w="1276"/>
        <w:gridCol w:w="1276"/>
      </w:tblGrid>
      <w:tr w:rsidR="002F3880" w:rsidRPr="006070EA" w14:paraId="0A267919" w14:textId="77777777" w:rsidTr="00EA2C09">
        <w:trPr>
          <w:jc w:val="center"/>
        </w:trPr>
        <w:tc>
          <w:tcPr>
            <w:tcW w:w="1275" w:type="dxa"/>
            <w:vAlign w:val="center"/>
          </w:tcPr>
          <w:p w14:paraId="12E2318D" w14:textId="77777777" w:rsidR="002F3880" w:rsidRPr="006070EA" w:rsidRDefault="002F3880" w:rsidP="00EA2C09">
            <w:pPr>
              <w:pStyle w:val="Atextkurzva"/>
              <w:keepNext/>
              <w:spacing w:before="0" w:after="0"/>
              <w:jc w:val="center"/>
              <w:rPr>
                <w:rFonts w:asciiTheme="majorHAnsi" w:hAnsiTheme="majorHAnsi" w:cstheme="majorHAnsi"/>
                <w:b/>
                <w:bCs/>
                <w:i w:val="0"/>
                <w:color w:val="000000"/>
                <w:szCs w:val="18"/>
              </w:rPr>
            </w:pPr>
            <w:r w:rsidRPr="006070EA">
              <w:rPr>
                <w:rFonts w:asciiTheme="majorHAnsi" w:hAnsiTheme="majorHAnsi" w:cstheme="majorHAnsi"/>
                <w:b/>
                <w:bCs/>
                <w:i w:val="0"/>
                <w:color w:val="000000"/>
                <w:szCs w:val="18"/>
              </w:rPr>
              <w:t>Počet domů</w:t>
            </w:r>
          </w:p>
        </w:tc>
        <w:tc>
          <w:tcPr>
            <w:tcW w:w="1275" w:type="dxa"/>
            <w:vAlign w:val="center"/>
          </w:tcPr>
          <w:p w14:paraId="0A93BC14" w14:textId="77777777" w:rsidR="002F3880" w:rsidRPr="006070EA" w:rsidRDefault="002F3880" w:rsidP="00EA2C09">
            <w:pPr>
              <w:pStyle w:val="Atextkurzva"/>
              <w:keepNext/>
              <w:spacing w:before="0" w:after="0"/>
              <w:jc w:val="center"/>
              <w:rPr>
                <w:rFonts w:asciiTheme="majorHAnsi" w:hAnsiTheme="majorHAnsi" w:cstheme="majorHAnsi"/>
                <w:b/>
                <w:bCs/>
                <w:i w:val="0"/>
                <w:color w:val="000000"/>
                <w:szCs w:val="18"/>
              </w:rPr>
            </w:pPr>
            <w:r w:rsidRPr="006070EA">
              <w:rPr>
                <w:rFonts w:asciiTheme="majorHAnsi" w:hAnsiTheme="majorHAnsi" w:cstheme="majorHAnsi"/>
                <w:b/>
                <w:bCs/>
                <w:i w:val="0"/>
                <w:color w:val="000000"/>
                <w:szCs w:val="18"/>
              </w:rPr>
              <w:t>Počet obydlených domů</w:t>
            </w:r>
          </w:p>
        </w:tc>
        <w:tc>
          <w:tcPr>
            <w:tcW w:w="1275" w:type="dxa"/>
            <w:vAlign w:val="center"/>
          </w:tcPr>
          <w:p w14:paraId="60A2F42D" w14:textId="77777777" w:rsidR="002F3880" w:rsidRPr="006070EA" w:rsidRDefault="002F3880" w:rsidP="00EA2C09">
            <w:pPr>
              <w:pStyle w:val="Atextkurzva"/>
              <w:keepNext/>
              <w:spacing w:before="0" w:after="0"/>
              <w:jc w:val="center"/>
              <w:rPr>
                <w:rFonts w:asciiTheme="majorHAnsi" w:hAnsiTheme="majorHAnsi" w:cstheme="majorHAnsi"/>
                <w:b/>
                <w:bCs/>
                <w:i w:val="0"/>
                <w:color w:val="000000"/>
                <w:szCs w:val="18"/>
              </w:rPr>
            </w:pPr>
            <w:r w:rsidRPr="006070EA">
              <w:rPr>
                <w:rFonts w:asciiTheme="majorHAnsi" w:hAnsiTheme="majorHAnsi" w:cstheme="majorHAnsi"/>
                <w:b/>
                <w:bCs/>
                <w:i w:val="0"/>
                <w:color w:val="000000"/>
                <w:szCs w:val="18"/>
              </w:rPr>
              <w:t>Počet obydlených bytů</w:t>
            </w:r>
          </w:p>
        </w:tc>
        <w:tc>
          <w:tcPr>
            <w:tcW w:w="1275" w:type="dxa"/>
            <w:vAlign w:val="center"/>
          </w:tcPr>
          <w:p w14:paraId="667E42EE" w14:textId="77777777" w:rsidR="002F3880" w:rsidRPr="006070EA" w:rsidRDefault="002F3880" w:rsidP="00EA2C09">
            <w:pPr>
              <w:pStyle w:val="Atextkurzva"/>
              <w:keepNext/>
              <w:spacing w:before="0" w:after="0"/>
              <w:jc w:val="center"/>
              <w:rPr>
                <w:rFonts w:asciiTheme="majorHAnsi" w:hAnsiTheme="majorHAnsi" w:cstheme="majorHAnsi"/>
                <w:b/>
                <w:bCs/>
                <w:i w:val="0"/>
                <w:color w:val="000000"/>
                <w:szCs w:val="18"/>
              </w:rPr>
            </w:pPr>
            <w:r w:rsidRPr="006070EA">
              <w:rPr>
                <w:rFonts w:asciiTheme="majorHAnsi" w:hAnsiTheme="majorHAnsi" w:cstheme="majorHAnsi"/>
                <w:b/>
                <w:bCs/>
                <w:i w:val="0"/>
                <w:color w:val="000000"/>
                <w:szCs w:val="18"/>
              </w:rPr>
              <w:t>Počet neobydlených bytů sloužících k rekreaci</w:t>
            </w:r>
          </w:p>
        </w:tc>
        <w:tc>
          <w:tcPr>
            <w:tcW w:w="1276" w:type="dxa"/>
            <w:vAlign w:val="center"/>
          </w:tcPr>
          <w:p w14:paraId="14DA8379" w14:textId="12C9F1E7" w:rsidR="002F3880" w:rsidRPr="006070EA" w:rsidRDefault="002F3880" w:rsidP="00EA2C09">
            <w:pPr>
              <w:pStyle w:val="Atextkurzva"/>
              <w:keepNext/>
              <w:spacing w:before="0" w:after="0"/>
              <w:jc w:val="center"/>
              <w:rPr>
                <w:rFonts w:asciiTheme="majorHAnsi" w:hAnsiTheme="majorHAnsi" w:cstheme="majorHAnsi"/>
                <w:b/>
                <w:bCs/>
                <w:i w:val="0"/>
                <w:color w:val="000000"/>
                <w:szCs w:val="18"/>
              </w:rPr>
            </w:pPr>
            <w:r w:rsidRPr="006070EA">
              <w:rPr>
                <w:rFonts w:asciiTheme="majorHAnsi" w:hAnsiTheme="majorHAnsi" w:cstheme="majorHAnsi"/>
                <w:b/>
                <w:bCs/>
                <w:i w:val="0"/>
                <w:color w:val="000000"/>
                <w:szCs w:val="18"/>
              </w:rPr>
              <w:t>Podíl obydl.</w:t>
            </w:r>
            <w:r w:rsidR="00EA2C09" w:rsidRPr="006070EA">
              <w:rPr>
                <w:rFonts w:asciiTheme="majorHAnsi" w:hAnsiTheme="majorHAnsi" w:cstheme="majorHAnsi"/>
                <w:b/>
                <w:bCs/>
                <w:i w:val="0"/>
                <w:color w:val="000000"/>
                <w:szCs w:val="18"/>
              </w:rPr>
              <w:t xml:space="preserve"> </w:t>
            </w:r>
            <w:r w:rsidRPr="006070EA">
              <w:rPr>
                <w:rFonts w:asciiTheme="majorHAnsi" w:hAnsiTheme="majorHAnsi" w:cstheme="majorHAnsi"/>
                <w:b/>
                <w:bCs/>
                <w:i w:val="0"/>
                <w:color w:val="000000"/>
                <w:szCs w:val="18"/>
              </w:rPr>
              <w:t>bytů v rodinných domech na obydl.</w:t>
            </w:r>
            <w:r w:rsidR="00EA2C09" w:rsidRPr="006070EA">
              <w:rPr>
                <w:rFonts w:asciiTheme="majorHAnsi" w:hAnsiTheme="majorHAnsi" w:cstheme="majorHAnsi"/>
                <w:b/>
                <w:bCs/>
                <w:i w:val="0"/>
                <w:color w:val="000000"/>
                <w:szCs w:val="18"/>
              </w:rPr>
              <w:t xml:space="preserve"> </w:t>
            </w:r>
            <w:r w:rsidRPr="006070EA">
              <w:rPr>
                <w:rFonts w:asciiTheme="majorHAnsi" w:hAnsiTheme="majorHAnsi" w:cstheme="majorHAnsi"/>
                <w:b/>
                <w:bCs/>
                <w:i w:val="0"/>
                <w:color w:val="000000"/>
                <w:szCs w:val="18"/>
              </w:rPr>
              <w:t xml:space="preserve">byty </w:t>
            </w:r>
            <w:proofErr w:type="gramStart"/>
            <w:r w:rsidRPr="006070EA">
              <w:rPr>
                <w:rFonts w:asciiTheme="majorHAnsi" w:hAnsiTheme="majorHAnsi" w:cstheme="majorHAnsi"/>
                <w:b/>
                <w:bCs/>
                <w:i w:val="0"/>
                <w:color w:val="000000"/>
                <w:szCs w:val="18"/>
              </w:rPr>
              <w:t>celkem(</w:t>
            </w:r>
            <w:proofErr w:type="gramEnd"/>
            <w:r w:rsidRPr="006070EA">
              <w:rPr>
                <w:rFonts w:asciiTheme="majorHAnsi" w:hAnsiTheme="majorHAnsi" w:cstheme="majorHAnsi"/>
                <w:b/>
                <w:bCs/>
                <w:i w:val="0"/>
                <w:color w:val="000000"/>
                <w:szCs w:val="18"/>
              </w:rPr>
              <w:t>%)</w:t>
            </w:r>
          </w:p>
        </w:tc>
        <w:tc>
          <w:tcPr>
            <w:tcW w:w="1276" w:type="dxa"/>
            <w:vAlign w:val="center"/>
          </w:tcPr>
          <w:p w14:paraId="1DF278B9" w14:textId="77777777" w:rsidR="002F3880" w:rsidRPr="006070EA" w:rsidRDefault="002F3880" w:rsidP="00EA2C09">
            <w:pPr>
              <w:pStyle w:val="Atextkurzva"/>
              <w:keepNext/>
              <w:spacing w:before="0" w:after="0"/>
              <w:jc w:val="center"/>
              <w:rPr>
                <w:rFonts w:asciiTheme="majorHAnsi" w:hAnsiTheme="majorHAnsi" w:cstheme="majorHAnsi"/>
                <w:b/>
                <w:bCs/>
                <w:i w:val="0"/>
                <w:color w:val="000000"/>
                <w:szCs w:val="18"/>
              </w:rPr>
            </w:pPr>
            <w:r w:rsidRPr="006070EA">
              <w:rPr>
                <w:rFonts w:asciiTheme="majorHAnsi" w:hAnsiTheme="majorHAnsi" w:cstheme="majorHAnsi"/>
                <w:b/>
                <w:bCs/>
                <w:i w:val="0"/>
                <w:color w:val="000000"/>
                <w:szCs w:val="18"/>
              </w:rPr>
              <w:t>Podíl neobydlených bytů z celkového počtu bytů (%)</w:t>
            </w:r>
          </w:p>
        </w:tc>
        <w:tc>
          <w:tcPr>
            <w:tcW w:w="1276" w:type="dxa"/>
            <w:vAlign w:val="center"/>
          </w:tcPr>
          <w:p w14:paraId="7A0E1AC9" w14:textId="77777777" w:rsidR="002F3880" w:rsidRPr="006070EA" w:rsidRDefault="002F3880" w:rsidP="00EA2C09">
            <w:pPr>
              <w:pStyle w:val="Atextkurzva"/>
              <w:keepNext/>
              <w:spacing w:before="0" w:after="0"/>
              <w:jc w:val="center"/>
              <w:rPr>
                <w:rFonts w:asciiTheme="majorHAnsi" w:hAnsiTheme="majorHAnsi" w:cstheme="majorHAnsi"/>
                <w:b/>
                <w:bCs/>
                <w:i w:val="0"/>
                <w:color w:val="000000"/>
                <w:szCs w:val="18"/>
              </w:rPr>
            </w:pPr>
            <w:r w:rsidRPr="006070EA">
              <w:rPr>
                <w:rFonts w:asciiTheme="majorHAnsi" w:hAnsiTheme="majorHAnsi" w:cstheme="majorHAnsi"/>
                <w:b/>
                <w:bCs/>
                <w:i w:val="0"/>
                <w:color w:val="000000"/>
                <w:szCs w:val="18"/>
              </w:rPr>
              <w:t>Podíl neobydlených domů z celkového počtu domů celkem (%)</w:t>
            </w:r>
          </w:p>
        </w:tc>
      </w:tr>
      <w:tr w:rsidR="002F3880" w:rsidRPr="006070EA" w14:paraId="1CA6CE7C" w14:textId="77777777" w:rsidTr="00EA2C09">
        <w:trPr>
          <w:jc w:val="center"/>
        </w:trPr>
        <w:tc>
          <w:tcPr>
            <w:tcW w:w="1275" w:type="dxa"/>
            <w:vAlign w:val="center"/>
          </w:tcPr>
          <w:p w14:paraId="0100731A" w14:textId="77777777" w:rsidR="002F3880" w:rsidRPr="006070EA" w:rsidRDefault="002F3880" w:rsidP="00EA2C09">
            <w:pPr>
              <w:pStyle w:val="Atextkurzva"/>
              <w:keepNext/>
              <w:spacing w:before="0" w:after="0"/>
              <w:jc w:val="center"/>
              <w:rPr>
                <w:rFonts w:asciiTheme="majorHAnsi" w:hAnsiTheme="majorHAnsi" w:cstheme="majorHAnsi"/>
                <w:i w:val="0"/>
                <w:color w:val="000000"/>
                <w:szCs w:val="18"/>
              </w:rPr>
            </w:pPr>
            <w:r w:rsidRPr="006070EA">
              <w:rPr>
                <w:rFonts w:asciiTheme="majorHAnsi" w:hAnsiTheme="majorHAnsi" w:cstheme="majorHAnsi"/>
                <w:i w:val="0"/>
                <w:color w:val="000000"/>
                <w:szCs w:val="18"/>
              </w:rPr>
              <w:t>676</w:t>
            </w:r>
          </w:p>
        </w:tc>
        <w:tc>
          <w:tcPr>
            <w:tcW w:w="1275" w:type="dxa"/>
            <w:vAlign w:val="center"/>
          </w:tcPr>
          <w:p w14:paraId="094C56B5" w14:textId="77777777" w:rsidR="002F3880" w:rsidRPr="006070EA" w:rsidRDefault="002F3880" w:rsidP="00EA2C09">
            <w:pPr>
              <w:pStyle w:val="Atextkurzva"/>
              <w:keepNext/>
              <w:spacing w:before="0" w:after="0"/>
              <w:jc w:val="center"/>
              <w:rPr>
                <w:rFonts w:asciiTheme="majorHAnsi" w:hAnsiTheme="majorHAnsi" w:cstheme="majorHAnsi"/>
                <w:i w:val="0"/>
                <w:color w:val="000000"/>
                <w:szCs w:val="18"/>
              </w:rPr>
            </w:pPr>
            <w:r w:rsidRPr="006070EA">
              <w:rPr>
                <w:rFonts w:asciiTheme="majorHAnsi" w:hAnsiTheme="majorHAnsi" w:cstheme="majorHAnsi"/>
                <w:i w:val="0"/>
                <w:color w:val="000000"/>
                <w:szCs w:val="18"/>
              </w:rPr>
              <w:t>565</w:t>
            </w:r>
          </w:p>
        </w:tc>
        <w:tc>
          <w:tcPr>
            <w:tcW w:w="1275" w:type="dxa"/>
            <w:vAlign w:val="center"/>
          </w:tcPr>
          <w:p w14:paraId="50A72250" w14:textId="77777777" w:rsidR="002F3880" w:rsidRPr="006070EA" w:rsidRDefault="002F3880" w:rsidP="00EA2C09">
            <w:pPr>
              <w:pStyle w:val="Atextkurzva"/>
              <w:keepNext/>
              <w:spacing w:before="0" w:after="0"/>
              <w:jc w:val="center"/>
              <w:rPr>
                <w:rFonts w:asciiTheme="majorHAnsi" w:hAnsiTheme="majorHAnsi" w:cstheme="majorHAnsi"/>
                <w:i w:val="0"/>
                <w:color w:val="000000"/>
                <w:szCs w:val="18"/>
              </w:rPr>
            </w:pPr>
            <w:r w:rsidRPr="006070EA">
              <w:rPr>
                <w:rFonts w:asciiTheme="majorHAnsi" w:hAnsiTheme="majorHAnsi" w:cstheme="majorHAnsi"/>
                <w:i w:val="0"/>
                <w:color w:val="000000"/>
                <w:szCs w:val="18"/>
              </w:rPr>
              <w:t>663</w:t>
            </w:r>
          </w:p>
        </w:tc>
        <w:tc>
          <w:tcPr>
            <w:tcW w:w="1275" w:type="dxa"/>
            <w:vAlign w:val="center"/>
          </w:tcPr>
          <w:p w14:paraId="36DC441F" w14:textId="77777777" w:rsidR="002F3880" w:rsidRPr="006070EA" w:rsidRDefault="002F3880" w:rsidP="00EA2C09">
            <w:pPr>
              <w:pStyle w:val="Atextkurzva"/>
              <w:keepNext/>
              <w:spacing w:before="0" w:after="0"/>
              <w:jc w:val="center"/>
              <w:rPr>
                <w:rFonts w:asciiTheme="majorHAnsi" w:hAnsiTheme="majorHAnsi" w:cstheme="majorHAnsi"/>
                <w:i w:val="0"/>
                <w:color w:val="000000"/>
                <w:szCs w:val="18"/>
              </w:rPr>
            </w:pPr>
            <w:r w:rsidRPr="006070EA">
              <w:rPr>
                <w:rFonts w:asciiTheme="majorHAnsi" w:hAnsiTheme="majorHAnsi" w:cstheme="majorHAnsi"/>
                <w:i w:val="0"/>
                <w:color w:val="000000"/>
                <w:szCs w:val="18"/>
              </w:rPr>
              <w:t>28</w:t>
            </w:r>
          </w:p>
        </w:tc>
        <w:tc>
          <w:tcPr>
            <w:tcW w:w="1276" w:type="dxa"/>
            <w:vAlign w:val="center"/>
          </w:tcPr>
          <w:p w14:paraId="3B2E2E62" w14:textId="77777777" w:rsidR="002F3880" w:rsidRPr="006070EA" w:rsidRDefault="002F3880" w:rsidP="00EA2C09">
            <w:pPr>
              <w:pStyle w:val="Atextkurzva"/>
              <w:keepNext/>
              <w:spacing w:before="0" w:after="0"/>
              <w:jc w:val="center"/>
              <w:rPr>
                <w:rFonts w:asciiTheme="majorHAnsi" w:hAnsiTheme="majorHAnsi" w:cstheme="majorHAnsi"/>
                <w:i w:val="0"/>
                <w:color w:val="000000"/>
                <w:szCs w:val="18"/>
              </w:rPr>
            </w:pPr>
            <w:r w:rsidRPr="006070EA">
              <w:rPr>
                <w:rFonts w:asciiTheme="majorHAnsi" w:hAnsiTheme="majorHAnsi" w:cstheme="majorHAnsi"/>
                <w:i w:val="0"/>
                <w:color w:val="000000"/>
                <w:szCs w:val="18"/>
              </w:rPr>
              <w:t>90,3</w:t>
            </w:r>
          </w:p>
        </w:tc>
        <w:tc>
          <w:tcPr>
            <w:tcW w:w="1276" w:type="dxa"/>
            <w:vAlign w:val="center"/>
          </w:tcPr>
          <w:p w14:paraId="75B62643" w14:textId="77777777" w:rsidR="002F3880" w:rsidRPr="006070EA" w:rsidRDefault="002F3880" w:rsidP="00EA2C09">
            <w:pPr>
              <w:pStyle w:val="Atextkurzva"/>
              <w:keepNext/>
              <w:spacing w:before="0" w:after="0"/>
              <w:jc w:val="center"/>
              <w:rPr>
                <w:rFonts w:asciiTheme="majorHAnsi" w:hAnsiTheme="majorHAnsi" w:cstheme="majorHAnsi"/>
                <w:i w:val="0"/>
                <w:color w:val="000000"/>
                <w:szCs w:val="18"/>
              </w:rPr>
            </w:pPr>
            <w:r w:rsidRPr="006070EA">
              <w:rPr>
                <w:rFonts w:asciiTheme="majorHAnsi" w:hAnsiTheme="majorHAnsi" w:cstheme="majorHAnsi"/>
                <w:i w:val="0"/>
                <w:color w:val="000000"/>
                <w:szCs w:val="18"/>
              </w:rPr>
              <w:t>17,5</w:t>
            </w:r>
          </w:p>
        </w:tc>
        <w:tc>
          <w:tcPr>
            <w:tcW w:w="1276" w:type="dxa"/>
            <w:vAlign w:val="center"/>
          </w:tcPr>
          <w:p w14:paraId="67E6CF2D" w14:textId="77777777" w:rsidR="002F3880" w:rsidRPr="006070EA" w:rsidRDefault="002F3880" w:rsidP="00EA2C09">
            <w:pPr>
              <w:pStyle w:val="Atextkurzva"/>
              <w:keepNext/>
              <w:spacing w:before="0" w:after="0"/>
              <w:jc w:val="center"/>
              <w:rPr>
                <w:rFonts w:asciiTheme="majorHAnsi" w:hAnsiTheme="majorHAnsi" w:cstheme="majorHAnsi"/>
                <w:i w:val="0"/>
                <w:color w:val="000000"/>
                <w:szCs w:val="18"/>
              </w:rPr>
            </w:pPr>
            <w:r w:rsidRPr="006070EA">
              <w:rPr>
                <w:rFonts w:asciiTheme="majorHAnsi" w:hAnsiTheme="majorHAnsi" w:cstheme="majorHAnsi"/>
                <w:i w:val="0"/>
                <w:color w:val="000000"/>
                <w:szCs w:val="18"/>
              </w:rPr>
              <w:t>16,42</w:t>
            </w:r>
          </w:p>
        </w:tc>
      </w:tr>
    </w:tbl>
    <w:p w14:paraId="464C3C6B" w14:textId="350CEC96" w:rsidR="002F3880" w:rsidRPr="006070EA" w:rsidRDefault="002F3880" w:rsidP="002F3880">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V </w:t>
      </w:r>
      <w:r w:rsidR="00A864A7" w:rsidRPr="006070EA">
        <w:rPr>
          <w:rFonts w:asciiTheme="majorHAnsi" w:hAnsiTheme="majorHAnsi" w:cstheme="majorHAnsi"/>
          <w:color w:val="000000"/>
          <w:szCs w:val="18"/>
        </w:rPr>
        <w:t>období</w:t>
      </w:r>
      <w:r w:rsidRPr="006070EA">
        <w:rPr>
          <w:rFonts w:asciiTheme="majorHAnsi" w:hAnsiTheme="majorHAnsi" w:cstheme="majorHAnsi"/>
          <w:color w:val="000000"/>
          <w:szCs w:val="18"/>
        </w:rPr>
        <w:t xml:space="preserve"> od schválení dosud platného ÚPO </w:t>
      </w:r>
      <w:r w:rsidR="00A864A7" w:rsidRPr="006070EA">
        <w:rPr>
          <w:rFonts w:asciiTheme="majorHAnsi" w:hAnsiTheme="majorHAnsi" w:cstheme="majorHAnsi"/>
          <w:color w:val="000000"/>
          <w:szCs w:val="18"/>
        </w:rPr>
        <w:t xml:space="preserve">(2003) </w:t>
      </w:r>
      <w:r w:rsidRPr="006070EA">
        <w:rPr>
          <w:rFonts w:asciiTheme="majorHAnsi" w:hAnsiTheme="majorHAnsi" w:cstheme="majorHAnsi"/>
          <w:color w:val="000000"/>
          <w:szCs w:val="18"/>
        </w:rPr>
        <w:t xml:space="preserve">došlo k zásadnímu nárůstu rodinných domů. Téměř výhradně jsou realizovány byty v rodinných domech. Zájem o výstavbu v obci spolu s připraveností stavebních parcel v sídle Kostomlaty nad Labem je předpokladem pro pokračující trend výstavby a příchodu nových obyvatel. </w:t>
      </w:r>
      <w:r w:rsidR="00A864A7" w:rsidRPr="006070EA">
        <w:rPr>
          <w:rFonts w:asciiTheme="majorHAnsi" w:hAnsiTheme="majorHAnsi" w:cstheme="majorHAnsi"/>
          <w:color w:val="000000"/>
          <w:szCs w:val="18"/>
        </w:rPr>
        <w:t>V období 2003 až 2020 bylo dokončeno celkem 94 bytových jednotek (BJ) v rodinných domech. Tento údaj koresponduje s populačním vývojem posledních dvaceti let. Při předpokládané obydlenosti jedné BJ (2,2 os./BJ) předznamenává stavební rozvoj přírůstek cca 210 obyvatel.</w:t>
      </w:r>
    </w:p>
    <w:p w14:paraId="75B6B8BF" w14:textId="579664B8" w:rsidR="002F3880" w:rsidRPr="006070EA" w:rsidRDefault="002F3880" w:rsidP="002F3880">
      <w:pPr>
        <w:pStyle w:val="Atextkurzva"/>
        <w:keepNext/>
        <w:rPr>
          <w:rFonts w:asciiTheme="majorHAnsi" w:hAnsiTheme="majorHAnsi" w:cstheme="majorHAnsi"/>
          <w:color w:val="000000"/>
          <w:szCs w:val="18"/>
        </w:rPr>
      </w:pPr>
      <w:r w:rsidRPr="006070EA">
        <w:rPr>
          <w:rFonts w:asciiTheme="majorHAnsi" w:hAnsiTheme="majorHAnsi" w:cstheme="majorHAnsi"/>
          <w:color w:val="000000"/>
          <w:szCs w:val="18"/>
        </w:rPr>
        <w:lastRenderedPageBreak/>
        <w:t xml:space="preserve">Tab. Vývoj počtu dokončených bytů </w:t>
      </w:r>
      <w:r w:rsidR="00A864A7" w:rsidRPr="006070EA">
        <w:rPr>
          <w:rFonts w:asciiTheme="majorHAnsi" w:hAnsiTheme="majorHAnsi" w:cstheme="majorHAnsi"/>
          <w:color w:val="000000"/>
          <w:szCs w:val="18"/>
        </w:rPr>
        <w:t>v období účinnosti ÚPO Kostomlaty nad Labem</w:t>
      </w:r>
      <w:r w:rsidR="00B87807" w:rsidRPr="006070EA">
        <w:rPr>
          <w:rFonts w:asciiTheme="majorHAnsi" w:hAnsiTheme="majorHAnsi" w:cstheme="majorHAnsi"/>
          <w:color w:val="000000"/>
          <w:szCs w:val="18"/>
        </w:rPr>
        <w:t xml:space="preserve"> (od r. 2003)</w:t>
      </w:r>
    </w:p>
    <w:tbl>
      <w:tblPr>
        <w:tblW w:w="8955" w:type="dxa"/>
        <w:jc w:val="center"/>
        <w:tblLayout w:type="fixed"/>
        <w:tblLook w:val="04A0" w:firstRow="1" w:lastRow="0" w:firstColumn="1" w:lastColumn="0" w:noHBand="0" w:noVBand="1"/>
      </w:tblPr>
      <w:tblGrid>
        <w:gridCol w:w="2835"/>
        <w:gridCol w:w="680"/>
        <w:gridCol w:w="680"/>
        <w:gridCol w:w="680"/>
        <w:gridCol w:w="680"/>
        <w:gridCol w:w="680"/>
        <w:gridCol w:w="680"/>
        <w:gridCol w:w="680"/>
        <w:gridCol w:w="680"/>
        <w:gridCol w:w="680"/>
      </w:tblGrid>
      <w:tr w:rsidR="003D32B1" w:rsidRPr="006070EA" w14:paraId="38774BBC" w14:textId="4A1A565F" w:rsidTr="003D32B1">
        <w:trPr>
          <w:trHeight w:val="283"/>
          <w:jc w:val="center"/>
        </w:trPr>
        <w:tc>
          <w:tcPr>
            <w:tcW w:w="2835" w:type="dxa"/>
            <w:tcBorders>
              <w:top w:val="nil"/>
              <w:left w:val="nil"/>
              <w:bottom w:val="single" w:sz="12" w:space="0" w:color="auto"/>
              <w:right w:val="single" w:sz="12" w:space="0" w:color="auto"/>
            </w:tcBorders>
            <w:vAlign w:val="center"/>
            <w:hideMark/>
          </w:tcPr>
          <w:p w14:paraId="41E5851F"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rok</w:t>
            </w:r>
          </w:p>
        </w:tc>
        <w:tc>
          <w:tcPr>
            <w:tcW w:w="680" w:type="dxa"/>
            <w:tcBorders>
              <w:top w:val="nil"/>
              <w:left w:val="single" w:sz="12" w:space="0" w:color="auto"/>
              <w:bottom w:val="single" w:sz="12" w:space="0" w:color="auto"/>
              <w:right w:val="single" w:sz="12" w:space="0" w:color="auto"/>
            </w:tcBorders>
            <w:vAlign w:val="center"/>
          </w:tcPr>
          <w:p w14:paraId="1D30D067"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2003</w:t>
            </w:r>
          </w:p>
        </w:tc>
        <w:tc>
          <w:tcPr>
            <w:tcW w:w="680" w:type="dxa"/>
            <w:tcBorders>
              <w:top w:val="nil"/>
              <w:left w:val="single" w:sz="12" w:space="0" w:color="auto"/>
              <w:bottom w:val="single" w:sz="12" w:space="0" w:color="auto"/>
              <w:right w:val="single" w:sz="12" w:space="0" w:color="auto"/>
            </w:tcBorders>
            <w:vAlign w:val="center"/>
          </w:tcPr>
          <w:p w14:paraId="74B7C699"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2004</w:t>
            </w:r>
          </w:p>
        </w:tc>
        <w:tc>
          <w:tcPr>
            <w:tcW w:w="680" w:type="dxa"/>
            <w:tcBorders>
              <w:top w:val="nil"/>
              <w:left w:val="single" w:sz="12" w:space="0" w:color="auto"/>
              <w:bottom w:val="single" w:sz="12" w:space="0" w:color="auto"/>
              <w:right w:val="single" w:sz="12" w:space="0" w:color="auto"/>
            </w:tcBorders>
            <w:vAlign w:val="center"/>
          </w:tcPr>
          <w:p w14:paraId="494ACADA"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2005</w:t>
            </w:r>
          </w:p>
        </w:tc>
        <w:tc>
          <w:tcPr>
            <w:tcW w:w="680" w:type="dxa"/>
            <w:tcBorders>
              <w:top w:val="nil"/>
              <w:left w:val="single" w:sz="12" w:space="0" w:color="auto"/>
              <w:bottom w:val="single" w:sz="12" w:space="0" w:color="auto"/>
              <w:right w:val="single" w:sz="12" w:space="0" w:color="auto"/>
            </w:tcBorders>
            <w:vAlign w:val="center"/>
          </w:tcPr>
          <w:p w14:paraId="5554DCFE"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2006</w:t>
            </w:r>
          </w:p>
        </w:tc>
        <w:tc>
          <w:tcPr>
            <w:tcW w:w="680" w:type="dxa"/>
            <w:tcBorders>
              <w:top w:val="nil"/>
              <w:left w:val="single" w:sz="12" w:space="0" w:color="auto"/>
              <w:bottom w:val="single" w:sz="12" w:space="0" w:color="auto"/>
              <w:right w:val="single" w:sz="12" w:space="0" w:color="auto"/>
            </w:tcBorders>
            <w:vAlign w:val="center"/>
          </w:tcPr>
          <w:p w14:paraId="33AEE746"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2007</w:t>
            </w:r>
          </w:p>
        </w:tc>
        <w:tc>
          <w:tcPr>
            <w:tcW w:w="680" w:type="dxa"/>
            <w:tcBorders>
              <w:top w:val="nil"/>
              <w:left w:val="single" w:sz="12" w:space="0" w:color="auto"/>
              <w:bottom w:val="single" w:sz="12" w:space="0" w:color="auto"/>
              <w:right w:val="single" w:sz="12" w:space="0" w:color="auto"/>
            </w:tcBorders>
            <w:vAlign w:val="center"/>
          </w:tcPr>
          <w:p w14:paraId="57EB2A97"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2008</w:t>
            </w:r>
          </w:p>
        </w:tc>
        <w:tc>
          <w:tcPr>
            <w:tcW w:w="680" w:type="dxa"/>
            <w:tcBorders>
              <w:top w:val="nil"/>
              <w:left w:val="single" w:sz="12" w:space="0" w:color="auto"/>
              <w:bottom w:val="single" w:sz="12" w:space="0" w:color="auto"/>
              <w:right w:val="single" w:sz="12" w:space="0" w:color="auto"/>
            </w:tcBorders>
            <w:vAlign w:val="center"/>
          </w:tcPr>
          <w:p w14:paraId="73CDCB9A"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2009</w:t>
            </w:r>
          </w:p>
        </w:tc>
        <w:tc>
          <w:tcPr>
            <w:tcW w:w="680" w:type="dxa"/>
            <w:tcBorders>
              <w:top w:val="nil"/>
              <w:left w:val="single" w:sz="12" w:space="0" w:color="auto"/>
              <w:bottom w:val="single" w:sz="12" w:space="0" w:color="auto"/>
              <w:right w:val="single" w:sz="12" w:space="0" w:color="auto"/>
            </w:tcBorders>
            <w:vAlign w:val="center"/>
          </w:tcPr>
          <w:p w14:paraId="3908D09A"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2010</w:t>
            </w:r>
          </w:p>
        </w:tc>
        <w:tc>
          <w:tcPr>
            <w:tcW w:w="680" w:type="dxa"/>
            <w:tcBorders>
              <w:top w:val="nil"/>
              <w:left w:val="single" w:sz="12" w:space="0" w:color="auto"/>
              <w:bottom w:val="single" w:sz="12" w:space="0" w:color="auto"/>
            </w:tcBorders>
            <w:vAlign w:val="center"/>
          </w:tcPr>
          <w:p w14:paraId="22376EF3" w14:textId="77777777" w:rsidR="003D32B1" w:rsidRPr="006070EA" w:rsidRDefault="003D32B1" w:rsidP="00A864A7">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2011</w:t>
            </w:r>
          </w:p>
        </w:tc>
      </w:tr>
      <w:tr w:rsidR="003D32B1" w:rsidRPr="006070EA" w14:paraId="6BAEAC1E" w14:textId="4374F176" w:rsidTr="003D32B1">
        <w:trPr>
          <w:trHeight w:val="283"/>
          <w:jc w:val="center"/>
        </w:trPr>
        <w:tc>
          <w:tcPr>
            <w:tcW w:w="2835" w:type="dxa"/>
            <w:tcBorders>
              <w:top w:val="single" w:sz="12" w:space="0" w:color="auto"/>
              <w:left w:val="nil"/>
              <w:bottom w:val="nil"/>
              <w:right w:val="single" w:sz="4" w:space="0" w:color="auto"/>
            </w:tcBorders>
            <w:vAlign w:val="center"/>
            <w:hideMark/>
          </w:tcPr>
          <w:p w14:paraId="53A1449C" w14:textId="241495E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Počet dokončených bytů</w:t>
            </w:r>
          </w:p>
        </w:tc>
        <w:tc>
          <w:tcPr>
            <w:tcW w:w="680" w:type="dxa"/>
            <w:tcBorders>
              <w:top w:val="single" w:sz="12" w:space="0" w:color="auto"/>
              <w:left w:val="single" w:sz="4" w:space="0" w:color="auto"/>
              <w:bottom w:val="nil"/>
              <w:right w:val="single" w:sz="4" w:space="0" w:color="auto"/>
            </w:tcBorders>
            <w:vAlign w:val="center"/>
          </w:tcPr>
          <w:p w14:paraId="6CD2024A"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3</w:t>
            </w:r>
          </w:p>
        </w:tc>
        <w:tc>
          <w:tcPr>
            <w:tcW w:w="680" w:type="dxa"/>
            <w:tcBorders>
              <w:top w:val="single" w:sz="12" w:space="0" w:color="auto"/>
              <w:left w:val="single" w:sz="4" w:space="0" w:color="auto"/>
              <w:bottom w:val="nil"/>
              <w:right w:val="single" w:sz="4" w:space="0" w:color="auto"/>
            </w:tcBorders>
            <w:vAlign w:val="center"/>
          </w:tcPr>
          <w:p w14:paraId="4FAEC71E"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w:t>
            </w:r>
          </w:p>
        </w:tc>
        <w:tc>
          <w:tcPr>
            <w:tcW w:w="680" w:type="dxa"/>
            <w:tcBorders>
              <w:top w:val="single" w:sz="12" w:space="0" w:color="auto"/>
              <w:left w:val="single" w:sz="4" w:space="0" w:color="auto"/>
              <w:bottom w:val="nil"/>
              <w:right w:val="single" w:sz="4" w:space="0" w:color="auto"/>
            </w:tcBorders>
            <w:vAlign w:val="center"/>
          </w:tcPr>
          <w:p w14:paraId="7F19BC03"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w:t>
            </w:r>
          </w:p>
        </w:tc>
        <w:tc>
          <w:tcPr>
            <w:tcW w:w="680" w:type="dxa"/>
            <w:tcBorders>
              <w:top w:val="single" w:sz="12" w:space="0" w:color="auto"/>
              <w:left w:val="single" w:sz="4" w:space="0" w:color="auto"/>
              <w:bottom w:val="nil"/>
              <w:right w:val="single" w:sz="4" w:space="0" w:color="auto"/>
            </w:tcBorders>
            <w:vAlign w:val="center"/>
          </w:tcPr>
          <w:p w14:paraId="194EB16F"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w:t>
            </w:r>
          </w:p>
        </w:tc>
        <w:tc>
          <w:tcPr>
            <w:tcW w:w="680" w:type="dxa"/>
            <w:tcBorders>
              <w:top w:val="single" w:sz="12" w:space="0" w:color="auto"/>
              <w:left w:val="single" w:sz="4" w:space="0" w:color="auto"/>
              <w:bottom w:val="nil"/>
              <w:right w:val="single" w:sz="4" w:space="0" w:color="auto"/>
            </w:tcBorders>
            <w:vAlign w:val="center"/>
          </w:tcPr>
          <w:p w14:paraId="7AF9A9FD"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w:t>
            </w:r>
          </w:p>
        </w:tc>
        <w:tc>
          <w:tcPr>
            <w:tcW w:w="680" w:type="dxa"/>
            <w:tcBorders>
              <w:top w:val="single" w:sz="12" w:space="0" w:color="auto"/>
              <w:left w:val="single" w:sz="4" w:space="0" w:color="auto"/>
              <w:bottom w:val="nil"/>
              <w:right w:val="single" w:sz="4" w:space="0" w:color="auto"/>
            </w:tcBorders>
            <w:vAlign w:val="center"/>
          </w:tcPr>
          <w:p w14:paraId="56FB57BA"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15</w:t>
            </w:r>
          </w:p>
        </w:tc>
        <w:tc>
          <w:tcPr>
            <w:tcW w:w="680" w:type="dxa"/>
            <w:tcBorders>
              <w:top w:val="single" w:sz="12" w:space="0" w:color="auto"/>
              <w:left w:val="single" w:sz="4" w:space="0" w:color="auto"/>
              <w:bottom w:val="nil"/>
              <w:right w:val="single" w:sz="4" w:space="0" w:color="auto"/>
            </w:tcBorders>
            <w:vAlign w:val="center"/>
          </w:tcPr>
          <w:p w14:paraId="03616E7D"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11</w:t>
            </w:r>
          </w:p>
        </w:tc>
        <w:tc>
          <w:tcPr>
            <w:tcW w:w="680" w:type="dxa"/>
            <w:tcBorders>
              <w:top w:val="single" w:sz="12" w:space="0" w:color="auto"/>
              <w:left w:val="single" w:sz="4" w:space="0" w:color="auto"/>
              <w:bottom w:val="nil"/>
              <w:right w:val="single" w:sz="4" w:space="0" w:color="auto"/>
            </w:tcBorders>
            <w:vAlign w:val="center"/>
          </w:tcPr>
          <w:p w14:paraId="4BD864D0"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3</w:t>
            </w:r>
          </w:p>
        </w:tc>
        <w:tc>
          <w:tcPr>
            <w:tcW w:w="680" w:type="dxa"/>
            <w:tcBorders>
              <w:top w:val="single" w:sz="12" w:space="0" w:color="auto"/>
              <w:left w:val="single" w:sz="4" w:space="0" w:color="auto"/>
              <w:bottom w:val="single" w:sz="12" w:space="0" w:color="auto"/>
            </w:tcBorders>
            <w:vAlign w:val="center"/>
          </w:tcPr>
          <w:p w14:paraId="47A04A44" w14:textId="77777777" w:rsidR="003D32B1" w:rsidRPr="006070EA" w:rsidRDefault="003D32B1" w:rsidP="00A864A7">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22</w:t>
            </w:r>
          </w:p>
        </w:tc>
      </w:tr>
      <w:tr w:rsidR="003D32B1" w:rsidRPr="006070EA" w14:paraId="42E527E0" w14:textId="77777777" w:rsidTr="003D32B1">
        <w:trPr>
          <w:trHeight w:val="283"/>
          <w:jc w:val="center"/>
        </w:trPr>
        <w:tc>
          <w:tcPr>
            <w:tcW w:w="2835" w:type="dxa"/>
            <w:tcBorders>
              <w:top w:val="single" w:sz="12" w:space="0" w:color="auto"/>
              <w:left w:val="nil"/>
              <w:bottom w:val="nil"/>
              <w:right w:val="single" w:sz="4" w:space="0" w:color="auto"/>
            </w:tcBorders>
            <w:vAlign w:val="center"/>
            <w:hideMark/>
          </w:tcPr>
          <w:p w14:paraId="499A492B" w14:textId="77777777"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rok</w:t>
            </w:r>
          </w:p>
        </w:tc>
        <w:tc>
          <w:tcPr>
            <w:tcW w:w="680" w:type="dxa"/>
            <w:tcBorders>
              <w:top w:val="single" w:sz="12" w:space="0" w:color="auto"/>
              <w:left w:val="single" w:sz="4" w:space="0" w:color="auto"/>
              <w:bottom w:val="nil"/>
              <w:right w:val="single" w:sz="4" w:space="0" w:color="auto"/>
            </w:tcBorders>
            <w:vAlign w:val="center"/>
          </w:tcPr>
          <w:p w14:paraId="3EF5C5F8" w14:textId="683F620A"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color w:val="000000"/>
                <w:szCs w:val="18"/>
                <w:lang w:val="cs-CZ"/>
              </w:rPr>
              <w:t>2012</w:t>
            </w:r>
          </w:p>
        </w:tc>
        <w:tc>
          <w:tcPr>
            <w:tcW w:w="680" w:type="dxa"/>
            <w:tcBorders>
              <w:top w:val="single" w:sz="12" w:space="0" w:color="auto"/>
              <w:left w:val="single" w:sz="4" w:space="0" w:color="auto"/>
              <w:bottom w:val="nil"/>
              <w:right w:val="single" w:sz="4" w:space="0" w:color="auto"/>
            </w:tcBorders>
            <w:vAlign w:val="center"/>
          </w:tcPr>
          <w:p w14:paraId="75B8A2A4" w14:textId="552D492B"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color w:val="000000"/>
                <w:szCs w:val="18"/>
                <w:lang w:val="cs-CZ"/>
              </w:rPr>
              <w:t>2013</w:t>
            </w:r>
          </w:p>
        </w:tc>
        <w:tc>
          <w:tcPr>
            <w:tcW w:w="680" w:type="dxa"/>
            <w:tcBorders>
              <w:top w:val="single" w:sz="12" w:space="0" w:color="auto"/>
              <w:left w:val="single" w:sz="4" w:space="0" w:color="auto"/>
              <w:bottom w:val="nil"/>
              <w:right w:val="single" w:sz="4" w:space="0" w:color="auto"/>
            </w:tcBorders>
            <w:vAlign w:val="center"/>
          </w:tcPr>
          <w:p w14:paraId="47446ED4" w14:textId="1781D057"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color w:val="000000"/>
                <w:szCs w:val="18"/>
                <w:lang w:val="cs-CZ"/>
              </w:rPr>
              <w:t>2015</w:t>
            </w:r>
          </w:p>
        </w:tc>
        <w:tc>
          <w:tcPr>
            <w:tcW w:w="680" w:type="dxa"/>
            <w:tcBorders>
              <w:top w:val="single" w:sz="12" w:space="0" w:color="auto"/>
              <w:left w:val="single" w:sz="4" w:space="0" w:color="auto"/>
              <w:bottom w:val="nil"/>
              <w:right w:val="single" w:sz="4" w:space="0" w:color="auto"/>
            </w:tcBorders>
            <w:vAlign w:val="center"/>
          </w:tcPr>
          <w:p w14:paraId="275CA198" w14:textId="42558065"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color w:val="000000"/>
                <w:szCs w:val="18"/>
                <w:lang w:val="cs-CZ"/>
              </w:rPr>
              <w:t>2016</w:t>
            </w:r>
          </w:p>
        </w:tc>
        <w:tc>
          <w:tcPr>
            <w:tcW w:w="680" w:type="dxa"/>
            <w:tcBorders>
              <w:top w:val="single" w:sz="12" w:space="0" w:color="auto"/>
              <w:left w:val="single" w:sz="4" w:space="0" w:color="auto"/>
              <w:bottom w:val="nil"/>
              <w:right w:val="single" w:sz="4" w:space="0" w:color="auto"/>
            </w:tcBorders>
            <w:vAlign w:val="center"/>
          </w:tcPr>
          <w:p w14:paraId="27B0113F" w14:textId="4F0AADF3"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color w:val="000000"/>
                <w:szCs w:val="18"/>
                <w:lang w:val="cs-CZ"/>
              </w:rPr>
              <w:t>2017</w:t>
            </w:r>
          </w:p>
        </w:tc>
        <w:tc>
          <w:tcPr>
            <w:tcW w:w="680" w:type="dxa"/>
            <w:tcBorders>
              <w:top w:val="single" w:sz="12" w:space="0" w:color="auto"/>
              <w:left w:val="single" w:sz="4" w:space="0" w:color="auto"/>
              <w:bottom w:val="nil"/>
              <w:right w:val="single" w:sz="4" w:space="0" w:color="auto"/>
            </w:tcBorders>
            <w:vAlign w:val="center"/>
          </w:tcPr>
          <w:p w14:paraId="28926D3D" w14:textId="5220E2F0"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color w:val="000000"/>
                <w:szCs w:val="18"/>
                <w:lang w:val="cs-CZ"/>
              </w:rPr>
              <w:t>2018</w:t>
            </w:r>
          </w:p>
        </w:tc>
        <w:tc>
          <w:tcPr>
            <w:tcW w:w="680" w:type="dxa"/>
            <w:tcBorders>
              <w:top w:val="single" w:sz="12" w:space="0" w:color="auto"/>
              <w:left w:val="single" w:sz="4" w:space="0" w:color="auto"/>
              <w:bottom w:val="nil"/>
              <w:right w:val="single" w:sz="4" w:space="0" w:color="auto"/>
            </w:tcBorders>
            <w:vAlign w:val="center"/>
          </w:tcPr>
          <w:p w14:paraId="14757E5A" w14:textId="1C9210AC"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color w:val="000000"/>
                <w:szCs w:val="18"/>
                <w:lang w:val="cs-CZ"/>
              </w:rPr>
              <w:t>2019</w:t>
            </w:r>
          </w:p>
        </w:tc>
        <w:tc>
          <w:tcPr>
            <w:tcW w:w="680" w:type="dxa"/>
            <w:tcBorders>
              <w:top w:val="single" w:sz="12" w:space="0" w:color="auto"/>
              <w:left w:val="single" w:sz="4" w:space="0" w:color="auto"/>
              <w:bottom w:val="nil"/>
              <w:right w:val="single" w:sz="4" w:space="0" w:color="auto"/>
            </w:tcBorders>
            <w:vAlign w:val="center"/>
          </w:tcPr>
          <w:p w14:paraId="7A7CF738" w14:textId="65E4AE67"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color w:val="000000"/>
                <w:szCs w:val="18"/>
                <w:lang w:val="cs-CZ"/>
              </w:rPr>
              <w:t>2020</w:t>
            </w:r>
          </w:p>
        </w:tc>
        <w:tc>
          <w:tcPr>
            <w:tcW w:w="680" w:type="dxa"/>
            <w:tcBorders>
              <w:top w:val="single" w:sz="12" w:space="0" w:color="auto"/>
              <w:left w:val="single" w:sz="4" w:space="0" w:color="auto"/>
              <w:bottom w:val="single" w:sz="12" w:space="0" w:color="auto"/>
            </w:tcBorders>
            <w:vAlign w:val="center"/>
          </w:tcPr>
          <w:p w14:paraId="272505D9" w14:textId="7D660277" w:rsidR="003D32B1" w:rsidRPr="006070EA" w:rsidRDefault="003D32B1" w:rsidP="003D32B1">
            <w:pPr>
              <w:pStyle w:val="Bezmezer"/>
              <w:jc w:val="center"/>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w:t>
            </w:r>
          </w:p>
        </w:tc>
      </w:tr>
      <w:tr w:rsidR="003D32B1" w:rsidRPr="006070EA" w14:paraId="733221E6" w14:textId="77777777" w:rsidTr="003D32B1">
        <w:trPr>
          <w:trHeight w:val="283"/>
          <w:jc w:val="center"/>
        </w:trPr>
        <w:tc>
          <w:tcPr>
            <w:tcW w:w="2835" w:type="dxa"/>
            <w:tcBorders>
              <w:top w:val="single" w:sz="12" w:space="0" w:color="auto"/>
              <w:left w:val="nil"/>
              <w:bottom w:val="nil"/>
              <w:right w:val="single" w:sz="4" w:space="0" w:color="auto"/>
            </w:tcBorders>
            <w:vAlign w:val="center"/>
            <w:hideMark/>
          </w:tcPr>
          <w:p w14:paraId="6C379E4E" w14:textId="77777777"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Počet dokončených bytů</w:t>
            </w:r>
          </w:p>
        </w:tc>
        <w:tc>
          <w:tcPr>
            <w:tcW w:w="680" w:type="dxa"/>
            <w:tcBorders>
              <w:top w:val="single" w:sz="12" w:space="0" w:color="auto"/>
              <w:left w:val="single" w:sz="4" w:space="0" w:color="auto"/>
              <w:bottom w:val="nil"/>
              <w:right w:val="single" w:sz="4" w:space="0" w:color="auto"/>
            </w:tcBorders>
            <w:vAlign w:val="center"/>
          </w:tcPr>
          <w:p w14:paraId="2CC0FFB0" w14:textId="52660869"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6</w:t>
            </w:r>
          </w:p>
        </w:tc>
        <w:tc>
          <w:tcPr>
            <w:tcW w:w="680" w:type="dxa"/>
            <w:tcBorders>
              <w:top w:val="single" w:sz="12" w:space="0" w:color="auto"/>
              <w:left w:val="single" w:sz="4" w:space="0" w:color="auto"/>
              <w:bottom w:val="nil"/>
              <w:right w:val="single" w:sz="4" w:space="0" w:color="auto"/>
            </w:tcBorders>
            <w:vAlign w:val="center"/>
          </w:tcPr>
          <w:p w14:paraId="031DC567" w14:textId="30412386"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7</w:t>
            </w:r>
          </w:p>
        </w:tc>
        <w:tc>
          <w:tcPr>
            <w:tcW w:w="680" w:type="dxa"/>
            <w:tcBorders>
              <w:top w:val="single" w:sz="12" w:space="0" w:color="auto"/>
              <w:left w:val="single" w:sz="4" w:space="0" w:color="auto"/>
              <w:bottom w:val="nil"/>
              <w:right w:val="single" w:sz="4" w:space="0" w:color="auto"/>
            </w:tcBorders>
            <w:vAlign w:val="center"/>
          </w:tcPr>
          <w:p w14:paraId="282AB851" w14:textId="6CE8B935"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3</w:t>
            </w:r>
          </w:p>
        </w:tc>
        <w:tc>
          <w:tcPr>
            <w:tcW w:w="680" w:type="dxa"/>
            <w:tcBorders>
              <w:top w:val="single" w:sz="12" w:space="0" w:color="auto"/>
              <w:left w:val="single" w:sz="4" w:space="0" w:color="auto"/>
              <w:bottom w:val="nil"/>
              <w:right w:val="single" w:sz="4" w:space="0" w:color="auto"/>
            </w:tcBorders>
            <w:vAlign w:val="center"/>
          </w:tcPr>
          <w:p w14:paraId="09EDC23D" w14:textId="6455F049"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w:t>
            </w:r>
          </w:p>
        </w:tc>
        <w:tc>
          <w:tcPr>
            <w:tcW w:w="680" w:type="dxa"/>
            <w:tcBorders>
              <w:top w:val="single" w:sz="12" w:space="0" w:color="auto"/>
              <w:left w:val="single" w:sz="4" w:space="0" w:color="auto"/>
              <w:bottom w:val="nil"/>
              <w:right w:val="single" w:sz="4" w:space="0" w:color="auto"/>
            </w:tcBorders>
            <w:vAlign w:val="center"/>
          </w:tcPr>
          <w:p w14:paraId="01415B3B" w14:textId="47866903"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w:t>
            </w:r>
          </w:p>
        </w:tc>
        <w:tc>
          <w:tcPr>
            <w:tcW w:w="680" w:type="dxa"/>
            <w:tcBorders>
              <w:top w:val="single" w:sz="12" w:space="0" w:color="auto"/>
              <w:left w:val="single" w:sz="4" w:space="0" w:color="auto"/>
              <w:bottom w:val="nil"/>
              <w:right w:val="single" w:sz="4" w:space="0" w:color="auto"/>
            </w:tcBorders>
            <w:vAlign w:val="center"/>
          </w:tcPr>
          <w:p w14:paraId="43559B55" w14:textId="237467F9"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w:t>
            </w:r>
          </w:p>
        </w:tc>
        <w:tc>
          <w:tcPr>
            <w:tcW w:w="680" w:type="dxa"/>
            <w:tcBorders>
              <w:top w:val="single" w:sz="12" w:space="0" w:color="auto"/>
              <w:left w:val="single" w:sz="4" w:space="0" w:color="auto"/>
              <w:bottom w:val="nil"/>
              <w:right w:val="single" w:sz="4" w:space="0" w:color="auto"/>
            </w:tcBorders>
            <w:vAlign w:val="center"/>
          </w:tcPr>
          <w:p w14:paraId="4634EEDC" w14:textId="085D3714"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w:t>
            </w:r>
          </w:p>
        </w:tc>
        <w:tc>
          <w:tcPr>
            <w:tcW w:w="680" w:type="dxa"/>
            <w:tcBorders>
              <w:top w:val="single" w:sz="12" w:space="0" w:color="auto"/>
              <w:left w:val="single" w:sz="4" w:space="0" w:color="auto"/>
              <w:bottom w:val="nil"/>
              <w:right w:val="single" w:sz="4" w:space="0" w:color="auto"/>
            </w:tcBorders>
            <w:vAlign w:val="center"/>
          </w:tcPr>
          <w:p w14:paraId="77BC5133" w14:textId="2EF79080"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8</w:t>
            </w:r>
          </w:p>
        </w:tc>
        <w:tc>
          <w:tcPr>
            <w:tcW w:w="680" w:type="dxa"/>
            <w:tcBorders>
              <w:top w:val="single" w:sz="12" w:space="0" w:color="auto"/>
              <w:left w:val="single" w:sz="4" w:space="0" w:color="auto"/>
              <w:bottom w:val="nil"/>
            </w:tcBorders>
            <w:vAlign w:val="center"/>
          </w:tcPr>
          <w:p w14:paraId="0E840538" w14:textId="4D799D25" w:rsidR="003D32B1" w:rsidRPr="006070EA" w:rsidRDefault="003D32B1" w:rsidP="003D32B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w:t>
            </w:r>
          </w:p>
        </w:tc>
      </w:tr>
    </w:tbl>
    <w:p w14:paraId="50B37F2F" w14:textId="24633149" w:rsidR="00B87807" w:rsidRPr="006070EA" w:rsidRDefault="00B87807" w:rsidP="00B87807">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Z údajů o stáří domovního fondu (viz tabulka níže) je zřejmé, že tempo výstavby bylo nejintenzivnější v letech </w:t>
      </w:r>
      <w:proofErr w:type="gramStart"/>
      <w:r w:rsidRPr="006070EA">
        <w:rPr>
          <w:rFonts w:asciiTheme="majorHAnsi" w:hAnsiTheme="majorHAnsi" w:cstheme="majorHAnsi"/>
          <w:color w:val="000000"/>
          <w:szCs w:val="18"/>
        </w:rPr>
        <w:t>1971 – 1980</w:t>
      </w:r>
      <w:proofErr w:type="gramEnd"/>
      <w:r w:rsidRPr="006070EA">
        <w:rPr>
          <w:rFonts w:asciiTheme="majorHAnsi" w:hAnsiTheme="majorHAnsi" w:cstheme="majorHAnsi"/>
          <w:color w:val="000000"/>
          <w:szCs w:val="18"/>
        </w:rPr>
        <w:t>. V tomto desetiletí bylo realizováno téměř 22 % bytů v území. V následujících třiceti letech (</w:t>
      </w:r>
      <w:proofErr w:type="gramStart"/>
      <w:r w:rsidRPr="006070EA">
        <w:rPr>
          <w:rFonts w:asciiTheme="majorHAnsi" w:hAnsiTheme="majorHAnsi" w:cstheme="majorHAnsi"/>
          <w:color w:val="000000"/>
          <w:szCs w:val="18"/>
        </w:rPr>
        <w:t>1981 – 2011</w:t>
      </w:r>
      <w:proofErr w:type="gramEnd"/>
      <w:r w:rsidRPr="006070EA">
        <w:rPr>
          <w:rFonts w:asciiTheme="majorHAnsi" w:hAnsiTheme="majorHAnsi" w:cstheme="majorHAnsi"/>
          <w:color w:val="000000"/>
          <w:szCs w:val="18"/>
        </w:rPr>
        <w:t>) činilo tempo přírůstku obydlených bytů cca 12-13 % za deset let.</w:t>
      </w:r>
    </w:p>
    <w:p w14:paraId="270DFC4D" w14:textId="74A09CFD" w:rsidR="002F3880" w:rsidRPr="006070EA" w:rsidRDefault="002F3880" w:rsidP="002F3880">
      <w:pPr>
        <w:pStyle w:val="Atextkurzva"/>
        <w:keepNext/>
        <w:rPr>
          <w:rFonts w:asciiTheme="majorHAnsi" w:hAnsiTheme="majorHAnsi" w:cstheme="majorHAnsi"/>
          <w:color w:val="000000"/>
          <w:szCs w:val="18"/>
        </w:rPr>
      </w:pPr>
      <w:r w:rsidRPr="006070EA">
        <w:rPr>
          <w:rFonts w:asciiTheme="majorHAnsi" w:hAnsiTheme="majorHAnsi" w:cstheme="majorHAnsi"/>
          <w:color w:val="000000"/>
          <w:szCs w:val="18"/>
        </w:rPr>
        <w:t>Tab</w:t>
      </w:r>
      <w:r w:rsidR="00B87807"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Podíl obydlených bytů postavených do roku 2011, údaje SLDB 2011 </w:t>
      </w:r>
    </w:p>
    <w:tbl>
      <w:tblPr>
        <w:tblW w:w="0" w:type="auto"/>
        <w:tblBorders>
          <w:insideH w:val="single" w:sz="6" w:space="0" w:color="000000"/>
          <w:insideV w:val="single" w:sz="6" w:space="0" w:color="000000"/>
        </w:tblBorders>
        <w:tblLook w:val="0000" w:firstRow="0" w:lastRow="0" w:firstColumn="0" w:lastColumn="0" w:noHBand="0" w:noVBand="0"/>
      </w:tblPr>
      <w:tblGrid>
        <w:gridCol w:w="1162"/>
        <w:gridCol w:w="1528"/>
        <w:gridCol w:w="1595"/>
        <w:gridCol w:w="1595"/>
        <w:gridCol w:w="1595"/>
        <w:gridCol w:w="1595"/>
      </w:tblGrid>
      <w:tr w:rsidR="002F3880" w:rsidRPr="006070EA" w14:paraId="7AE21380" w14:textId="77777777" w:rsidTr="00B87807">
        <w:trPr>
          <w:trHeight w:val="20"/>
        </w:trPr>
        <w:tc>
          <w:tcPr>
            <w:tcW w:w="0" w:type="auto"/>
            <w:vAlign w:val="center"/>
          </w:tcPr>
          <w:p w14:paraId="1100646A" w14:textId="77777777" w:rsidR="002F3880" w:rsidRPr="006070EA" w:rsidRDefault="002F3880" w:rsidP="003D32B1">
            <w:pPr>
              <w:keepNext/>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Obec</w:t>
            </w:r>
          </w:p>
        </w:tc>
        <w:tc>
          <w:tcPr>
            <w:tcW w:w="0" w:type="auto"/>
            <w:vAlign w:val="center"/>
          </w:tcPr>
          <w:p w14:paraId="5718E03E" w14:textId="3B1109F6" w:rsidR="002F3880" w:rsidRPr="006070EA" w:rsidRDefault="002F3880" w:rsidP="003D32B1">
            <w:pPr>
              <w:keepNext/>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obydl.</w:t>
            </w:r>
            <w:r w:rsidR="00B87807"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bytů postavených do roku 1919 (%)</w:t>
            </w:r>
          </w:p>
        </w:tc>
        <w:tc>
          <w:tcPr>
            <w:tcW w:w="0" w:type="auto"/>
            <w:vAlign w:val="center"/>
          </w:tcPr>
          <w:p w14:paraId="705F8B07" w14:textId="17B7F41E" w:rsidR="002F3880" w:rsidRPr="006070EA" w:rsidRDefault="002F3880" w:rsidP="003D32B1">
            <w:pPr>
              <w:keepNext/>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obydl.</w:t>
            </w:r>
            <w:r w:rsidR="00B87807"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bytů postavených v letech 1920-1970 (%)</w:t>
            </w:r>
          </w:p>
        </w:tc>
        <w:tc>
          <w:tcPr>
            <w:tcW w:w="0" w:type="auto"/>
            <w:vAlign w:val="center"/>
          </w:tcPr>
          <w:p w14:paraId="1C6589F3" w14:textId="071CDCE6" w:rsidR="002F3880" w:rsidRPr="006070EA" w:rsidRDefault="002F3880" w:rsidP="003D32B1">
            <w:pPr>
              <w:keepNext/>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obydl.</w:t>
            </w:r>
            <w:r w:rsidR="00B87807"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bytů postavených v letech 1971-1980 (%)</w:t>
            </w:r>
          </w:p>
        </w:tc>
        <w:tc>
          <w:tcPr>
            <w:tcW w:w="0" w:type="auto"/>
            <w:vAlign w:val="center"/>
          </w:tcPr>
          <w:p w14:paraId="7E69F33C" w14:textId="7953074B" w:rsidR="002F3880" w:rsidRPr="006070EA" w:rsidRDefault="002F3880" w:rsidP="003D32B1">
            <w:pPr>
              <w:keepNext/>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obydl.</w:t>
            </w:r>
            <w:r w:rsidR="00B87807"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bytů postavených v letech 1981-2000 (%)</w:t>
            </w:r>
          </w:p>
        </w:tc>
        <w:tc>
          <w:tcPr>
            <w:tcW w:w="0" w:type="auto"/>
            <w:vAlign w:val="center"/>
          </w:tcPr>
          <w:p w14:paraId="41A53B55" w14:textId="014BBABE" w:rsidR="002F3880" w:rsidRPr="006070EA" w:rsidRDefault="002F3880" w:rsidP="003D32B1">
            <w:pPr>
              <w:keepNext/>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obydl.</w:t>
            </w:r>
            <w:r w:rsidR="00B87807"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bytů postavených v letech 2001-2011 (%)</w:t>
            </w:r>
          </w:p>
        </w:tc>
      </w:tr>
      <w:tr w:rsidR="002F3880" w:rsidRPr="006070EA" w14:paraId="064F3D2B" w14:textId="77777777" w:rsidTr="00B87807">
        <w:trPr>
          <w:trHeight w:val="20"/>
        </w:trPr>
        <w:tc>
          <w:tcPr>
            <w:tcW w:w="0" w:type="auto"/>
            <w:vAlign w:val="center"/>
          </w:tcPr>
          <w:p w14:paraId="4E131DB8" w14:textId="77777777" w:rsidR="002F3880" w:rsidRPr="006070EA" w:rsidRDefault="002F3880" w:rsidP="00B87807">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Kostomlaty nad Labem</w:t>
            </w:r>
          </w:p>
        </w:tc>
        <w:tc>
          <w:tcPr>
            <w:tcW w:w="0" w:type="auto"/>
            <w:vAlign w:val="center"/>
          </w:tcPr>
          <w:p w14:paraId="4E67FE60" w14:textId="77777777" w:rsidR="002F3880" w:rsidRPr="006070EA" w:rsidRDefault="002F3880" w:rsidP="00B87807">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10,9</w:t>
            </w:r>
          </w:p>
        </w:tc>
        <w:tc>
          <w:tcPr>
            <w:tcW w:w="0" w:type="auto"/>
            <w:vAlign w:val="center"/>
          </w:tcPr>
          <w:p w14:paraId="06967D40" w14:textId="77777777" w:rsidR="002F3880" w:rsidRPr="006070EA" w:rsidRDefault="002F3880" w:rsidP="00B87807">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29,7</w:t>
            </w:r>
          </w:p>
        </w:tc>
        <w:tc>
          <w:tcPr>
            <w:tcW w:w="0" w:type="auto"/>
            <w:vAlign w:val="center"/>
          </w:tcPr>
          <w:p w14:paraId="564FA198" w14:textId="77777777" w:rsidR="002F3880" w:rsidRPr="006070EA" w:rsidRDefault="002F3880" w:rsidP="00B87807">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21,6</w:t>
            </w:r>
          </w:p>
        </w:tc>
        <w:tc>
          <w:tcPr>
            <w:tcW w:w="0" w:type="auto"/>
            <w:vAlign w:val="center"/>
          </w:tcPr>
          <w:p w14:paraId="47F7178A" w14:textId="77777777" w:rsidR="002F3880" w:rsidRPr="006070EA" w:rsidRDefault="002F3880" w:rsidP="00B87807">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25,0</w:t>
            </w:r>
          </w:p>
        </w:tc>
        <w:tc>
          <w:tcPr>
            <w:tcW w:w="0" w:type="auto"/>
            <w:vAlign w:val="center"/>
          </w:tcPr>
          <w:p w14:paraId="6D4EE25F" w14:textId="77777777" w:rsidR="002F3880" w:rsidRPr="006070EA" w:rsidRDefault="002F3880" w:rsidP="00B87807">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12,2</w:t>
            </w:r>
          </w:p>
        </w:tc>
      </w:tr>
    </w:tbl>
    <w:p w14:paraId="567113D2" w14:textId="77777777" w:rsidR="000E15FE" w:rsidRPr="006070EA" w:rsidRDefault="000E15FE" w:rsidP="003D32B1">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Při stanovení vývoje počtu bytů je nezbytné počítat s tzv. odpadem bytů, který v dotčeném území představuje zejména slučování bytů a změna využití bytů. Sloučení bytů lze předpokládat v rodinných domech s vyšším počtem bytů, případně také v</w:t>
      </w:r>
      <w:r w:rsidR="005818C6" w:rsidRPr="006070EA">
        <w:rPr>
          <w:rFonts w:asciiTheme="majorHAnsi" w:hAnsiTheme="majorHAnsi" w:cstheme="majorHAnsi"/>
          <w:sz w:val="18"/>
          <w:szCs w:val="18"/>
        </w:rPr>
        <w:t xml:space="preserve"> </w:t>
      </w:r>
      <w:r w:rsidRPr="006070EA">
        <w:rPr>
          <w:rFonts w:asciiTheme="majorHAnsi" w:hAnsiTheme="majorHAnsi" w:cstheme="majorHAnsi"/>
          <w:sz w:val="18"/>
          <w:szCs w:val="18"/>
        </w:rPr>
        <w:t>bytových domech, za účelem zvýšení kvality bydlení z třígeneračního na dvougenerační a zvětšení celkové obytné plochy. Změna využití bytů může v řešeném území spočívat v konverzi obytných rodinných domů na rekreační objekty, případně jejich využití pro podnikání.</w:t>
      </w:r>
    </w:p>
    <w:p w14:paraId="4B123A07" w14:textId="58AB9023" w:rsidR="009049E5" w:rsidRPr="006070EA" w:rsidRDefault="009049E5" w:rsidP="003A4B1E">
      <w:pPr>
        <w:pStyle w:val="Odstavecseseznamem"/>
        <w:keepNext/>
        <w:numPr>
          <w:ilvl w:val="1"/>
          <w:numId w:val="29"/>
        </w:numPr>
        <w:spacing w:before="160" w:after="120" w:line="240" w:lineRule="auto"/>
        <w:ind w:left="709" w:hanging="709"/>
        <w:contextualSpacing w:val="0"/>
        <w:jc w:val="both"/>
        <w:outlineLvl w:val="1"/>
        <w:rPr>
          <w:rFonts w:asciiTheme="majorHAnsi" w:hAnsiTheme="majorHAnsi" w:cstheme="majorHAnsi"/>
          <w:b/>
          <w:sz w:val="24"/>
          <w:szCs w:val="20"/>
        </w:rPr>
      </w:pPr>
      <w:bookmarkStart w:id="188" w:name="_Toc204678182"/>
      <w:bookmarkEnd w:id="186"/>
      <w:r w:rsidRPr="006070EA">
        <w:rPr>
          <w:rFonts w:asciiTheme="majorHAnsi" w:hAnsiTheme="majorHAnsi" w:cstheme="majorHAnsi"/>
          <w:b/>
          <w:sz w:val="24"/>
          <w:szCs w:val="20"/>
        </w:rPr>
        <w:t xml:space="preserve">Vyhodnocení využití zastavitelných ploch vymezených </w:t>
      </w:r>
      <w:r w:rsidR="00BB50A7" w:rsidRPr="006070EA">
        <w:rPr>
          <w:rFonts w:asciiTheme="majorHAnsi" w:hAnsiTheme="majorHAnsi" w:cstheme="majorHAnsi"/>
          <w:b/>
          <w:sz w:val="24"/>
          <w:szCs w:val="20"/>
        </w:rPr>
        <w:t xml:space="preserve">ve schválené ÚPD </w:t>
      </w:r>
      <w:r w:rsidR="00FA4811" w:rsidRPr="006070EA">
        <w:rPr>
          <w:rFonts w:asciiTheme="majorHAnsi" w:hAnsiTheme="majorHAnsi" w:cstheme="majorHAnsi"/>
          <w:b/>
          <w:sz w:val="24"/>
          <w:szCs w:val="20"/>
        </w:rPr>
        <w:t xml:space="preserve">obce </w:t>
      </w:r>
      <w:r w:rsidR="003D32B1" w:rsidRPr="006070EA">
        <w:rPr>
          <w:rFonts w:asciiTheme="majorHAnsi" w:hAnsiTheme="majorHAnsi" w:cstheme="majorHAnsi"/>
          <w:b/>
          <w:sz w:val="24"/>
          <w:szCs w:val="20"/>
        </w:rPr>
        <w:t>Kostomlaty nad Labem</w:t>
      </w:r>
      <w:bookmarkEnd w:id="188"/>
    </w:p>
    <w:p w14:paraId="1548F71C" w14:textId="738996E3" w:rsidR="009049E5" w:rsidRPr="006070EA" w:rsidRDefault="00B344B7" w:rsidP="001F2074">
      <w:pPr>
        <w:spacing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V rámci správního území obce </w:t>
      </w:r>
      <w:r w:rsidR="003D32B1" w:rsidRPr="006070EA">
        <w:rPr>
          <w:rFonts w:asciiTheme="majorHAnsi" w:hAnsiTheme="majorHAnsi" w:cstheme="majorHAnsi"/>
          <w:sz w:val="18"/>
          <w:szCs w:val="18"/>
        </w:rPr>
        <w:t>Kostomlaty nad Labem</w:t>
      </w:r>
      <w:r w:rsidRPr="006070EA">
        <w:rPr>
          <w:rFonts w:asciiTheme="majorHAnsi" w:hAnsiTheme="majorHAnsi" w:cstheme="majorHAnsi"/>
          <w:sz w:val="18"/>
          <w:szCs w:val="18"/>
        </w:rPr>
        <w:t xml:space="preserve"> byla dosud zpracována tato územně plánovací dokumentace:</w:t>
      </w:r>
    </w:p>
    <w:tbl>
      <w:tblPr>
        <w:tblStyle w:val="Mkatabulky"/>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2268"/>
        <w:gridCol w:w="2268"/>
        <w:gridCol w:w="2267"/>
        <w:gridCol w:w="2267"/>
      </w:tblGrid>
      <w:tr w:rsidR="003D32B1" w:rsidRPr="006070EA" w14:paraId="0E236E53" w14:textId="77777777" w:rsidTr="00AD6D48">
        <w:trPr>
          <w:jc w:val="center"/>
        </w:trPr>
        <w:tc>
          <w:tcPr>
            <w:tcW w:w="2268" w:type="dxa"/>
            <w:tcBorders>
              <w:top w:val="nil"/>
              <w:bottom w:val="single" w:sz="12" w:space="0" w:color="auto"/>
              <w:right w:val="single" w:sz="12" w:space="0" w:color="auto"/>
            </w:tcBorders>
            <w:vAlign w:val="center"/>
          </w:tcPr>
          <w:p w14:paraId="2B3CBB79" w14:textId="77777777" w:rsidR="00B344B7" w:rsidRPr="006070EA" w:rsidRDefault="00B344B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Územně plánovací dokumentace</w:t>
            </w:r>
          </w:p>
        </w:tc>
        <w:tc>
          <w:tcPr>
            <w:tcW w:w="2268" w:type="dxa"/>
            <w:tcBorders>
              <w:top w:val="nil"/>
              <w:left w:val="single" w:sz="12" w:space="0" w:color="auto"/>
              <w:bottom w:val="single" w:sz="12" w:space="0" w:color="auto"/>
              <w:right w:val="single" w:sz="12" w:space="0" w:color="auto"/>
            </w:tcBorders>
            <w:vAlign w:val="center"/>
          </w:tcPr>
          <w:p w14:paraId="53F0E3AD" w14:textId="77777777" w:rsidR="00B344B7" w:rsidRPr="006070EA" w:rsidRDefault="00B344B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zpracovatel</w:t>
            </w:r>
          </w:p>
        </w:tc>
        <w:tc>
          <w:tcPr>
            <w:tcW w:w="2268" w:type="dxa"/>
            <w:tcBorders>
              <w:top w:val="nil"/>
              <w:left w:val="single" w:sz="12" w:space="0" w:color="auto"/>
              <w:bottom w:val="single" w:sz="12" w:space="0" w:color="auto"/>
              <w:right w:val="single" w:sz="12" w:space="0" w:color="auto"/>
            </w:tcBorders>
            <w:vAlign w:val="center"/>
          </w:tcPr>
          <w:p w14:paraId="5B5B5211" w14:textId="77777777" w:rsidR="00B344B7" w:rsidRPr="006070EA" w:rsidRDefault="00B344B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schválení</w:t>
            </w:r>
            <w:r w:rsidR="00CD0BB2" w:rsidRPr="006070EA">
              <w:rPr>
                <w:rFonts w:asciiTheme="majorHAnsi" w:hAnsiTheme="majorHAnsi" w:cstheme="majorHAnsi"/>
                <w:b/>
                <w:sz w:val="18"/>
                <w:szCs w:val="18"/>
              </w:rPr>
              <w:t xml:space="preserve"> / vydání</w:t>
            </w:r>
          </w:p>
        </w:tc>
        <w:tc>
          <w:tcPr>
            <w:tcW w:w="2268" w:type="dxa"/>
            <w:tcBorders>
              <w:top w:val="nil"/>
              <w:left w:val="single" w:sz="12" w:space="0" w:color="auto"/>
              <w:bottom w:val="single" w:sz="12" w:space="0" w:color="auto"/>
            </w:tcBorders>
            <w:vAlign w:val="center"/>
          </w:tcPr>
          <w:p w14:paraId="5968376E" w14:textId="77777777" w:rsidR="00B344B7" w:rsidRPr="006070EA" w:rsidRDefault="00B344B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nabytí účinnosti</w:t>
            </w:r>
          </w:p>
        </w:tc>
      </w:tr>
      <w:tr w:rsidR="003F10E5" w:rsidRPr="006070EA" w14:paraId="4B44A527" w14:textId="77777777" w:rsidTr="00AD6D48">
        <w:trPr>
          <w:jc w:val="center"/>
        </w:trPr>
        <w:tc>
          <w:tcPr>
            <w:tcW w:w="2268" w:type="dxa"/>
            <w:tcBorders>
              <w:top w:val="single" w:sz="12" w:space="0" w:color="auto"/>
            </w:tcBorders>
            <w:vAlign w:val="center"/>
          </w:tcPr>
          <w:p w14:paraId="004C2732" w14:textId="07088C33" w:rsidR="0057541B" w:rsidRPr="006070EA" w:rsidRDefault="00205C66" w:rsidP="00205C66">
            <w:pPr>
              <w:jc w:val="center"/>
              <w:rPr>
                <w:rFonts w:asciiTheme="majorHAnsi" w:hAnsiTheme="majorHAnsi" w:cstheme="majorHAnsi"/>
                <w:sz w:val="18"/>
                <w:szCs w:val="18"/>
              </w:rPr>
            </w:pPr>
            <w:r w:rsidRPr="006070EA">
              <w:rPr>
                <w:rFonts w:asciiTheme="majorHAnsi" w:hAnsiTheme="majorHAnsi" w:cstheme="majorHAnsi"/>
                <w:sz w:val="18"/>
                <w:szCs w:val="18"/>
              </w:rPr>
              <w:t>Územní plán</w:t>
            </w:r>
            <w:r w:rsidR="0057541B" w:rsidRPr="006070EA">
              <w:rPr>
                <w:rFonts w:asciiTheme="majorHAnsi" w:hAnsiTheme="majorHAnsi" w:cstheme="majorHAnsi"/>
                <w:sz w:val="18"/>
                <w:szCs w:val="18"/>
              </w:rPr>
              <w:t xml:space="preserve"> obce </w:t>
            </w:r>
            <w:r w:rsidR="003D32B1" w:rsidRPr="006070EA">
              <w:rPr>
                <w:rFonts w:asciiTheme="majorHAnsi" w:hAnsiTheme="majorHAnsi" w:cstheme="majorHAnsi"/>
                <w:sz w:val="18"/>
                <w:szCs w:val="18"/>
              </w:rPr>
              <w:t>Kostomlaty nad Labem</w:t>
            </w:r>
          </w:p>
        </w:tc>
        <w:tc>
          <w:tcPr>
            <w:tcW w:w="2268" w:type="dxa"/>
            <w:tcBorders>
              <w:top w:val="single" w:sz="12" w:space="0" w:color="auto"/>
            </w:tcBorders>
            <w:vAlign w:val="center"/>
          </w:tcPr>
          <w:p w14:paraId="04884FC2" w14:textId="5AAB28A2" w:rsidR="00B344B7" w:rsidRPr="006070EA" w:rsidRDefault="003D32B1" w:rsidP="00205C66">
            <w:pPr>
              <w:jc w:val="center"/>
              <w:rPr>
                <w:rFonts w:asciiTheme="majorHAnsi" w:hAnsiTheme="majorHAnsi" w:cstheme="majorHAnsi"/>
                <w:sz w:val="18"/>
                <w:szCs w:val="18"/>
              </w:rPr>
            </w:pPr>
            <w:r w:rsidRPr="006070EA">
              <w:rPr>
                <w:rFonts w:asciiTheme="majorHAnsi" w:hAnsiTheme="majorHAnsi" w:cstheme="majorHAnsi"/>
                <w:sz w:val="18"/>
                <w:szCs w:val="18"/>
              </w:rPr>
              <w:t>Atelier CONTEC, Ing. arch. Jiří Vít</w:t>
            </w:r>
          </w:p>
        </w:tc>
        <w:tc>
          <w:tcPr>
            <w:tcW w:w="2268" w:type="dxa"/>
            <w:tcBorders>
              <w:top w:val="single" w:sz="12" w:space="0" w:color="auto"/>
            </w:tcBorders>
            <w:vAlign w:val="center"/>
          </w:tcPr>
          <w:p w14:paraId="7C68677E" w14:textId="5A71EDB8" w:rsidR="00B344B7" w:rsidRPr="006070EA" w:rsidRDefault="003D32B1" w:rsidP="009E07E1">
            <w:pPr>
              <w:jc w:val="center"/>
              <w:rPr>
                <w:rFonts w:asciiTheme="majorHAnsi" w:hAnsiTheme="majorHAnsi" w:cstheme="majorHAnsi"/>
                <w:sz w:val="18"/>
                <w:szCs w:val="18"/>
              </w:rPr>
            </w:pPr>
            <w:r w:rsidRPr="006070EA">
              <w:rPr>
                <w:rFonts w:asciiTheme="majorHAnsi" w:hAnsiTheme="majorHAnsi" w:cstheme="majorHAnsi"/>
                <w:sz w:val="18"/>
                <w:szCs w:val="18"/>
              </w:rPr>
              <w:t>24. 4. 2003</w:t>
            </w:r>
          </w:p>
        </w:tc>
        <w:tc>
          <w:tcPr>
            <w:tcW w:w="2268" w:type="dxa"/>
            <w:tcBorders>
              <w:top w:val="single" w:sz="12" w:space="0" w:color="auto"/>
            </w:tcBorders>
            <w:vAlign w:val="center"/>
          </w:tcPr>
          <w:p w14:paraId="4C5746D1" w14:textId="0303D185" w:rsidR="00B344B7" w:rsidRPr="006070EA" w:rsidRDefault="003D32B1" w:rsidP="009E07E1">
            <w:pPr>
              <w:jc w:val="center"/>
              <w:rPr>
                <w:rFonts w:asciiTheme="majorHAnsi" w:hAnsiTheme="majorHAnsi" w:cstheme="majorHAnsi"/>
                <w:sz w:val="18"/>
                <w:szCs w:val="18"/>
              </w:rPr>
            </w:pPr>
            <w:r w:rsidRPr="006070EA">
              <w:rPr>
                <w:rFonts w:asciiTheme="majorHAnsi" w:hAnsiTheme="majorHAnsi" w:cstheme="majorHAnsi"/>
                <w:sz w:val="18"/>
                <w:szCs w:val="18"/>
              </w:rPr>
              <w:t>15. 5. 2003</w:t>
            </w:r>
          </w:p>
        </w:tc>
      </w:tr>
    </w:tbl>
    <w:p w14:paraId="699B63DD" w14:textId="10EBABC9" w:rsidR="0080735E" w:rsidRPr="006070EA" w:rsidRDefault="00227C15" w:rsidP="00F4234C">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Vyhodnocení využití </w:t>
      </w:r>
      <w:r w:rsidR="00F23A42" w:rsidRPr="006070EA">
        <w:rPr>
          <w:rFonts w:asciiTheme="majorHAnsi" w:hAnsiTheme="majorHAnsi" w:cstheme="majorHAnsi"/>
          <w:sz w:val="18"/>
          <w:szCs w:val="18"/>
        </w:rPr>
        <w:t xml:space="preserve">rozvojových ploch vymezených </w:t>
      </w:r>
      <w:r w:rsidR="008645FA" w:rsidRPr="006070EA">
        <w:rPr>
          <w:rFonts w:asciiTheme="majorHAnsi" w:hAnsiTheme="majorHAnsi" w:cstheme="majorHAnsi"/>
          <w:sz w:val="18"/>
          <w:szCs w:val="18"/>
        </w:rPr>
        <w:t>v platném ÚPO Kostomlaty nad Labem</w:t>
      </w:r>
      <w:r w:rsidR="00F23A42" w:rsidRPr="006070EA">
        <w:rPr>
          <w:rFonts w:asciiTheme="majorHAnsi" w:hAnsiTheme="majorHAnsi" w:cstheme="majorHAnsi"/>
          <w:sz w:val="18"/>
          <w:szCs w:val="18"/>
        </w:rPr>
        <w:t>, spolu s</w:t>
      </w:r>
      <w:r w:rsidRPr="006070EA">
        <w:rPr>
          <w:rFonts w:asciiTheme="majorHAnsi" w:hAnsiTheme="majorHAnsi" w:cstheme="majorHAnsi"/>
          <w:sz w:val="18"/>
          <w:szCs w:val="18"/>
        </w:rPr>
        <w:t> popisem způsobu, jakým bylo s jednotlivými plochami naloženo v</w:t>
      </w:r>
      <w:r w:rsidR="008645FA" w:rsidRPr="006070EA">
        <w:rPr>
          <w:rFonts w:asciiTheme="majorHAnsi" w:hAnsiTheme="majorHAnsi" w:cstheme="majorHAnsi"/>
          <w:sz w:val="18"/>
          <w:szCs w:val="18"/>
        </w:rPr>
        <w:t xml:space="preserve"> návrhu </w:t>
      </w:r>
      <w:r w:rsidRPr="006070EA">
        <w:rPr>
          <w:rFonts w:asciiTheme="majorHAnsi" w:hAnsiTheme="majorHAnsi" w:cstheme="majorHAnsi"/>
          <w:sz w:val="18"/>
          <w:szCs w:val="18"/>
        </w:rPr>
        <w:t>Územní</w:t>
      </w:r>
      <w:r w:rsidR="008645FA" w:rsidRPr="006070EA">
        <w:rPr>
          <w:rFonts w:asciiTheme="majorHAnsi" w:hAnsiTheme="majorHAnsi" w:cstheme="majorHAnsi"/>
          <w:sz w:val="18"/>
          <w:szCs w:val="18"/>
        </w:rPr>
        <w:t>ho</w:t>
      </w:r>
      <w:r w:rsidRPr="006070EA">
        <w:rPr>
          <w:rFonts w:asciiTheme="majorHAnsi" w:hAnsiTheme="majorHAnsi" w:cstheme="majorHAnsi"/>
          <w:sz w:val="18"/>
          <w:szCs w:val="18"/>
        </w:rPr>
        <w:t xml:space="preserve"> plánu </w:t>
      </w:r>
      <w:r w:rsidR="008645FA" w:rsidRPr="006070EA">
        <w:rPr>
          <w:rFonts w:asciiTheme="majorHAnsi" w:hAnsiTheme="majorHAnsi" w:cstheme="majorHAnsi"/>
          <w:sz w:val="18"/>
          <w:szCs w:val="18"/>
        </w:rPr>
        <w:t>Kostomlaty nad Labem</w:t>
      </w:r>
      <w:r w:rsidRPr="006070EA">
        <w:rPr>
          <w:rFonts w:asciiTheme="majorHAnsi" w:hAnsiTheme="majorHAnsi" w:cstheme="majorHAnsi"/>
          <w:sz w:val="18"/>
          <w:szCs w:val="18"/>
        </w:rPr>
        <w:t>, uvádí tabulka níže.</w:t>
      </w:r>
    </w:p>
    <w:p w14:paraId="0952F2CD" w14:textId="581472A0" w:rsidR="0080735E" w:rsidRPr="006070EA" w:rsidRDefault="009C2FBB" w:rsidP="009E07E1">
      <w:pPr>
        <w:keepNext/>
        <w:spacing w:after="60" w:line="240" w:lineRule="auto"/>
        <w:jc w:val="both"/>
        <w:rPr>
          <w:rFonts w:asciiTheme="majorHAnsi" w:hAnsiTheme="majorHAnsi" w:cstheme="majorHAnsi"/>
          <w:i/>
          <w:sz w:val="18"/>
          <w:szCs w:val="18"/>
        </w:rPr>
      </w:pPr>
      <w:r w:rsidRPr="006070EA">
        <w:rPr>
          <w:rFonts w:asciiTheme="majorHAnsi" w:hAnsiTheme="majorHAnsi" w:cstheme="majorHAnsi"/>
          <w:i/>
          <w:sz w:val="18"/>
          <w:szCs w:val="18"/>
        </w:rPr>
        <w:t xml:space="preserve">Tab.: </w:t>
      </w:r>
      <w:r w:rsidR="001A7820" w:rsidRPr="006070EA">
        <w:rPr>
          <w:rFonts w:asciiTheme="majorHAnsi" w:hAnsiTheme="majorHAnsi" w:cstheme="majorHAnsi"/>
          <w:i/>
          <w:sz w:val="18"/>
          <w:szCs w:val="18"/>
        </w:rPr>
        <w:t xml:space="preserve">Rozvojové plochy vymezené v </w:t>
      </w:r>
      <w:r w:rsidR="00CD0BB2" w:rsidRPr="006070EA">
        <w:rPr>
          <w:rFonts w:asciiTheme="majorHAnsi" w:hAnsiTheme="majorHAnsi" w:cstheme="majorHAnsi"/>
          <w:i/>
          <w:sz w:val="18"/>
          <w:szCs w:val="18"/>
        </w:rPr>
        <w:t>ÚP</w:t>
      </w:r>
      <w:r w:rsidR="001A7820" w:rsidRPr="006070EA">
        <w:rPr>
          <w:rFonts w:asciiTheme="majorHAnsi" w:hAnsiTheme="majorHAnsi" w:cstheme="majorHAnsi"/>
          <w:i/>
          <w:sz w:val="18"/>
          <w:szCs w:val="18"/>
        </w:rPr>
        <w:t>O</w:t>
      </w:r>
      <w:r w:rsidR="0080735E" w:rsidRPr="006070EA">
        <w:rPr>
          <w:rFonts w:asciiTheme="majorHAnsi" w:hAnsiTheme="majorHAnsi" w:cstheme="majorHAnsi"/>
          <w:i/>
          <w:sz w:val="18"/>
          <w:szCs w:val="18"/>
        </w:rPr>
        <w:t xml:space="preserve"> </w:t>
      </w:r>
      <w:r w:rsidR="008645FA" w:rsidRPr="006070EA">
        <w:rPr>
          <w:rFonts w:asciiTheme="majorHAnsi" w:hAnsiTheme="majorHAnsi" w:cstheme="majorHAnsi"/>
          <w:i/>
          <w:sz w:val="18"/>
          <w:szCs w:val="18"/>
        </w:rPr>
        <w:t>Kostomlaty nad Labem</w:t>
      </w:r>
    </w:p>
    <w:p w14:paraId="237E4E73" w14:textId="7E816756" w:rsidR="008645FA" w:rsidRPr="006070EA" w:rsidRDefault="008645FA" w:rsidP="003D2F14">
      <w:pPr>
        <w:keepNext/>
        <w:spacing w:before="120" w:after="60" w:line="240" w:lineRule="auto"/>
        <w:jc w:val="both"/>
        <w:rPr>
          <w:rFonts w:asciiTheme="majorHAnsi" w:hAnsiTheme="majorHAnsi" w:cstheme="majorHAnsi"/>
          <w:i/>
          <w:sz w:val="18"/>
          <w:szCs w:val="18"/>
          <w:u w:val="single"/>
        </w:rPr>
      </w:pPr>
      <w:r w:rsidRPr="006070EA">
        <w:rPr>
          <w:rFonts w:asciiTheme="majorHAnsi" w:hAnsiTheme="majorHAnsi" w:cstheme="majorHAnsi"/>
          <w:i/>
          <w:sz w:val="18"/>
          <w:szCs w:val="18"/>
          <w:u w:val="single"/>
        </w:rPr>
        <w:t>Část obce Kostomlaty nad Labem</w:t>
      </w:r>
    </w:p>
    <w:tbl>
      <w:tblPr>
        <w:tblStyle w:val="Mkatabulky"/>
        <w:tblW w:w="8787"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50"/>
        <w:gridCol w:w="2551"/>
        <w:gridCol w:w="1134"/>
        <w:gridCol w:w="1134"/>
        <w:gridCol w:w="3118"/>
      </w:tblGrid>
      <w:tr w:rsidR="003D2F14" w:rsidRPr="006070EA" w14:paraId="4388C443" w14:textId="77777777" w:rsidTr="00DD30A4">
        <w:trPr>
          <w:cantSplit/>
          <w:tblHeader/>
          <w:jc w:val="center"/>
        </w:trPr>
        <w:tc>
          <w:tcPr>
            <w:tcW w:w="850" w:type="dxa"/>
            <w:tcBorders>
              <w:top w:val="nil"/>
              <w:bottom w:val="single" w:sz="12" w:space="0" w:color="auto"/>
              <w:right w:val="single" w:sz="12" w:space="0" w:color="auto"/>
            </w:tcBorders>
            <w:vAlign w:val="center"/>
          </w:tcPr>
          <w:p w14:paraId="4E3949F6" w14:textId="77777777" w:rsidR="001A7820" w:rsidRPr="006070EA" w:rsidRDefault="001A7820" w:rsidP="001A7820">
            <w:pPr>
              <w:jc w:val="center"/>
              <w:rPr>
                <w:rFonts w:asciiTheme="majorHAnsi" w:hAnsiTheme="majorHAnsi" w:cstheme="majorHAnsi"/>
                <w:b/>
                <w:sz w:val="18"/>
                <w:szCs w:val="18"/>
              </w:rPr>
            </w:pPr>
            <w:r w:rsidRPr="006070EA">
              <w:rPr>
                <w:rFonts w:asciiTheme="majorHAnsi" w:hAnsiTheme="majorHAnsi" w:cstheme="majorHAnsi"/>
                <w:b/>
                <w:sz w:val="18"/>
                <w:szCs w:val="18"/>
              </w:rPr>
              <w:t>Ozn. plochy v ÚPO</w:t>
            </w:r>
          </w:p>
        </w:tc>
        <w:tc>
          <w:tcPr>
            <w:tcW w:w="2551" w:type="dxa"/>
            <w:tcBorders>
              <w:top w:val="nil"/>
              <w:left w:val="single" w:sz="12" w:space="0" w:color="auto"/>
              <w:bottom w:val="single" w:sz="12" w:space="0" w:color="auto"/>
              <w:right w:val="single" w:sz="12" w:space="0" w:color="auto"/>
            </w:tcBorders>
            <w:vAlign w:val="center"/>
          </w:tcPr>
          <w:p w14:paraId="06D731A5" w14:textId="77777777" w:rsidR="001A7820" w:rsidRPr="006070EA" w:rsidRDefault="001A7820" w:rsidP="001A7820">
            <w:pPr>
              <w:jc w:val="center"/>
              <w:rPr>
                <w:rFonts w:asciiTheme="majorHAnsi" w:hAnsiTheme="majorHAnsi" w:cstheme="majorHAnsi"/>
                <w:b/>
                <w:sz w:val="18"/>
                <w:szCs w:val="18"/>
              </w:rPr>
            </w:pPr>
            <w:r w:rsidRPr="006070EA">
              <w:rPr>
                <w:rFonts w:asciiTheme="majorHAnsi" w:hAnsiTheme="majorHAnsi" w:cstheme="majorHAnsi"/>
                <w:b/>
                <w:sz w:val="18"/>
                <w:szCs w:val="18"/>
              </w:rPr>
              <w:t>Způsob využití v ÚPO</w:t>
            </w:r>
          </w:p>
          <w:p w14:paraId="0898412A" w14:textId="79C23446" w:rsidR="001A7820" w:rsidRPr="006070EA" w:rsidRDefault="008645FA" w:rsidP="001A7820">
            <w:pPr>
              <w:jc w:val="center"/>
              <w:rPr>
                <w:rFonts w:asciiTheme="majorHAnsi" w:hAnsiTheme="majorHAnsi" w:cstheme="majorHAnsi"/>
                <w:b/>
                <w:sz w:val="18"/>
                <w:szCs w:val="18"/>
              </w:rPr>
            </w:pPr>
            <w:r w:rsidRPr="006070EA">
              <w:rPr>
                <w:rFonts w:asciiTheme="majorHAnsi" w:hAnsiTheme="majorHAnsi" w:cstheme="majorHAnsi"/>
                <w:b/>
                <w:sz w:val="18"/>
                <w:szCs w:val="18"/>
              </w:rPr>
              <w:t>P</w:t>
            </w:r>
            <w:r w:rsidR="001A7820" w:rsidRPr="006070EA">
              <w:rPr>
                <w:rFonts w:asciiTheme="majorHAnsi" w:hAnsiTheme="majorHAnsi" w:cstheme="majorHAnsi"/>
                <w:b/>
                <w:sz w:val="18"/>
                <w:szCs w:val="18"/>
              </w:rPr>
              <w:t>opis</w:t>
            </w:r>
            <w:r w:rsidRPr="006070EA">
              <w:rPr>
                <w:rFonts w:asciiTheme="majorHAnsi" w:hAnsiTheme="majorHAnsi" w:cstheme="majorHAnsi"/>
                <w:b/>
                <w:sz w:val="18"/>
                <w:szCs w:val="18"/>
              </w:rPr>
              <w:t xml:space="preserve"> / charakter</w:t>
            </w:r>
          </w:p>
        </w:tc>
        <w:tc>
          <w:tcPr>
            <w:tcW w:w="1134" w:type="dxa"/>
            <w:tcBorders>
              <w:top w:val="nil"/>
              <w:left w:val="single" w:sz="12" w:space="0" w:color="auto"/>
              <w:bottom w:val="single" w:sz="12" w:space="0" w:color="auto"/>
              <w:right w:val="single" w:sz="12" w:space="0" w:color="auto"/>
            </w:tcBorders>
            <w:vAlign w:val="center"/>
          </w:tcPr>
          <w:p w14:paraId="5408A0E7" w14:textId="20568D4B" w:rsidR="001A7820" w:rsidRPr="006070EA" w:rsidRDefault="008645FA" w:rsidP="001A7820">
            <w:pPr>
              <w:jc w:val="center"/>
              <w:rPr>
                <w:rFonts w:asciiTheme="majorHAnsi" w:hAnsiTheme="majorHAnsi" w:cstheme="majorHAnsi"/>
                <w:b/>
                <w:sz w:val="18"/>
                <w:szCs w:val="18"/>
              </w:rPr>
            </w:pPr>
            <w:r w:rsidRPr="006070EA">
              <w:rPr>
                <w:rFonts w:asciiTheme="majorHAnsi" w:hAnsiTheme="majorHAnsi" w:cstheme="majorHAnsi"/>
                <w:b/>
                <w:sz w:val="18"/>
                <w:szCs w:val="18"/>
              </w:rPr>
              <w:t>Odhad počtu RD</w:t>
            </w:r>
          </w:p>
        </w:tc>
        <w:tc>
          <w:tcPr>
            <w:tcW w:w="1134" w:type="dxa"/>
            <w:tcBorders>
              <w:top w:val="nil"/>
              <w:left w:val="single" w:sz="12" w:space="0" w:color="auto"/>
              <w:bottom w:val="single" w:sz="12" w:space="0" w:color="auto"/>
              <w:right w:val="single" w:sz="12" w:space="0" w:color="auto"/>
            </w:tcBorders>
            <w:vAlign w:val="center"/>
          </w:tcPr>
          <w:p w14:paraId="6A11A40B" w14:textId="77777777" w:rsidR="001A7820" w:rsidRPr="006070EA" w:rsidRDefault="001A7820" w:rsidP="001A7820">
            <w:pPr>
              <w:jc w:val="center"/>
              <w:rPr>
                <w:rFonts w:asciiTheme="majorHAnsi" w:hAnsiTheme="majorHAnsi" w:cstheme="majorHAnsi"/>
                <w:b/>
                <w:sz w:val="18"/>
                <w:szCs w:val="18"/>
              </w:rPr>
            </w:pPr>
            <w:r w:rsidRPr="006070EA">
              <w:rPr>
                <w:rFonts w:asciiTheme="majorHAnsi" w:hAnsiTheme="majorHAnsi" w:cstheme="majorHAnsi"/>
                <w:b/>
                <w:sz w:val="18"/>
                <w:szCs w:val="18"/>
              </w:rPr>
              <w:t>Využití zastavitelné plochy</w:t>
            </w:r>
          </w:p>
        </w:tc>
        <w:tc>
          <w:tcPr>
            <w:tcW w:w="3118" w:type="dxa"/>
            <w:tcBorders>
              <w:top w:val="nil"/>
              <w:left w:val="single" w:sz="12" w:space="0" w:color="auto"/>
              <w:bottom w:val="single" w:sz="12" w:space="0" w:color="auto"/>
            </w:tcBorders>
            <w:vAlign w:val="center"/>
          </w:tcPr>
          <w:p w14:paraId="41CF29F0" w14:textId="2D983BAB" w:rsidR="001A7820" w:rsidRPr="006070EA" w:rsidRDefault="008645FA" w:rsidP="001A7820">
            <w:pPr>
              <w:jc w:val="center"/>
              <w:rPr>
                <w:rFonts w:asciiTheme="majorHAnsi" w:hAnsiTheme="majorHAnsi" w:cstheme="majorHAnsi"/>
                <w:b/>
                <w:sz w:val="18"/>
                <w:szCs w:val="18"/>
              </w:rPr>
            </w:pPr>
            <w:r w:rsidRPr="006070EA">
              <w:rPr>
                <w:rFonts w:asciiTheme="majorHAnsi" w:hAnsiTheme="majorHAnsi" w:cstheme="majorHAnsi"/>
                <w:b/>
                <w:sz w:val="18"/>
                <w:szCs w:val="18"/>
              </w:rPr>
              <w:t>Způsob vymezení</w:t>
            </w:r>
            <w:r w:rsidR="001A7820" w:rsidRPr="006070EA">
              <w:rPr>
                <w:rFonts w:asciiTheme="majorHAnsi" w:hAnsiTheme="majorHAnsi" w:cstheme="majorHAnsi"/>
                <w:b/>
                <w:sz w:val="18"/>
                <w:szCs w:val="18"/>
              </w:rPr>
              <w:t xml:space="preserve"> plochy v</w:t>
            </w:r>
            <w:r w:rsidRPr="006070EA">
              <w:rPr>
                <w:rFonts w:asciiTheme="majorHAnsi" w:hAnsiTheme="majorHAnsi" w:cstheme="majorHAnsi"/>
                <w:b/>
                <w:sz w:val="18"/>
                <w:szCs w:val="18"/>
              </w:rPr>
              <w:t> </w:t>
            </w:r>
            <w:r w:rsidR="001A7820" w:rsidRPr="006070EA">
              <w:rPr>
                <w:rFonts w:asciiTheme="majorHAnsi" w:hAnsiTheme="majorHAnsi" w:cstheme="majorHAnsi"/>
                <w:b/>
                <w:sz w:val="18"/>
                <w:szCs w:val="18"/>
              </w:rPr>
              <w:t>ÚP</w:t>
            </w:r>
            <w:r w:rsidRPr="006070EA">
              <w:rPr>
                <w:rFonts w:asciiTheme="majorHAnsi" w:hAnsiTheme="majorHAnsi" w:cstheme="majorHAnsi"/>
                <w:b/>
                <w:sz w:val="18"/>
                <w:szCs w:val="18"/>
              </w:rPr>
              <w:t> Kostomlaty nad Labem</w:t>
            </w:r>
          </w:p>
        </w:tc>
      </w:tr>
      <w:tr w:rsidR="003D2F14" w:rsidRPr="006070EA" w14:paraId="3F62F752" w14:textId="77777777" w:rsidTr="00235FC7">
        <w:trPr>
          <w:cantSplit/>
          <w:jc w:val="center"/>
        </w:trPr>
        <w:tc>
          <w:tcPr>
            <w:tcW w:w="850" w:type="dxa"/>
            <w:tcBorders>
              <w:top w:val="single" w:sz="12" w:space="0" w:color="auto"/>
            </w:tcBorders>
            <w:vAlign w:val="center"/>
          </w:tcPr>
          <w:p w14:paraId="70DE23A4" w14:textId="77777777" w:rsidR="008645FA" w:rsidRPr="006070EA" w:rsidRDefault="008645FA" w:rsidP="008645FA">
            <w:pPr>
              <w:jc w:val="center"/>
              <w:rPr>
                <w:rFonts w:asciiTheme="majorHAnsi" w:hAnsiTheme="majorHAnsi" w:cstheme="majorHAnsi"/>
                <w:sz w:val="18"/>
                <w:szCs w:val="18"/>
              </w:rPr>
            </w:pPr>
            <w:r w:rsidRPr="006070EA">
              <w:rPr>
                <w:rFonts w:asciiTheme="majorHAnsi" w:hAnsiTheme="majorHAnsi" w:cstheme="majorHAnsi"/>
                <w:sz w:val="18"/>
                <w:szCs w:val="18"/>
              </w:rPr>
              <w:t>1</w:t>
            </w:r>
          </w:p>
        </w:tc>
        <w:tc>
          <w:tcPr>
            <w:tcW w:w="2551" w:type="dxa"/>
            <w:tcBorders>
              <w:top w:val="single" w:sz="12" w:space="0" w:color="auto"/>
            </w:tcBorders>
            <w:vAlign w:val="center"/>
          </w:tcPr>
          <w:p w14:paraId="5338F1A1" w14:textId="77777777" w:rsidR="008645FA" w:rsidRPr="006070EA" w:rsidRDefault="008645FA" w:rsidP="008645FA">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4476C856" w14:textId="69AB045D" w:rsidR="008645FA" w:rsidRPr="006070EA" w:rsidRDefault="008645FA" w:rsidP="008645FA">
            <w:pPr>
              <w:jc w:val="center"/>
              <w:rPr>
                <w:rFonts w:asciiTheme="majorHAnsi" w:hAnsiTheme="majorHAnsi" w:cstheme="majorHAnsi"/>
                <w:sz w:val="18"/>
                <w:szCs w:val="18"/>
              </w:rPr>
            </w:pPr>
            <w:proofErr w:type="gramStart"/>
            <w:r w:rsidRPr="006070EA">
              <w:rPr>
                <w:rFonts w:asciiTheme="majorHAnsi" w:hAnsiTheme="majorHAnsi" w:cstheme="majorHAnsi"/>
                <w:sz w:val="18"/>
                <w:szCs w:val="18"/>
              </w:rPr>
              <w:t>Isolované</w:t>
            </w:r>
            <w:proofErr w:type="gramEnd"/>
            <w:r w:rsidRPr="006070EA">
              <w:rPr>
                <w:rFonts w:asciiTheme="majorHAnsi" w:hAnsiTheme="majorHAnsi" w:cstheme="majorHAnsi"/>
                <w:sz w:val="18"/>
                <w:szCs w:val="18"/>
              </w:rPr>
              <w:t xml:space="preserve"> </w:t>
            </w:r>
            <w:r w:rsidR="003F10E5" w:rsidRPr="006070EA">
              <w:rPr>
                <w:rFonts w:asciiTheme="majorHAnsi" w:hAnsiTheme="majorHAnsi" w:cstheme="majorHAnsi"/>
                <w:sz w:val="18"/>
                <w:szCs w:val="18"/>
              </w:rPr>
              <w:t>RD</w:t>
            </w:r>
          </w:p>
        </w:tc>
        <w:tc>
          <w:tcPr>
            <w:tcW w:w="1134" w:type="dxa"/>
            <w:tcBorders>
              <w:top w:val="single" w:sz="12" w:space="0" w:color="auto"/>
            </w:tcBorders>
            <w:vAlign w:val="center"/>
          </w:tcPr>
          <w:p w14:paraId="1BF07365" w14:textId="013B35E3" w:rsidR="008645FA" w:rsidRPr="006070EA" w:rsidRDefault="008645FA" w:rsidP="008645FA">
            <w:pPr>
              <w:jc w:val="center"/>
              <w:rPr>
                <w:rFonts w:asciiTheme="majorHAnsi" w:hAnsiTheme="majorHAnsi" w:cstheme="majorHAnsi"/>
                <w:sz w:val="18"/>
                <w:szCs w:val="18"/>
              </w:rPr>
            </w:pPr>
            <w:r w:rsidRPr="006070EA">
              <w:rPr>
                <w:rFonts w:asciiTheme="majorHAnsi" w:hAnsiTheme="majorHAnsi" w:cstheme="majorHAnsi"/>
                <w:sz w:val="18"/>
                <w:szCs w:val="18"/>
              </w:rPr>
              <w:t>21</w:t>
            </w:r>
          </w:p>
        </w:tc>
        <w:tc>
          <w:tcPr>
            <w:tcW w:w="1134" w:type="dxa"/>
            <w:tcBorders>
              <w:top w:val="single" w:sz="12" w:space="0" w:color="auto"/>
            </w:tcBorders>
            <w:vAlign w:val="center"/>
          </w:tcPr>
          <w:p w14:paraId="7287AF99" w14:textId="1661528C" w:rsidR="008645FA" w:rsidRPr="006070EA" w:rsidRDefault="008645FA" w:rsidP="008645FA">
            <w:pPr>
              <w:jc w:val="center"/>
              <w:rPr>
                <w:rFonts w:asciiTheme="majorHAnsi" w:hAnsiTheme="majorHAnsi" w:cstheme="majorHAnsi"/>
                <w:sz w:val="18"/>
                <w:szCs w:val="18"/>
              </w:rPr>
            </w:pPr>
            <w:r w:rsidRPr="006070EA">
              <w:rPr>
                <w:rFonts w:asciiTheme="majorHAnsi" w:hAnsiTheme="majorHAnsi" w:cstheme="majorHAnsi"/>
                <w:sz w:val="18"/>
                <w:szCs w:val="18"/>
              </w:rPr>
              <w:t>100 %</w:t>
            </w:r>
          </w:p>
        </w:tc>
        <w:tc>
          <w:tcPr>
            <w:tcW w:w="3118" w:type="dxa"/>
            <w:tcBorders>
              <w:top w:val="single" w:sz="12" w:space="0" w:color="auto"/>
            </w:tcBorders>
            <w:vAlign w:val="center"/>
          </w:tcPr>
          <w:p w14:paraId="731673BC" w14:textId="18C2FC53" w:rsidR="008645FA" w:rsidRPr="006070EA" w:rsidRDefault="008645FA" w:rsidP="008645FA">
            <w:pPr>
              <w:jc w:val="center"/>
              <w:rPr>
                <w:rFonts w:asciiTheme="majorHAnsi" w:hAnsiTheme="majorHAnsi" w:cstheme="majorHAnsi"/>
                <w:sz w:val="18"/>
                <w:szCs w:val="18"/>
              </w:rPr>
            </w:pPr>
            <w:r w:rsidRPr="006070EA">
              <w:rPr>
                <w:rFonts w:asciiTheme="majorHAnsi" w:hAnsiTheme="majorHAnsi" w:cstheme="majorHAnsi"/>
                <w:sz w:val="18"/>
                <w:szCs w:val="18"/>
              </w:rPr>
              <w:t>Plocha zahrnuta do zastavěného území jako stabilizovaná plocha (</w:t>
            </w:r>
            <w:r w:rsidR="003F10E5" w:rsidRPr="006070EA">
              <w:rPr>
                <w:rFonts w:asciiTheme="majorHAnsi" w:hAnsiTheme="majorHAnsi" w:cstheme="majorHAnsi"/>
                <w:sz w:val="18"/>
                <w:szCs w:val="18"/>
              </w:rPr>
              <w:t>BI</w:t>
            </w:r>
            <w:r w:rsidRPr="006070EA">
              <w:rPr>
                <w:rFonts w:asciiTheme="majorHAnsi" w:hAnsiTheme="majorHAnsi" w:cstheme="majorHAnsi"/>
                <w:sz w:val="18"/>
                <w:szCs w:val="18"/>
              </w:rPr>
              <w:t>)</w:t>
            </w:r>
          </w:p>
        </w:tc>
      </w:tr>
      <w:tr w:rsidR="003D2F14" w:rsidRPr="006070EA" w14:paraId="407B9A4B" w14:textId="77777777" w:rsidTr="00DD30A4">
        <w:trPr>
          <w:cantSplit/>
          <w:jc w:val="center"/>
        </w:trPr>
        <w:tc>
          <w:tcPr>
            <w:tcW w:w="850" w:type="dxa"/>
            <w:vAlign w:val="center"/>
          </w:tcPr>
          <w:p w14:paraId="52B6E0BA" w14:textId="77777777" w:rsidR="001A7820" w:rsidRPr="006070EA" w:rsidRDefault="001A7820" w:rsidP="001A7820">
            <w:pPr>
              <w:jc w:val="center"/>
              <w:rPr>
                <w:rFonts w:asciiTheme="majorHAnsi" w:hAnsiTheme="majorHAnsi" w:cstheme="majorHAnsi"/>
                <w:sz w:val="18"/>
                <w:szCs w:val="18"/>
              </w:rPr>
            </w:pPr>
            <w:r w:rsidRPr="006070EA">
              <w:rPr>
                <w:rFonts w:asciiTheme="majorHAnsi" w:hAnsiTheme="majorHAnsi" w:cstheme="majorHAnsi"/>
                <w:sz w:val="18"/>
                <w:szCs w:val="18"/>
              </w:rPr>
              <w:t>2</w:t>
            </w:r>
          </w:p>
        </w:tc>
        <w:tc>
          <w:tcPr>
            <w:tcW w:w="2551" w:type="dxa"/>
            <w:vAlign w:val="center"/>
          </w:tcPr>
          <w:p w14:paraId="3ADBEF9E" w14:textId="77777777" w:rsidR="001A7820" w:rsidRPr="006070EA" w:rsidRDefault="003F10E5" w:rsidP="001A7820">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1898CB3A" w14:textId="6B9CE054" w:rsidR="003F10E5" w:rsidRPr="006070EA" w:rsidRDefault="003F10E5" w:rsidP="001A7820">
            <w:pPr>
              <w:jc w:val="center"/>
              <w:rPr>
                <w:rFonts w:asciiTheme="majorHAnsi" w:hAnsiTheme="majorHAnsi" w:cstheme="majorHAnsi"/>
                <w:sz w:val="18"/>
                <w:szCs w:val="18"/>
              </w:rPr>
            </w:pPr>
            <w:proofErr w:type="gramStart"/>
            <w:r w:rsidRPr="006070EA">
              <w:rPr>
                <w:rFonts w:asciiTheme="majorHAnsi" w:hAnsiTheme="majorHAnsi" w:cstheme="majorHAnsi"/>
                <w:sz w:val="18"/>
                <w:szCs w:val="18"/>
              </w:rPr>
              <w:t>Isolované</w:t>
            </w:r>
            <w:proofErr w:type="gramEnd"/>
            <w:r w:rsidRPr="006070EA">
              <w:rPr>
                <w:rFonts w:asciiTheme="majorHAnsi" w:hAnsiTheme="majorHAnsi" w:cstheme="majorHAnsi"/>
                <w:sz w:val="18"/>
                <w:szCs w:val="18"/>
              </w:rPr>
              <w:t xml:space="preserve"> RD a plocha parkové zeleně s dětským hřištěm a vodní plochou </w:t>
            </w:r>
          </w:p>
        </w:tc>
        <w:tc>
          <w:tcPr>
            <w:tcW w:w="1134" w:type="dxa"/>
            <w:vAlign w:val="center"/>
          </w:tcPr>
          <w:p w14:paraId="38B9226C" w14:textId="14D7C379" w:rsidR="001A7820" w:rsidRPr="006070EA" w:rsidRDefault="003F10E5" w:rsidP="001A7820">
            <w:pPr>
              <w:jc w:val="center"/>
              <w:rPr>
                <w:rFonts w:asciiTheme="majorHAnsi" w:hAnsiTheme="majorHAnsi" w:cstheme="majorHAnsi"/>
                <w:sz w:val="18"/>
                <w:szCs w:val="18"/>
              </w:rPr>
            </w:pPr>
            <w:r w:rsidRPr="006070EA">
              <w:rPr>
                <w:rFonts w:asciiTheme="majorHAnsi" w:hAnsiTheme="majorHAnsi" w:cstheme="majorHAnsi"/>
                <w:sz w:val="18"/>
                <w:szCs w:val="18"/>
              </w:rPr>
              <w:t>30</w:t>
            </w:r>
          </w:p>
        </w:tc>
        <w:tc>
          <w:tcPr>
            <w:tcW w:w="1134" w:type="dxa"/>
            <w:vAlign w:val="center"/>
          </w:tcPr>
          <w:p w14:paraId="316A6579" w14:textId="3F51A117" w:rsidR="001A7820" w:rsidRPr="006070EA" w:rsidRDefault="003F10E5" w:rsidP="001A7820">
            <w:pPr>
              <w:jc w:val="center"/>
              <w:rPr>
                <w:rFonts w:asciiTheme="majorHAnsi" w:hAnsiTheme="majorHAnsi" w:cstheme="majorHAnsi"/>
                <w:sz w:val="18"/>
                <w:szCs w:val="18"/>
              </w:rPr>
            </w:pPr>
            <w:r w:rsidRPr="006070EA">
              <w:rPr>
                <w:rFonts w:asciiTheme="majorHAnsi" w:hAnsiTheme="majorHAnsi" w:cstheme="majorHAnsi"/>
                <w:sz w:val="18"/>
                <w:szCs w:val="18"/>
              </w:rPr>
              <w:t>100 %</w:t>
            </w:r>
          </w:p>
        </w:tc>
        <w:tc>
          <w:tcPr>
            <w:tcW w:w="3118" w:type="dxa"/>
            <w:vAlign w:val="center"/>
          </w:tcPr>
          <w:p w14:paraId="59C39D6F" w14:textId="7DC4EE0A" w:rsidR="001A7820" w:rsidRPr="006070EA" w:rsidRDefault="003F10E5" w:rsidP="001A7820">
            <w:pPr>
              <w:jc w:val="center"/>
              <w:rPr>
                <w:rFonts w:asciiTheme="majorHAnsi" w:hAnsiTheme="majorHAnsi" w:cstheme="majorHAnsi"/>
                <w:sz w:val="18"/>
                <w:szCs w:val="18"/>
              </w:rPr>
            </w:pPr>
            <w:r w:rsidRPr="006070EA">
              <w:rPr>
                <w:rFonts w:asciiTheme="majorHAnsi" w:hAnsiTheme="majorHAnsi" w:cstheme="majorHAnsi"/>
                <w:sz w:val="18"/>
                <w:szCs w:val="18"/>
              </w:rPr>
              <w:t>Plocha zahrnuta do zastavěného území jako stabilizovaná plocha (BI)</w:t>
            </w:r>
          </w:p>
        </w:tc>
      </w:tr>
      <w:tr w:rsidR="003D2F14" w:rsidRPr="006070EA" w14:paraId="2EB7D5EE" w14:textId="77777777" w:rsidTr="00DD30A4">
        <w:trPr>
          <w:cantSplit/>
          <w:jc w:val="center"/>
        </w:trPr>
        <w:tc>
          <w:tcPr>
            <w:tcW w:w="850" w:type="dxa"/>
            <w:vAlign w:val="center"/>
          </w:tcPr>
          <w:p w14:paraId="60DB0975" w14:textId="7777777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3</w:t>
            </w:r>
          </w:p>
        </w:tc>
        <w:tc>
          <w:tcPr>
            <w:tcW w:w="2551" w:type="dxa"/>
            <w:vAlign w:val="center"/>
          </w:tcPr>
          <w:p w14:paraId="5EDE0016" w14:textId="7777777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744DFE99" w14:textId="474E0153" w:rsidR="003F10E5" w:rsidRPr="006070EA" w:rsidRDefault="003F10E5" w:rsidP="003F10E5">
            <w:pPr>
              <w:jc w:val="center"/>
              <w:rPr>
                <w:rFonts w:asciiTheme="majorHAnsi" w:hAnsiTheme="majorHAnsi" w:cstheme="majorHAnsi"/>
                <w:sz w:val="18"/>
                <w:szCs w:val="18"/>
              </w:rPr>
            </w:pPr>
            <w:proofErr w:type="gramStart"/>
            <w:r w:rsidRPr="006070EA">
              <w:rPr>
                <w:rFonts w:asciiTheme="majorHAnsi" w:hAnsiTheme="majorHAnsi" w:cstheme="majorHAnsi"/>
                <w:sz w:val="18"/>
                <w:szCs w:val="18"/>
              </w:rPr>
              <w:t>Isolované</w:t>
            </w:r>
            <w:proofErr w:type="gramEnd"/>
            <w:r w:rsidRPr="006070EA">
              <w:rPr>
                <w:rFonts w:asciiTheme="majorHAnsi" w:hAnsiTheme="majorHAnsi" w:cstheme="majorHAnsi"/>
                <w:sz w:val="18"/>
                <w:szCs w:val="18"/>
              </w:rPr>
              <w:t xml:space="preserve"> RD a plocha parkové zeleně</w:t>
            </w:r>
          </w:p>
        </w:tc>
        <w:tc>
          <w:tcPr>
            <w:tcW w:w="1134" w:type="dxa"/>
            <w:vAlign w:val="center"/>
          </w:tcPr>
          <w:p w14:paraId="6F2D2A0B" w14:textId="63AF329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14</w:t>
            </w:r>
          </w:p>
        </w:tc>
        <w:tc>
          <w:tcPr>
            <w:tcW w:w="1134" w:type="dxa"/>
            <w:vAlign w:val="center"/>
          </w:tcPr>
          <w:p w14:paraId="32B2C894" w14:textId="05365014"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0 %</w:t>
            </w:r>
          </w:p>
        </w:tc>
        <w:tc>
          <w:tcPr>
            <w:tcW w:w="3118" w:type="dxa"/>
            <w:vAlign w:val="center"/>
          </w:tcPr>
          <w:p w14:paraId="0FC5B4DA" w14:textId="3749A5C2"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Plocha převzata – vymezena jako zastavitelná plocha Z14 (BI)</w:t>
            </w:r>
          </w:p>
        </w:tc>
      </w:tr>
      <w:tr w:rsidR="003D2F14" w:rsidRPr="006070EA" w14:paraId="241F22F5" w14:textId="77777777" w:rsidTr="00DD30A4">
        <w:trPr>
          <w:cantSplit/>
          <w:jc w:val="center"/>
        </w:trPr>
        <w:tc>
          <w:tcPr>
            <w:tcW w:w="850" w:type="dxa"/>
            <w:vAlign w:val="center"/>
          </w:tcPr>
          <w:p w14:paraId="5D96D0EB" w14:textId="7777777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4</w:t>
            </w:r>
          </w:p>
        </w:tc>
        <w:tc>
          <w:tcPr>
            <w:tcW w:w="2551" w:type="dxa"/>
            <w:vAlign w:val="center"/>
          </w:tcPr>
          <w:p w14:paraId="41AB8C00" w14:textId="7777777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233AED13" w14:textId="6D26BEC1" w:rsidR="003F10E5" w:rsidRPr="006070EA" w:rsidRDefault="003F10E5" w:rsidP="003F10E5">
            <w:pPr>
              <w:jc w:val="center"/>
              <w:rPr>
                <w:rFonts w:asciiTheme="majorHAnsi" w:hAnsiTheme="majorHAnsi" w:cstheme="majorHAnsi"/>
                <w:sz w:val="18"/>
                <w:szCs w:val="18"/>
              </w:rPr>
            </w:pPr>
            <w:proofErr w:type="gramStart"/>
            <w:r w:rsidRPr="006070EA">
              <w:rPr>
                <w:rFonts w:asciiTheme="majorHAnsi" w:hAnsiTheme="majorHAnsi" w:cstheme="majorHAnsi"/>
                <w:sz w:val="18"/>
                <w:szCs w:val="18"/>
              </w:rPr>
              <w:t>Isolované</w:t>
            </w:r>
            <w:proofErr w:type="gramEnd"/>
            <w:r w:rsidRPr="006070EA">
              <w:rPr>
                <w:rFonts w:asciiTheme="majorHAnsi" w:hAnsiTheme="majorHAnsi" w:cstheme="majorHAnsi"/>
                <w:sz w:val="18"/>
                <w:szCs w:val="18"/>
              </w:rPr>
              <w:t xml:space="preserve"> RD</w:t>
            </w:r>
          </w:p>
        </w:tc>
        <w:tc>
          <w:tcPr>
            <w:tcW w:w="1134" w:type="dxa"/>
            <w:vAlign w:val="center"/>
          </w:tcPr>
          <w:p w14:paraId="26A5A707" w14:textId="2659590D"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1-2</w:t>
            </w:r>
          </w:p>
        </w:tc>
        <w:tc>
          <w:tcPr>
            <w:tcW w:w="1134" w:type="dxa"/>
            <w:vAlign w:val="center"/>
          </w:tcPr>
          <w:p w14:paraId="3C058911" w14:textId="39CC0DAE"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100 %</w:t>
            </w:r>
          </w:p>
        </w:tc>
        <w:tc>
          <w:tcPr>
            <w:tcW w:w="3118" w:type="dxa"/>
            <w:vAlign w:val="center"/>
          </w:tcPr>
          <w:p w14:paraId="3B681CA1" w14:textId="32C97BFE"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Plocha zahrnuta do zastavěného území jako stabilizovaná plocha (BI)</w:t>
            </w:r>
          </w:p>
        </w:tc>
      </w:tr>
      <w:tr w:rsidR="003D2F14" w:rsidRPr="006070EA" w14:paraId="5990D8C1" w14:textId="77777777" w:rsidTr="00DD30A4">
        <w:trPr>
          <w:cantSplit/>
          <w:jc w:val="center"/>
        </w:trPr>
        <w:tc>
          <w:tcPr>
            <w:tcW w:w="850" w:type="dxa"/>
            <w:vAlign w:val="center"/>
          </w:tcPr>
          <w:p w14:paraId="598CDC02" w14:textId="7777777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5</w:t>
            </w:r>
          </w:p>
        </w:tc>
        <w:tc>
          <w:tcPr>
            <w:tcW w:w="2551" w:type="dxa"/>
            <w:vAlign w:val="center"/>
          </w:tcPr>
          <w:p w14:paraId="10C3A06E" w14:textId="7777777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538C821E" w14:textId="3BEE440C" w:rsidR="003F10E5" w:rsidRPr="006070EA" w:rsidRDefault="003F10E5" w:rsidP="003F10E5">
            <w:pPr>
              <w:jc w:val="center"/>
              <w:rPr>
                <w:rFonts w:asciiTheme="majorHAnsi" w:hAnsiTheme="majorHAnsi" w:cstheme="majorHAnsi"/>
                <w:sz w:val="18"/>
                <w:szCs w:val="18"/>
              </w:rPr>
            </w:pPr>
            <w:proofErr w:type="gramStart"/>
            <w:r w:rsidRPr="006070EA">
              <w:rPr>
                <w:rFonts w:asciiTheme="majorHAnsi" w:hAnsiTheme="majorHAnsi" w:cstheme="majorHAnsi"/>
                <w:sz w:val="18"/>
                <w:szCs w:val="18"/>
              </w:rPr>
              <w:t>Isolované</w:t>
            </w:r>
            <w:proofErr w:type="gramEnd"/>
            <w:r w:rsidRPr="006070EA">
              <w:rPr>
                <w:rFonts w:asciiTheme="majorHAnsi" w:hAnsiTheme="majorHAnsi" w:cstheme="majorHAnsi"/>
                <w:sz w:val="18"/>
                <w:szCs w:val="18"/>
              </w:rPr>
              <w:t xml:space="preserve"> RD</w:t>
            </w:r>
          </w:p>
        </w:tc>
        <w:tc>
          <w:tcPr>
            <w:tcW w:w="1134" w:type="dxa"/>
            <w:vAlign w:val="center"/>
          </w:tcPr>
          <w:p w14:paraId="506889AC" w14:textId="633299D2"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10-12</w:t>
            </w:r>
          </w:p>
        </w:tc>
        <w:tc>
          <w:tcPr>
            <w:tcW w:w="1134" w:type="dxa"/>
            <w:vAlign w:val="center"/>
          </w:tcPr>
          <w:p w14:paraId="55765DFB" w14:textId="7777777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0 %</w:t>
            </w:r>
          </w:p>
        </w:tc>
        <w:tc>
          <w:tcPr>
            <w:tcW w:w="3118" w:type="dxa"/>
            <w:vAlign w:val="center"/>
          </w:tcPr>
          <w:p w14:paraId="513A692B" w14:textId="77777777"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Plocha částečně převzata – vymezena jako zastavitelná plocha Z06 (BI)</w:t>
            </w:r>
          </w:p>
          <w:p w14:paraId="39003F80" w14:textId="1763ACDE" w:rsidR="003F10E5" w:rsidRPr="006070EA" w:rsidRDefault="003F10E5" w:rsidP="003F10E5">
            <w:pPr>
              <w:jc w:val="center"/>
              <w:rPr>
                <w:rFonts w:asciiTheme="majorHAnsi" w:hAnsiTheme="majorHAnsi" w:cstheme="majorHAnsi"/>
                <w:sz w:val="18"/>
                <w:szCs w:val="18"/>
              </w:rPr>
            </w:pPr>
            <w:r w:rsidRPr="006070EA">
              <w:rPr>
                <w:rFonts w:asciiTheme="majorHAnsi" w:hAnsiTheme="majorHAnsi" w:cstheme="majorHAnsi"/>
                <w:sz w:val="18"/>
                <w:szCs w:val="18"/>
              </w:rPr>
              <w:t>Část plochy stabilizována v rámci ploch nezastavěného území (NZ)</w:t>
            </w:r>
          </w:p>
        </w:tc>
      </w:tr>
    </w:tbl>
    <w:p w14:paraId="6C532CFC" w14:textId="1B75972A" w:rsidR="003F10E5" w:rsidRPr="006070EA" w:rsidRDefault="003F10E5" w:rsidP="003D2F14">
      <w:pPr>
        <w:keepNext/>
        <w:spacing w:before="120" w:after="120" w:line="240" w:lineRule="auto"/>
        <w:jc w:val="both"/>
        <w:rPr>
          <w:rFonts w:asciiTheme="majorHAnsi" w:hAnsiTheme="majorHAnsi" w:cstheme="majorHAnsi"/>
          <w:iCs/>
          <w:sz w:val="18"/>
          <w:szCs w:val="18"/>
        </w:rPr>
      </w:pPr>
      <w:r w:rsidRPr="006070EA">
        <w:rPr>
          <w:rFonts w:asciiTheme="majorHAnsi" w:hAnsiTheme="majorHAnsi" w:cstheme="majorHAnsi"/>
          <w:i/>
          <w:sz w:val="18"/>
          <w:szCs w:val="18"/>
        </w:rPr>
        <w:t>Závěrečné zhodnocení</w:t>
      </w:r>
      <w:r w:rsidR="003D2F14" w:rsidRPr="006070EA">
        <w:rPr>
          <w:rFonts w:asciiTheme="majorHAnsi" w:hAnsiTheme="majorHAnsi" w:cstheme="majorHAnsi"/>
          <w:iCs/>
          <w:sz w:val="18"/>
          <w:szCs w:val="18"/>
        </w:rPr>
        <w:t>: z</w:t>
      </w:r>
      <w:r w:rsidRPr="006070EA">
        <w:rPr>
          <w:rFonts w:asciiTheme="majorHAnsi" w:hAnsiTheme="majorHAnsi" w:cstheme="majorHAnsi"/>
          <w:iCs/>
          <w:sz w:val="18"/>
          <w:szCs w:val="18"/>
        </w:rPr>
        <w:t>astavitelné plochy vymezené v ÚPO v rámci sídla Kostomlaty nad Labem jsou převážně využity. Nevyužité části zastavitelných lokalit s ozn. 3 a 5 jsou převzaty a vymezeny jako součásti nových zastavitelných ploch v návrhu ÚP Kostomlaty nad Labem.</w:t>
      </w:r>
      <w:r w:rsidR="00391794" w:rsidRPr="006070EA">
        <w:rPr>
          <w:rFonts w:asciiTheme="majorHAnsi" w:hAnsiTheme="majorHAnsi" w:cstheme="majorHAnsi"/>
          <w:iCs/>
          <w:sz w:val="18"/>
          <w:szCs w:val="18"/>
        </w:rPr>
        <w:t xml:space="preserve"> ÚPO Kostomlaty nad Labem dále vymezuje jednu zastavitelnou plochu výroby a skladů bez označení. Tato plocha byla v období účinnosti ÚPO částečně využita a tato část byla stabilizována a zahrnuta do zastavěného území. </w:t>
      </w:r>
      <w:r w:rsidR="00391794" w:rsidRPr="006070EA">
        <w:rPr>
          <w:rFonts w:asciiTheme="majorHAnsi" w:hAnsiTheme="majorHAnsi" w:cstheme="majorHAnsi"/>
          <w:iCs/>
          <w:sz w:val="18"/>
          <w:szCs w:val="18"/>
        </w:rPr>
        <w:lastRenderedPageBreak/>
        <w:t>Zbývající, nevyužitá část plochy výroby a skladů byla převzata do ÚP Kostomlaty nad Labem jako zastavitelná plocha výroby a skladování – lehký průmysl s označením Z13 (VL).</w:t>
      </w:r>
    </w:p>
    <w:p w14:paraId="3C477478" w14:textId="732B9FFB" w:rsidR="003D2F14" w:rsidRPr="006070EA" w:rsidRDefault="003D2F14" w:rsidP="003D2F14">
      <w:pPr>
        <w:keepNext/>
        <w:spacing w:before="120" w:after="60" w:line="240" w:lineRule="auto"/>
        <w:jc w:val="both"/>
        <w:rPr>
          <w:rFonts w:asciiTheme="majorHAnsi" w:hAnsiTheme="majorHAnsi" w:cstheme="majorHAnsi"/>
          <w:i/>
          <w:sz w:val="18"/>
          <w:szCs w:val="18"/>
          <w:u w:val="single"/>
        </w:rPr>
      </w:pPr>
      <w:r w:rsidRPr="006070EA">
        <w:rPr>
          <w:rFonts w:asciiTheme="majorHAnsi" w:hAnsiTheme="majorHAnsi" w:cstheme="majorHAnsi"/>
          <w:i/>
          <w:sz w:val="18"/>
          <w:szCs w:val="18"/>
          <w:u w:val="single"/>
        </w:rPr>
        <w:t>Část obce Lány</w:t>
      </w:r>
    </w:p>
    <w:tbl>
      <w:tblPr>
        <w:tblStyle w:val="Mkatabulky"/>
        <w:tblW w:w="8787"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50"/>
        <w:gridCol w:w="2551"/>
        <w:gridCol w:w="1134"/>
        <w:gridCol w:w="1134"/>
        <w:gridCol w:w="3118"/>
      </w:tblGrid>
      <w:tr w:rsidR="003D2F14" w:rsidRPr="006070EA" w14:paraId="6A5CC656" w14:textId="77777777" w:rsidTr="00ED4388">
        <w:trPr>
          <w:cantSplit/>
          <w:tblHeader/>
          <w:jc w:val="center"/>
        </w:trPr>
        <w:tc>
          <w:tcPr>
            <w:tcW w:w="850" w:type="dxa"/>
            <w:tcBorders>
              <w:top w:val="nil"/>
              <w:bottom w:val="single" w:sz="12" w:space="0" w:color="auto"/>
              <w:right w:val="single" w:sz="12" w:space="0" w:color="auto"/>
            </w:tcBorders>
            <w:vAlign w:val="center"/>
          </w:tcPr>
          <w:p w14:paraId="1C4BF2C4" w14:textId="77777777" w:rsidR="003D2F14" w:rsidRPr="006070EA" w:rsidRDefault="003D2F14" w:rsidP="00ED4388">
            <w:pPr>
              <w:jc w:val="center"/>
              <w:rPr>
                <w:rFonts w:asciiTheme="majorHAnsi" w:hAnsiTheme="majorHAnsi" w:cstheme="majorHAnsi"/>
                <w:b/>
                <w:sz w:val="18"/>
                <w:szCs w:val="18"/>
              </w:rPr>
            </w:pPr>
            <w:r w:rsidRPr="006070EA">
              <w:rPr>
                <w:rFonts w:asciiTheme="majorHAnsi" w:hAnsiTheme="majorHAnsi" w:cstheme="majorHAnsi"/>
                <w:b/>
                <w:sz w:val="18"/>
                <w:szCs w:val="18"/>
              </w:rPr>
              <w:t>Ozn. plochy v ÚPO</w:t>
            </w:r>
          </w:p>
        </w:tc>
        <w:tc>
          <w:tcPr>
            <w:tcW w:w="2551" w:type="dxa"/>
            <w:tcBorders>
              <w:top w:val="nil"/>
              <w:left w:val="single" w:sz="12" w:space="0" w:color="auto"/>
              <w:bottom w:val="single" w:sz="12" w:space="0" w:color="auto"/>
              <w:right w:val="single" w:sz="12" w:space="0" w:color="auto"/>
            </w:tcBorders>
            <w:vAlign w:val="center"/>
          </w:tcPr>
          <w:p w14:paraId="28AD1482" w14:textId="77777777" w:rsidR="003D2F14" w:rsidRPr="006070EA" w:rsidRDefault="003D2F14" w:rsidP="00ED4388">
            <w:pPr>
              <w:jc w:val="center"/>
              <w:rPr>
                <w:rFonts w:asciiTheme="majorHAnsi" w:hAnsiTheme="majorHAnsi" w:cstheme="majorHAnsi"/>
                <w:b/>
                <w:sz w:val="18"/>
                <w:szCs w:val="18"/>
              </w:rPr>
            </w:pPr>
            <w:r w:rsidRPr="006070EA">
              <w:rPr>
                <w:rFonts w:asciiTheme="majorHAnsi" w:hAnsiTheme="majorHAnsi" w:cstheme="majorHAnsi"/>
                <w:b/>
                <w:sz w:val="18"/>
                <w:szCs w:val="18"/>
              </w:rPr>
              <w:t>Způsob využití v ÚPO</w:t>
            </w:r>
          </w:p>
          <w:p w14:paraId="12F887C3" w14:textId="77777777" w:rsidR="003D2F14" w:rsidRPr="006070EA" w:rsidRDefault="003D2F14" w:rsidP="00ED4388">
            <w:pPr>
              <w:jc w:val="center"/>
              <w:rPr>
                <w:rFonts w:asciiTheme="majorHAnsi" w:hAnsiTheme="majorHAnsi" w:cstheme="majorHAnsi"/>
                <w:b/>
                <w:sz w:val="18"/>
                <w:szCs w:val="18"/>
              </w:rPr>
            </w:pPr>
            <w:r w:rsidRPr="006070EA">
              <w:rPr>
                <w:rFonts w:asciiTheme="majorHAnsi" w:hAnsiTheme="majorHAnsi" w:cstheme="majorHAnsi"/>
                <w:b/>
                <w:sz w:val="18"/>
                <w:szCs w:val="18"/>
              </w:rPr>
              <w:t>Popis / charakter</w:t>
            </w:r>
          </w:p>
        </w:tc>
        <w:tc>
          <w:tcPr>
            <w:tcW w:w="1134" w:type="dxa"/>
            <w:tcBorders>
              <w:top w:val="nil"/>
              <w:left w:val="single" w:sz="12" w:space="0" w:color="auto"/>
              <w:bottom w:val="single" w:sz="12" w:space="0" w:color="auto"/>
              <w:right w:val="single" w:sz="12" w:space="0" w:color="auto"/>
            </w:tcBorders>
            <w:vAlign w:val="center"/>
          </w:tcPr>
          <w:p w14:paraId="637CF0B8" w14:textId="77777777" w:rsidR="003D2F14" w:rsidRPr="006070EA" w:rsidRDefault="003D2F14" w:rsidP="00ED4388">
            <w:pPr>
              <w:jc w:val="center"/>
              <w:rPr>
                <w:rFonts w:asciiTheme="majorHAnsi" w:hAnsiTheme="majorHAnsi" w:cstheme="majorHAnsi"/>
                <w:b/>
                <w:sz w:val="18"/>
                <w:szCs w:val="18"/>
              </w:rPr>
            </w:pPr>
            <w:r w:rsidRPr="006070EA">
              <w:rPr>
                <w:rFonts w:asciiTheme="majorHAnsi" w:hAnsiTheme="majorHAnsi" w:cstheme="majorHAnsi"/>
                <w:b/>
                <w:sz w:val="18"/>
                <w:szCs w:val="18"/>
              </w:rPr>
              <w:t>Odhad počtu RD</w:t>
            </w:r>
          </w:p>
        </w:tc>
        <w:tc>
          <w:tcPr>
            <w:tcW w:w="1134" w:type="dxa"/>
            <w:tcBorders>
              <w:top w:val="nil"/>
              <w:left w:val="single" w:sz="12" w:space="0" w:color="auto"/>
              <w:bottom w:val="single" w:sz="12" w:space="0" w:color="auto"/>
              <w:right w:val="single" w:sz="12" w:space="0" w:color="auto"/>
            </w:tcBorders>
            <w:vAlign w:val="center"/>
          </w:tcPr>
          <w:p w14:paraId="4B2BBB7A" w14:textId="77777777" w:rsidR="003D2F14" w:rsidRPr="006070EA" w:rsidRDefault="003D2F14" w:rsidP="00ED4388">
            <w:pPr>
              <w:jc w:val="center"/>
              <w:rPr>
                <w:rFonts w:asciiTheme="majorHAnsi" w:hAnsiTheme="majorHAnsi" w:cstheme="majorHAnsi"/>
                <w:b/>
                <w:sz w:val="18"/>
                <w:szCs w:val="18"/>
              </w:rPr>
            </w:pPr>
            <w:r w:rsidRPr="006070EA">
              <w:rPr>
                <w:rFonts w:asciiTheme="majorHAnsi" w:hAnsiTheme="majorHAnsi" w:cstheme="majorHAnsi"/>
                <w:b/>
                <w:sz w:val="18"/>
                <w:szCs w:val="18"/>
              </w:rPr>
              <w:t>Využití zastavitelné plochy</w:t>
            </w:r>
          </w:p>
        </w:tc>
        <w:tc>
          <w:tcPr>
            <w:tcW w:w="3118" w:type="dxa"/>
            <w:tcBorders>
              <w:top w:val="nil"/>
              <w:left w:val="single" w:sz="12" w:space="0" w:color="auto"/>
              <w:bottom w:val="single" w:sz="12" w:space="0" w:color="auto"/>
            </w:tcBorders>
            <w:vAlign w:val="center"/>
          </w:tcPr>
          <w:p w14:paraId="67C42217" w14:textId="77777777" w:rsidR="003D2F14" w:rsidRPr="006070EA" w:rsidRDefault="003D2F14" w:rsidP="00ED4388">
            <w:pPr>
              <w:jc w:val="center"/>
              <w:rPr>
                <w:rFonts w:asciiTheme="majorHAnsi" w:hAnsiTheme="majorHAnsi" w:cstheme="majorHAnsi"/>
                <w:b/>
                <w:sz w:val="18"/>
                <w:szCs w:val="18"/>
              </w:rPr>
            </w:pPr>
            <w:r w:rsidRPr="006070EA">
              <w:rPr>
                <w:rFonts w:asciiTheme="majorHAnsi" w:hAnsiTheme="majorHAnsi" w:cstheme="majorHAnsi"/>
                <w:b/>
                <w:sz w:val="18"/>
                <w:szCs w:val="18"/>
              </w:rPr>
              <w:t>Způsob vymezení plochy v ÚP Kostomlaty nad Labem</w:t>
            </w:r>
          </w:p>
        </w:tc>
      </w:tr>
      <w:tr w:rsidR="003D2F14" w:rsidRPr="006070EA" w14:paraId="0F180586" w14:textId="77777777" w:rsidTr="00ED4388">
        <w:trPr>
          <w:cantSplit/>
          <w:jc w:val="center"/>
        </w:trPr>
        <w:tc>
          <w:tcPr>
            <w:tcW w:w="850" w:type="dxa"/>
            <w:tcBorders>
              <w:top w:val="single" w:sz="12" w:space="0" w:color="auto"/>
            </w:tcBorders>
            <w:vAlign w:val="center"/>
          </w:tcPr>
          <w:p w14:paraId="0431C65C" w14:textId="43617EAD"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6</w:t>
            </w:r>
          </w:p>
        </w:tc>
        <w:tc>
          <w:tcPr>
            <w:tcW w:w="2551" w:type="dxa"/>
            <w:tcBorders>
              <w:top w:val="single" w:sz="12" w:space="0" w:color="auto"/>
            </w:tcBorders>
            <w:vAlign w:val="center"/>
          </w:tcPr>
          <w:p w14:paraId="0493673B" w14:textId="77777777"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25EBF191" w14:textId="77777777" w:rsidR="003D2F14" w:rsidRPr="006070EA" w:rsidRDefault="003D2F14" w:rsidP="003D2F14">
            <w:pPr>
              <w:jc w:val="center"/>
              <w:rPr>
                <w:rFonts w:asciiTheme="majorHAnsi" w:hAnsiTheme="majorHAnsi" w:cstheme="majorHAnsi"/>
                <w:sz w:val="18"/>
                <w:szCs w:val="18"/>
              </w:rPr>
            </w:pPr>
            <w:proofErr w:type="gramStart"/>
            <w:r w:rsidRPr="006070EA">
              <w:rPr>
                <w:rFonts w:asciiTheme="majorHAnsi" w:hAnsiTheme="majorHAnsi" w:cstheme="majorHAnsi"/>
                <w:sz w:val="18"/>
                <w:szCs w:val="18"/>
              </w:rPr>
              <w:t>Isolované</w:t>
            </w:r>
            <w:proofErr w:type="gramEnd"/>
            <w:r w:rsidRPr="006070EA">
              <w:rPr>
                <w:rFonts w:asciiTheme="majorHAnsi" w:hAnsiTheme="majorHAnsi" w:cstheme="majorHAnsi"/>
                <w:sz w:val="18"/>
                <w:szCs w:val="18"/>
              </w:rPr>
              <w:t xml:space="preserve"> RD</w:t>
            </w:r>
          </w:p>
        </w:tc>
        <w:tc>
          <w:tcPr>
            <w:tcW w:w="1134" w:type="dxa"/>
            <w:tcBorders>
              <w:top w:val="single" w:sz="12" w:space="0" w:color="auto"/>
            </w:tcBorders>
            <w:vAlign w:val="center"/>
          </w:tcPr>
          <w:p w14:paraId="679F04D1" w14:textId="2B924790"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2-3</w:t>
            </w:r>
          </w:p>
        </w:tc>
        <w:tc>
          <w:tcPr>
            <w:tcW w:w="1134" w:type="dxa"/>
            <w:tcBorders>
              <w:top w:val="single" w:sz="12" w:space="0" w:color="auto"/>
            </w:tcBorders>
            <w:vAlign w:val="center"/>
          </w:tcPr>
          <w:p w14:paraId="5A88A828" w14:textId="453131D6"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0 %</w:t>
            </w:r>
          </w:p>
        </w:tc>
        <w:tc>
          <w:tcPr>
            <w:tcW w:w="3118" w:type="dxa"/>
            <w:tcBorders>
              <w:top w:val="single" w:sz="12" w:space="0" w:color="auto"/>
            </w:tcBorders>
            <w:vAlign w:val="center"/>
          </w:tcPr>
          <w:p w14:paraId="47A7E564" w14:textId="679190D1"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Plocha převzata – vymezena jako zastavitelná plocha Z16 (SV)</w:t>
            </w:r>
          </w:p>
        </w:tc>
      </w:tr>
      <w:tr w:rsidR="003D2F14" w:rsidRPr="006070EA" w14:paraId="06462CA1" w14:textId="77777777" w:rsidTr="00ED4388">
        <w:trPr>
          <w:cantSplit/>
          <w:jc w:val="center"/>
        </w:trPr>
        <w:tc>
          <w:tcPr>
            <w:tcW w:w="850" w:type="dxa"/>
            <w:vAlign w:val="center"/>
          </w:tcPr>
          <w:p w14:paraId="27989124" w14:textId="1D8949BB"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7</w:t>
            </w:r>
          </w:p>
        </w:tc>
        <w:tc>
          <w:tcPr>
            <w:tcW w:w="2551" w:type="dxa"/>
            <w:vAlign w:val="center"/>
          </w:tcPr>
          <w:p w14:paraId="13B97047" w14:textId="77777777"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0B2112FC" w14:textId="4C150638" w:rsidR="003D2F14" w:rsidRPr="006070EA" w:rsidRDefault="003D2F14" w:rsidP="003D2F14">
            <w:pPr>
              <w:jc w:val="center"/>
              <w:rPr>
                <w:rFonts w:asciiTheme="majorHAnsi" w:hAnsiTheme="majorHAnsi" w:cstheme="majorHAnsi"/>
                <w:sz w:val="18"/>
                <w:szCs w:val="18"/>
              </w:rPr>
            </w:pPr>
            <w:proofErr w:type="gramStart"/>
            <w:r w:rsidRPr="006070EA">
              <w:rPr>
                <w:rFonts w:asciiTheme="majorHAnsi" w:hAnsiTheme="majorHAnsi" w:cstheme="majorHAnsi"/>
                <w:sz w:val="18"/>
                <w:szCs w:val="18"/>
              </w:rPr>
              <w:t>Isolované</w:t>
            </w:r>
            <w:proofErr w:type="gramEnd"/>
            <w:r w:rsidRPr="006070EA">
              <w:rPr>
                <w:rFonts w:asciiTheme="majorHAnsi" w:hAnsiTheme="majorHAnsi" w:cstheme="majorHAnsi"/>
                <w:sz w:val="18"/>
                <w:szCs w:val="18"/>
              </w:rPr>
              <w:t xml:space="preserve"> RD</w:t>
            </w:r>
          </w:p>
        </w:tc>
        <w:tc>
          <w:tcPr>
            <w:tcW w:w="1134" w:type="dxa"/>
            <w:vAlign w:val="center"/>
          </w:tcPr>
          <w:p w14:paraId="0EE1F3B0" w14:textId="56566894"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2</w:t>
            </w:r>
          </w:p>
        </w:tc>
        <w:tc>
          <w:tcPr>
            <w:tcW w:w="1134" w:type="dxa"/>
            <w:vAlign w:val="center"/>
          </w:tcPr>
          <w:p w14:paraId="0D4E6BE0" w14:textId="102717A1" w:rsidR="003D2F14" w:rsidRPr="006070EA" w:rsidRDefault="003D2F14" w:rsidP="003D2F14">
            <w:pPr>
              <w:jc w:val="center"/>
              <w:rPr>
                <w:rFonts w:asciiTheme="majorHAnsi" w:hAnsiTheme="majorHAnsi" w:cstheme="majorHAnsi"/>
                <w:color w:val="FF0000"/>
                <w:sz w:val="18"/>
                <w:szCs w:val="18"/>
              </w:rPr>
            </w:pPr>
            <w:r w:rsidRPr="006070EA">
              <w:rPr>
                <w:rFonts w:asciiTheme="majorHAnsi" w:hAnsiTheme="majorHAnsi" w:cstheme="majorHAnsi"/>
                <w:sz w:val="18"/>
                <w:szCs w:val="18"/>
              </w:rPr>
              <w:t>0 %</w:t>
            </w:r>
          </w:p>
        </w:tc>
        <w:tc>
          <w:tcPr>
            <w:tcW w:w="3118" w:type="dxa"/>
            <w:vAlign w:val="center"/>
          </w:tcPr>
          <w:p w14:paraId="148D280D" w14:textId="019543F2" w:rsidR="003D2F14" w:rsidRPr="006070EA" w:rsidRDefault="003D2F14" w:rsidP="003D2F14">
            <w:pPr>
              <w:jc w:val="center"/>
              <w:rPr>
                <w:rFonts w:asciiTheme="majorHAnsi" w:hAnsiTheme="majorHAnsi" w:cstheme="majorHAnsi"/>
                <w:color w:val="FF0000"/>
                <w:sz w:val="18"/>
                <w:szCs w:val="18"/>
              </w:rPr>
            </w:pPr>
            <w:r w:rsidRPr="006070EA">
              <w:rPr>
                <w:rFonts w:asciiTheme="majorHAnsi" w:hAnsiTheme="majorHAnsi" w:cstheme="majorHAnsi"/>
                <w:sz w:val="18"/>
                <w:szCs w:val="18"/>
              </w:rPr>
              <w:t>Plocha převzata – vymezena jako součást zastavitelné plochy Z18 (SV)</w:t>
            </w:r>
          </w:p>
        </w:tc>
      </w:tr>
      <w:tr w:rsidR="003D2F14" w:rsidRPr="006070EA" w14:paraId="13BD3F4D" w14:textId="77777777" w:rsidTr="00ED4388">
        <w:trPr>
          <w:cantSplit/>
          <w:jc w:val="center"/>
        </w:trPr>
        <w:tc>
          <w:tcPr>
            <w:tcW w:w="850" w:type="dxa"/>
            <w:vAlign w:val="center"/>
          </w:tcPr>
          <w:p w14:paraId="4D2ACEEA" w14:textId="0B73E120"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8</w:t>
            </w:r>
          </w:p>
        </w:tc>
        <w:tc>
          <w:tcPr>
            <w:tcW w:w="2551" w:type="dxa"/>
            <w:vAlign w:val="center"/>
          </w:tcPr>
          <w:p w14:paraId="273BD7AD" w14:textId="77777777"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7C6A6656" w14:textId="3DCDC511" w:rsidR="003D2F14" w:rsidRPr="006070EA" w:rsidRDefault="003D2F14" w:rsidP="003D2F14">
            <w:pPr>
              <w:jc w:val="center"/>
              <w:rPr>
                <w:rFonts w:asciiTheme="majorHAnsi" w:hAnsiTheme="majorHAnsi" w:cstheme="majorHAnsi"/>
                <w:sz w:val="18"/>
                <w:szCs w:val="18"/>
              </w:rPr>
            </w:pPr>
            <w:proofErr w:type="gramStart"/>
            <w:r w:rsidRPr="006070EA">
              <w:rPr>
                <w:rFonts w:asciiTheme="majorHAnsi" w:hAnsiTheme="majorHAnsi" w:cstheme="majorHAnsi"/>
                <w:sz w:val="18"/>
                <w:szCs w:val="18"/>
              </w:rPr>
              <w:t>Isolované</w:t>
            </w:r>
            <w:proofErr w:type="gramEnd"/>
            <w:r w:rsidRPr="006070EA">
              <w:rPr>
                <w:rFonts w:asciiTheme="majorHAnsi" w:hAnsiTheme="majorHAnsi" w:cstheme="majorHAnsi"/>
                <w:sz w:val="18"/>
                <w:szCs w:val="18"/>
              </w:rPr>
              <w:t xml:space="preserve"> RD</w:t>
            </w:r>
          </w:p>
        </w:tc>
        <w:tc>
          <w:tcPr>
            <w:tcW w:w="1134" w:type="dxa"/>
            <w:vAlign w:val="center"/>
          </w:tcPr>
          <w:p w14:paraId="18E4E0AA" w14:textId="6E44EAAC"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2-3</w:t>
            </w:r>
          </w:p>
        </w:tc>
        <w:tc>
          <w:tcPr>
            <w:tcW w:w="1134" w:type="dxa"/>
            <w:vAlign w:val="center"/>
          </w:tcPr>
          <w:p w14:paraId="1F8B9122" w14:textId="447DA6B1" w:rsidR="003D2F14" w:rsidRPr="006070EA" w:rsidRDefault="003D2F14" w:rsidP="003D2F14">
            <w:pPr>
              <w:jc w:val="center"/>
              <w:rPr>
                <w:rFonts w:asciiTheme="majorHAnsi" w:hAnsiTheme="majorHAnsi" w:cstheme="majorHAnsi"/>
                <w:color w:val="FF0000"/>
                <w:sz w:val="18"/>
                <w:szCs w:val="18"/>
              </w:rPr>
            </w:pPr>
            <w:r w:rsidRPr="006070EA">
              <w:rPr>
                <w:rFonts w:asciiTheme="majorHAnsi" w:hAnsiTheme="majorHAnsi" w:cstheme="majorHAnsi"/>
                <w:sz w:val="18"/>
                <w:szCs w:val="18"/>
              </w:rPr>
              <w:t>0 %</w:t>
            </w:r>
          </w:p>
        </w:tc>
        <w:tc>
          <w:tcPr>
            <w:tcW w:w="3118" w:type="dxa"/>
            <w:vAlign w:val="center"/>
          </w:tcPr>
          <w:p w14:paraId="484B81BE" w14:textId="32294B88" w:rsidR="003D2F14" w:rsidRPr="006070EA" w:rsidRDefault="003D2F14" w:rsidP="003D2F14">
            <w:pPr>
              <w:jc w:val="center"/>
              <w:rPr>
                <w:rFonts w:asciiTheme="majorHAnsi" w:hAnsiTheme="majorHAnsi" w:cstheme="majorHAnsi"/>
                <w:color w:val="FF0000"/>
                <w:sz w:val="18"/>
                <w:szCs w:val="18"/>
              </w:rPr>
            </w:pPr>
            <w:r w:rsidRPr="006070EA">
              <w:rPr>
                <w:rFonts w:asciiTheme="majorHAnsi" w:hAnsiTheme="majorHAnsi" w:cstheme="majorHAnsi"/>
                <w:sz w:val="18"/>
                <w:szCs w:val="18"/>
              </w:rPr>
              <w:t>Plocha převzata – vymezena jako součást zastavitelné plochy Z18 (SV)</w:t>
            </w:r>
          </w:p>
        </w:tc>
      </w:tr>
      <w:tr w:rsidR="003D2F14" w:rsidRPr="006070EA" w14:paraId="029DDD97" w14:textId="77777777" w:rsidTr="00ED4388">
        <w:trPr>
          <w:cantSplit/>
          <w:jc w:val="center"/>
        </w:trPr>
        <w:tc>
          <w:tcPr>
            <w:tcW w:w="850" w:type="dxa"/>
            <w:vAlign w:val="center"/>
          </w:tcPr>
          <w:p w14:paraId="5E322850" w14:textId="72AC4B22"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9</w:t>
            </w:r>
          </w:p>
        </w:tc>
        <w:tc>
          <w:tcPr>
            <w:tcW w:w="2551" w:type="dxa"/>
            <w:vAlign w:val="center"/>
          </w:tcPr>
          <w:p w14:paraId="2157ADD5" w14:textId="77777777"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7CD35CAF" w14:textId="3BB47695" w:rsidR="003D2F14" w:rsidRPr="006070EA" w:rsidRDefault="003D2F14" w:rsidP="003D2F14">
            <w:pPr>
              <w:jc w:val="center"/>
              <w:rPr>
                <w:rFonts w:asciiTheme="majorHAnsi" w:hAnsiTheme="majorHAnsi" w:cstheme="majorHAnsi"/>
                <w:sz w:val="18"/>
                <w:szCs w:val="18"/>
              </w:rPr>
            </w:pPr>
            <w:proofErr w:type="gramStart"/>
            <w:r w:rsidRPr="006070EA">
              <w:rPr>
                <w:rFonts w:asciiTheme="majorHAnsi" w:hAnsiTheme="majorHAnsi" w:cstheme="majorHAnsi"/>
                <w:sz w:val="18"/>
                <w:szCs w:val="18"/>
              </w:rPr>
              <w:t>Isolované</w:t>
            </w:r>
            <w:proofErr w:type="gramEnd"/>
            <w:r w:rsidRPr="006070EA">
              <w:rPr>
                <w:rFonts w:asciiTheme="majorHAnsi" w:hAnsiTheme="majorHAnsi" w:cstheme="majorHAnsi"/>
                <w:sz w:val="18"/>
                <w:szCs w:val="18"/>
              </w:rPr>
              <w:t xml:space="preserve"> RD</w:t>
            </w:r>
          </w:p>
        </w:tc>
        <w:tc>
          <w:tcPr>
            <w:tcW w:w="1134" w:type="dxa"/>
            <w:vAlign w:val="center"/>
          </w:tcPr>
          <w:p w14:paraId="53979B23" w14:textId="02CDB1B5" w:rsidR="003D2F14" w:rsidRPr="006070EA" w:rsidRDefault="003D2F14" w:rsidP="003D2F14">
            <w:pPr>
              <w:jc w:val="center"/>
              <w:rPr>
                <w:rFonts w:asciiTheme="majorHAnsi" w:hAnsiTheme="majorHAnsi" w:cstheme="majorHAnsi"/>
                <w:sz w:val="18"/>
                <w:szCs w:val="18"/>
              </w:rPr>
            </w:pPr>
            <w:r w:rsidRPr="006070EA">
              <w:rPr>
                <w:rFonts w:asciiTheme="majorHAnsi" w:hAnsiTheme="majorHAnsi" w:cstheme="majorHAnsi"/>
                <w:sz w:val="18"/>
                <w:szCs w:val="18"/>
              </w:rPr>
              <w:t>5</w:t>
            </w:r>
          </w:p>
        </w:tc>
        <w:tc>
          <w:tcPr>
            <w:tcW w:w="1134" w:type="dxa"/>
            <w:vAlign w:val="center"/>
          </w:tcPr>
          <w:p w14:paraId="7A276767" w14:textId="16652F3D" w:rsidR="003D2F14" w:rsidRPr="006070EA" w:rsidRDefault="003D2F14" w:rsidP="003D2F14">
            <w:pPr>
              <w:jc w:val="center"/>
              <w:rPr>
                <w:rFonts w:asciiTheme="majorHAnsi" w:hAnsiTheme="majorHAnsi" w:cstheme="majorHAnsi"/>
                <w:color w:val="FF0000"/>
                <w:sz w:val="18"/>
                <w:szCs w:val="18"/>
              </w:rPr>
            </w:pPr>
            <w:r w:rsidRPr="006070EA">
              <w:rPr>
                <w:rFonts w:asciiTheme="majorHAnsi" w:hAnsiTheme="majorHAnsi" w:cstheme="majorHAnsi"/>
                <w:sz w:val="18"/>
                <w:szCs w:val="18"/>
              </w:rPr>
              <w:t>0 %</w:t>
            </w:r>
          </w:p>
        </w:tc>
        <w:tc>
          <w:tcPr>
            <w:tcW w:w="3118" w:type="dxa"/>
            <w:vAlign w:val="center"/>
          </w:tcPr>
          <w:p w14:paraId="54B6C484" w14:textId="5DEA422E" w:rsidR="003D2F14" w:rsidRPr="006070EA" w:rsidRDefault="003D2F14" w:rsidP="003D2F14">
            <w:pPr>
              <w:jc w:val="center"/>
              <w:rPr>
                <w:rFonts w:asciiTheme="majorHAnsi" w:hAnsiTheme="majorHAnsi" w:cstheme="majorHAnsi"/>
                <w:color w:val="FF0000"/>
                <w:sz w:val="18"/>
                <w:szCs w:val="18"/>
              </w:rPr>
            </w:pPr>
            <w:r w:rsidRPr="006070EA">
              <w:rPr>
                <w:rFonts w:asciiTheme="majorHAnsi" w:hAnsiTheme="majorHAnsi" w:cstheme="majorHAnsi"/>
                <w:sz w:val="18"/>
                <w:szCs w:val="18"/>
              </w:rPr>
              <w:t>Plocha převzata – vymezena jako součást zastavitelné plochy Z19 (SV)</w:t>
            </w:r>
          </w:p>
        </w:tc>
      </w:tr>
      <w:tr w:rsidR="005D116A" w:rsidRPr="006070EA" w14:paraId="60A4186B" w14:textId="77777777" w:rsidTr="00ED4388">
        <w:trPr>
          <w:cantSplit/>
          <w:jc w:val="center"/>
        </w:trPr>
        <w:tc>
          <w:tcPr>
            <w:tcW w:w="850" w:type="dxa"/>
            <w:vAlign w:val="center"/>
          </w:tcPr>
          <w:p w14:paraId="7D4A90F7" w14:textId="2A928CEB"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10</w:t>
            </w:r>
          </w:p>
        </w:tc>
        <w:tc>
          <w:tcPr>
            <w:tcW w:w="2551" w:type="dxa"/>
            <w:vAlign w:val="center"/>
          </w:tcPr>
          <w:p w14:paraId="53BB4EAE" w14:textId="77777777"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439AACA8" w14:textId="53C6576E" w:rsidR="005D116A" w:rsidRPr="006070EA" w:rsidRDefault="005D116A" w:rsidP="005D116A">
            <w:pPr>
              <w:jc w:val="center"/>
              <w:rPr>
                <w:rFonts w:asciiTheme="majorHAnsi" w:hAnsiTheme="majorHAnsi" w:cstheme="majorHAnsi"/>
                <w:sz w:val="18"/>
                <w:szCs w:val="18"/>
              </w:rPr>
            </w:pPr>
            <w:proofErr w:type="gramStart"/>
            <w:r w:rsidRPr="006070EA">
              <w:rPr>
                <w:rFonts w:asciiTheme="majorHAnsi" w:hAnsiTheme="majorHAnsi" w:cstheme="majorHAnsi"/>
                <w:sz w:val="18"/>
                <w:szCs w:val="18"/>
              </w:rPr>
              <w:t>Isolované</w:t>
            </w:r>
            <w:proofErr w:type="gramEnd"/>
            <w:r w:rsidRPr="006070EA">
              <w:rPr>
                <w:rFonts w:asciiTheme="majorHAnsi" w:hAnsiTheme="majorHAnsi" w:cstheme="majorHAnsi"/>
                <w:sz w:val="18"/>
                <w:szCs w:val="18"/>
              </w:rPr>
              <w:t xml:space="preserve"> RD</w:t>
            </w:r>
          </w:p>
        </w:tc>
        <w:tc>
          <w:tcPr>
            <w:tcW w:w="1134" w:type="dxa"/>
            <w:vAlign w:val="center"/>
          </w:tcPr>
          <w:p w14:paraId="1FDE7D1A" w14:textId="2D03D3B6"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2</w:t>
            </w:r>
          </w:p>
        </w:tc>
        <w:tc>
          <w:tcPr>
            <w:tcW w:w="1134" w:type="dxa"/>
            <w:vAlign w:val="center"/>
          </w:tcPr>
          <w:p w14:paraId="357220A5" w14:textId="77777777"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0 %</w:t>
            </w:r>
          </w:p>
        </w:tc>
        <w:tc>
          <w:tcPr>
            <w:tcW w:w="3118" w:type="dxa"/>
            <w:vAlign w:val="center"/>
          </w:tcPr>
          <w:p w14:paraId="1F9CE258" w14:textId="7011B28D"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Plocha zahrnuta do zastavěného území jako stabilizovaná plocha (SV) – rezerva v zastavěném území (viz kapitola 10.1)</w:t>
            </w:r>
          </w:p>
        </w:tc>
      </w:tr>
      <w:tr w:rsidR="005D116A" w:rsidRPr="006070EA" w14:paraId="0152F176" w14:textId="77777777" w:rsidTr="00ED4388">
        <w:trPr>
          <w:cantSplit/>
          <w:jc w:val="center"/>
        </w:trPr>
        <w:tc>
          <w:tcPr>
            <w:tcW w:w="850" w:type="dxa"/>
            <w:vAlign w:val="center"/>
          </w:tcPr>
          <w:p w14:paraId="61E8BE0B" w14:textId="0C5CF8EA"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14</w:t>
            </w:r>
          </w:p>
        </w:tc>
        <w:tc>
          <w:tcPr>
            <w:tcW w:w="2551" w:type="dxa"/>
            <w:vAlign w:val="center"/>
          </w:tcPr>
          <w:p w14:paraId="6B1B825B" w14:textId="77777777"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38CF853D" w14:textId="30E08BDA" w:rsidR="005D116A" w:rsidRPr="006070EA" w:rsidRDefault="005D116A" w:rsidP="005D116A">
            <w:pPr>
              <w:jc w:val="center"/>
              <w:rPr>
                <w:rFonts w:asciiTheme="majorHAnsi" w:hAnsiTheme="majorHAnsi" w:cstheme="majorHAnsi"/>
                <w:sz w:val="18"/>
                <w:szCs w:val="18"/>
              </w:rPr>
            </w:pPr>
            <w:proofErr w:type="gramStart"/>
            <w:r w:rsidRPr="006070EA">
              <w:rPr>
                <w:rFonts w:asciiTheme="majorHAnsi" w:hAnsiTheme="majorHAnsi" w:cstheme="majorHAnsi"/>
                <w:sz w:val="18"/>
                <w:szCs w:val="18"/>
              </w:rPr>
              <w:t>Isolovaný</w:t>
            </w:r>
            <w:proofErr w:type="gramEnd"/>
          </w:p>
        </w:tc>
        <w:tc>
          <w:tcPr>
            <w:tcW w:w="1134" w:type="dxa"/>
            <w:vAlign w:val="center"/>
          </w:tcPr>
          <w:p w14:paraId="0C373574" w14:textId="3161EC35"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1</w:t>
            </w:r>
          </w:p>
        </w:tc>
        <w:tc>
          <w:tcPr>
            <w:tcW w:w="1134" w:type="dxa"/>
            <w:vAlign w:val="center"/>
          </w:tcPr>
          <w:p w14:paraId="3D0A50C6" w14:textId="3F003949"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0 %</w:t>
            </w:r>
          </w:p>
        </w:tc>
        <w:tc>
          <w:tcPr>
            <w:tcW w:w="3118" w:type="dxa"/>
            <w:vAlign w:val="center"/>
          </w:tcPr>
          <w:p w14:paraId="4FC98728" w14:textId="5F5F7851"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 xml:space="preserve">Plocha převzata – vymezena jako součást zastavitelné plochy Z17 (SV) </w:t>
            </w:r>
          </w:p>
        </w:tc>
      </w:tr>
    </w:tbl>
    <w:p w14:paraId="1249A188" w14:textId="3FBED59C" w:rsidR="003D2F14" w:rsidRPr="006070EA" w:rsidRDefault="003D2F14" w:rsidP="003D2F14">
      <w:pPr>
        <w:keepNext/>
        <w:spacing w:before="120" w:after="120" w:line="240" w:lineRule="auto"/>
        <w:jc w:val="both"/>
        <w:rPr>
          <w:rFonts w:asciiTheme="majorHAnsi" w:hAnsiTheme="majorHAnsi" w:cstheme="majorHAnsi"/>
          <w:iCs/>
          <w:sz w:val="18"/>
          <w:szCs w:val="18"/>
        </w:rPr>
      </w:pPr>
      <w:r w:rsidRPr="006070EA">
        <w:rPr>
          <w:rFonts w:asciiTheme="majorHAnsi" w:hAnsiTheme="majorHAnsi" w:cstheme="majorHAnsi"/>
          <w:i/>
          <w:sz w:val="18"/>
          <w:szCs w:val="18"/>
        </w:rPr>
        <w:t>Závěrečné zhodnocení</w:t>
      </w:r>
      <w:r w:rsidRPr="006070EA">
        <w:rPr>
          <w:rFonts w:asciiTheme="majorHAnsi" w:hAnsiTheme="majorHAnsi" w:cstheme="majorHAnsi"/>
          <w:iCs/>
          <w:sz w:val="18"/>
          <w:szCs w:val="18"/>
        </w:rPr>
        <w:t xml:space="preserve">: zastavitelné plochy vymezené v ÚPO v rámci sídla </w:t>
      </w:r>
      <w:r w:rsidR="005D116A" w:rsidRPr="006070EA">
        <w:rPr>
          <w:rFonts w:asciiTheme="majorHAnsi" w:hAnsiTheme="majorHAnsi" w:cstheme="majorHAnsi"/>
          <w:iCs/>
          <w:sz w:val="18"/>
          <w:szCs w:val="18"/>
        </w:rPr>
        <w:t>Lány nebyly dosud</w:t>
      </w:r>
      <w:r w:rsidRPr="006070EA">
        <w:rPr>
          <w:rFonts w:asciiTheme="majorHAnsi" w:hAnsiTheme="majorHAnsi" w:cstheme="majorHAnsi"/>
          <w:iCs/>
          <w:sz w:val="18"/>
          <w:szCs w:val="18"/>
        </w:rPr>
        <w:t xml:space="preserve"> využity</w:t>
      </w:r>
      <w:r w:rsidR="005D116A" w:rsidRPr="006070EA">
        <w:rPr>
          <w:rFonts w:asciiTheme="majorHAnsi" w:hAnsiTheme="majorHAnsi" w:cstheme="majorHAnsi"/>
          <w:iCs/>
          <w:sz w:val="18"/>
          <w:szCs w:val="18"/>
        </w:rPr>
        <w:t xml:space="preserve"> </w:t>
      </w:r>
      <w:r w:rsidRPr="006070EA">
        <w:rPr>
          <w:rFonts w:asciiTheme="majorHAnsi" w:hAnsiTheme="majorHAnsi" w:cstheme="majorHAnsi"/>
          <w:iCs/>
          <w:sz w:val="18"/>
          <w:szCs w:val="18"/>
        </w:rPr>
        <w:t>a jsou převzaty a</w:t>
      </w:r>
      <w:r w:rsidR="005D116A" w:rsidRPr="006070EA">
        <w:rPr>
          <w:rFonts w:asciiTheme="majorHAnsi" w:hAnsiTheme="majorHAnsi" w:cstheme="majorHAnsi"/>
          <w:iCs/>
          <w:sz w:val="18"/>
          <w:szCs w:val="18"/>
        </w:rPr>
        <w:t> </w:t>
      </w:r>
      <w:r w:rsidRPr="006070EA">
        <w:rPr>
          <w:rFonts w:asciiTheme="majorHAnsi" w:hAnsiTheme="majorHAnsi" w:cstheme="majorHAnsi"/>
          <w:iCs/>
          <w:sz w:val="18"/>
          <w:szCs w:val="18"/>
        </w:rPr>
        <w:t>vymezeny jako součásti nových zastavitelných ploch v návrhu ÚP Kostomlaty nad Labem</w:t>
      </w:r>
      <w:r w:rsidR="005D116A" w:rsidRPr="006070EA">
        <w:rPr>
          <w:rFonts w:asciiTheme="majorHAnsi" w:hAnsiTheme="majorHAnsi" w:cstheme="majorHAnsi"/>
          <w:iCs/>
          <w:sz w:val="18"/>
          <w:szCs w:val="18"/>
        </w:rPr>
        <w:t xml:space="preserve"> v souvislosti s vyhodnocením žádostí na změnu využití v této části území (viz kapitola 10.5).</w:t>
      </w:r>
    </w:p>
    <w:p w14:paraId="0027C37D" w14:textId="4CD63E32" w:rsidR="005D116A" w:rsidRPr="006070EA" w:rsidRDefault="005D116A" w:rsidP="005D116A">
      <w:pPr>
        <w:keepNext/>
        <w:spacing w:before="120" w:after="60" w:line="240" w:lineRule="auto"/>
        <w:jc w:val="both"/>
        <w:rPr>
          <w:rFonts w:asciiTheme="majorHAnsi" w:hAnsiTheme="majorHAnsi" w:cstheme="majorHAnsi"/>
          <w:i/>
          <w:sz w:val="18"/>
          <w:szCs w:val="18"/>
          <w:u w:val="single"/>
        </w:rPr>
      </w:pPr>
      <w:r w:rsidRPr="006070EA">
        <w:rPr>
          <w:rFonts w:asciiTheme="majorHAnsi" w:hAnsiTheme="majorHAnsi" w:cstheme="majorHAnsi"/>
          <w:i/>
          <w:sz w:val="18"/>
          <w:szCs w:val="18"/>
          <w:u w:val="single"/>
        </w:rPr>
        <w:t>Část obce Hronětice</w:t>
      </w:r>
    </w:p>
    <w:tbl>
      <w:tblPr>
        <w:tblStyle w:val="Mkatabulky"/>
        <w:tblW w:w="8787"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50"/>
        <w:gridCol w:w="2551"/>
        <w:gridCol w:w="1134"/>
        <w:gridCol w:w="1134"/>
        <w:gridCol w:w="3118"/>
      </w:tblGrid>
      <w:tr w:rsidR="005D116A" w:rsidRPr="006070EA" w14:paraId="33568594" w14:textId="77777777" w:rsidTr="00ED4388">
        <w:trPr>
          <w:cantSplit/>
          <w:tblHeader/>
          <w:jc w:val="center"/>
        </w:trPr>
        <w:tc>
          <w:tcPr>
            <w:tcW w:w="850" w:type="dxa"/>
            <w:tcBorders>
              <w:top w:val="nil"/>
              <w:bottom w:val="single" w:sz="12" w:space="0" w:color="auto"/>
              <w:right w:val="single" w:sz="12" w:space="0" w:color="auto"/>
            </w:tcBorders>
            <w:vAlign w:val="center"/>
          </w:tcPr>
          <w:p w14:paraId="10833ACD" w14:textId="77777777" w:rsidR="005D116A" w:rsidRPr="006070EA" w:rsidRDefault="005D116A" w:rsidP="00ED4388">
            <w:pPr>
              <w:jc w:val="center"/>
              <w:rPr>
                <w:rFonts w:asciiTheme="majorHAnsi" w:hAnsiTheme="majorHAnsi" w:cstheme="majorHAnsi"/>
                <w:b/>
                <w:sz w:val="18"/>
                <w:szCs w:val="18"/>
              </w:rPr>
            </w:pPr>
            <w:r w:rsidRPr="006070EA">
              <w:rPr>
                <w:rFonts w:asciiTheme="majorHAnsi" w:hAnsiTheme="majorHAnsi" w:cstheme="majorHAnsi"/>
                <w:b/>
                <w:sz w:val="18"/>
                <w:szCs w:val="18"/>
              </w:rPr>
              <w:t>Ozn. plochy v ÚPO</w:t>
            </w:r>
          </w:p>
        </w:tc>
        <w:tc>
          <w:tcPr>
            <w:tcW w:w="2551" w:type="dxa"/>
            <w:tcBorders>
              <w:top w:val="nil"/>
              <w:left w:val="single" w:sz="12" w:space="0" w:color="auto"/>
              <w:bottom w:val="single" w:sz="12" w:space="0" w:color="auto"/>
              <w:right w:val="single" w:sz="12" w:space="0" w:color="auto"/>
            </w:tcBorders>
            <w:vAlign w:val="center"/>
          </w:tcPr>
          <w:p w14:paraId="15737A48" w14:textId="77777777" w:rsidR="005D116A" w:rsidRPr="006070EA" w:rsidRDefault="005D116A" w:rsidP="00ED4388">
            <w:pPr>
              <w:jc w:val="center"/>
              <w:rPr>
                <w:rFonts w:asciiTheme="majorHAnsi" w:hAnsiTheme="majorHAnsi" w:cstheme="majorHAnsi"/>
                <w:b/>
                <w:sz w:val="18"/>
                <w:szCs w:val="18"/>
              </w:rPr>
            </w:pPr>
            <w:r w:rsidRPr="006070EA">
              <w:rPr>
                <w:rFonts w:asciiTheme="majorHAnsi" w:hAnsiTheme="majorHAnsi" w:cstheme="majorHAnsi"/>
                <w:b/>
                <w:sz w:val="18"/>
                <w:szCs w:val="18"/>
              </w:rPr>
              <w:t>Způsob využití v ÚPO</w:t>
            </w:r>
          </w:p>
          <w:p w14:paraId="0A26D9A8" w14:textId="77777777" w:rsidR="005D116A" w:rsidRPr="006070EA" w:rsidRDefault="005D116A" w:rsidP="00ED4388">
            <w:pPr>
              <w:jc w:val="center"/>
              <w:rPr>
                <w:rFonts w:asciiTheme="majorHAnsi" w:hAnsiTheme="majorHAnsi" w:cstheme="majorHAnsi"/>
                <w:b/>
                <w:sz w:val="18"/>
                <w:szCs w:val="18"/>
              </w:rPr>
            </w:pPr>
            <w:r w:rsidRPr="006070EA">
              <w:rPr>
                <w:rFonts w:asciiTheme="majorHAnsi" w:hAnsiTheme="majorHAnsi" w:cstheme="majorHAnsi"/>
                <w:b/>
                <w:sz w:val="18"/>
                <w:szCs w:val="18"/>
              </w:rPr>
              <w:t>Popis / charakter</w:t>
            </w:r>
          </w:p>
        </w:tc>
        <w:tc>
          <w:tcPr>
            <w:tcW w:w="1134" w:type="dxa"/>
            <w:tcBorders>
              <w:top w:val="nil"/>
              <w:left w:val="single" w:sz="12" w:space="0" w:color="auto"/>
              <w:bottom w:val="single" w:sz="12" w:space="0" w:color="auto"/>
              <w:right w:val="single" w:sz="12" w:space="0" w:color="auto"/>
            </w:tcBorders>
            <w:vAlign w:val="center"/>
          </w:tcPr>
          <w:p w14:paraId="0F78C23B" w14:textId="77777777" w:rsidR="005D116A" w:rsidRPr="006070EA" w:rsidRDefault="005D116A" w:rsidP="00ED4388">
            <w:pPr>
              <w:jc w:val="center"/>
              <w:rPr>
                <w:rFonts w:asciiTheme="majorHAnsi" w:hAnsiTheme="majorHAnsi" w:cstheme="majorHAnsi"/>
                <w:b/>
                <w:sz w:val="18"/>
                <w:szCs w:val="18"/>
              </w:rPr>
            </w:pPr>
            <w:r w:rsidRPr="006070EA">
              <w:rPr>
                <w:rFonts w:asciiTheme="majorHAnsi" w:hAnsiTheme="majorHAnsi" w:cstheme="majorHAnsi"/>
                <w:b/>
                <w:sz w:val="18"/>
                <w:szCs w:val="18"/>
              </w:rPr>
              <w:t>Odhad počtu RD</w:t>
            </w:r>
          </w:p>
        </w:tc>
        <w:tc>
          <w:tcPr>
            <w:tcW w:w="1134" w:type="dxa"/>
            <w:tcBorders>
              <w:top w:val="nil"/>
              <w:left w:val="single" w:sz="12" w:space="0" w:color="auto"/>
              <w:bottom w:val="single" w:sz="12" w:space="0" w:color="auto"/>
              <w:right w:val="single" w:sz="12" w:space="0" w:color="auto"/>
            </w:tcBorders>
            <w:vAlign w:val="center"/>
          </w:tcPr>
          <w:p w14:paraId="26BFFFF2" w14:textId="77777777" w:rsidR="005D116A" w:rsidRPr="006070EA" w:rsidRDefault="005D116A" w:rsidP="00ED4388">
            <w:pPr>
              <w:jc w:val="center"/>
              <w:rPr>
                <w:rFonts w:asciiTheme="majorHAnsi" w:hAnsiTheme="majorHAnsi" w:cstheme="majorHAnsi"/>
                <w:b/>
                <w:sz w:val="18"/>
                <w:szCs w:val="18"/>
              </w:rPr>
            </w:pPr>
            <w:r w:rsidRPr="006070EA">
              <w:rPr>
                <w:rFonts w:asciiTheme="majorHAnsi" w:hAnsiTheme="majorHAnsi" w:cstheme="majorHAnsi"/>
                <w:b/>
                <w:sz w:val="18"/>
                <w:szCs w:val="18"/>
              </w:rPr>
              <w:t>Využití zastavitelné plochy</w:t>
            </w:r>
          </w:p>
        </w:tc>
        <w:tc>
          <w:tcPr>
            <w:tcW w:w="3118" w:type="dxa"/>
            <w:tcBorders>
              <w:top w:val="nil"/>
              <w:left w:val="single" w:sz="12" w:space="0" w:color="auto"/>
              <w:bottom w:val="single" w:sz="12" w:space="0" w:color="auto"/>
            </w:tcBorders>
            <w:vAlign w:val="center"/>
          </w:tcPr>
          <w:p w14:paraId="2ECAC0E3" w14:textId="77777777" w:rsidR="005D116A" w:rsidRPr="006070EA" w:rsidRDefault="005D116A" w:rsidP="00ED4388">
            <w:pPr>
              <w:jc w:val="center"/>
              <w:rPr>
                <w:rFonts w:asciiTheme="majorHAnsi" w:hAnsiTheme="majorHAnsi" w:cstheme="majorHAnsi"/>
                <w:b/>
                <w:sz w:val="18"/>
                <w:szCs w:val="18"/>
              </w:rPr>
            </w:pPr>
            <w:r w:rsidRPr="006070EA">
              <w:rPr>
                <w:rFonts w:asciiTheme="majorHAnsi" w:hAnsiTheme="majorHAnsi" w:cstheme="majorHAnsi"/>
                <w:b/>
                <w:sz w:val="18"/>
                <w:szCs w:val="18"/>
              </w:rPr>
              <w:t>Způsob vymezení plochy v ÚP Kostomlaty nad Labem</w:t>
            </w:r>
          </w:p>
        </w:tc>
      </w:tr>
      <w:tr w:rsidR="005D116A" w:rsidRPr="006070EA" w14:paraId="2DB0532E" w14:textId="77777777" w:rsidTr="00ED4388">
        <w:trPr>
          <w:cantSplit/>
          <w:jc w:val="center"/>
        </w:trPr>
        <w:tc>
          <w:tcPr>
            <w:tcW w:w="850" w:type="dxa"/>
            <w:tcBorders>
              <w:top w:val="single" w:sz="12" w:space="0" w:color="auto"/>
            </w:tcBorders>
            <w:vAlign w:val="center"/>
          </w:tcPr>
          <w:p w14:paraId="194F52B0" w14:textId="614185FB"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11</w:t>
            </w:r>
          </w:p>
        </w:tc>
        <w:tc>
          <w:tcPr>
            <w:tcW w:w="2551" w:type="dxa"/>
            <w:tcBorders>
              <w:top w:val="single" w:sz="12" w:space="0" w:color="auto"/>
            </w:tcBorders>
            <w:vAlign w:val="center"/>
          </w:tcPr>
          <w:p w14:paraId="1323EE33" w14:textId="77777777"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Rodinné domy</w:t>
            </w:r>
          </w:p>
          <w:p w14:paraId="6475E035" w14:textId="77777777" w:rsidR="005D116A" w:rsidRPr="006070EA" w:rsidRDefault="005D116A" w:rsidP="005D116A">
            <w:pPr>
              <w:jc w:val="center"/>
              <w:rPr>
                <w:rFonts w:asciiTheme="majorHAnsi" w:hAnsiTheme="majorHAnsi" w:cstheme="majorHAnsi"/>
                <w:sz w:val="18"/>
                <w:szCs w:val="18"/>
              </w:rPr>
            </w:pPr>
            <w:proofErr w:type="gramStart"/>
            <w:r w:rsidRPr="006070EA">
              <w:rPr>
                <w:rFonts w:asciiTheme="majorHAnsi" w:hAnsiTheme="majorHAnsi" w:cstheme="majorHAnsi"/>
                <w:sz w:val="18"/>
                <w:szCs w:val="18"/>
              </w:rPr>
              <w:t>Isolované</w:t>
            </w:r>
            <w:proofErr w:type="gramEnd"/>
            <w:r w:rsidRPr="006070EA">
              <w:rPr>
                <w:rFonts w:asciiTheme="majorHAnsi" w:hAnsiTheme="majorHAnsi" w:cstheme="majorHAnsi"/>
                <w:sz w:val="18"/>
                <w:szCs w:val="18"/>
              </w:rPr>
              <w:t xml:space="preserve"> RD</w:t>
            </w:r>
          </w:p>
        </w:tc>
        <w:tc>
          <w:tcPr>
            <w:tcW w:w="1134" w:type="dxa"/>
            <w:tcBorders>
              <w:top w:val="single" w:sz="12" w:space="0" w:color="auto"/>
            </w:tcBorders>
            <w:vAlign w:val="center"/>
          </w:tcPr>
          <w:p w14:paraId="19274E9D" w14:textId="4FF41581"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10-12</w:t>
            </w:r>
          </w:p>
        </w:tc>
        <w:tc>
          <w:tcPr>
            <w:tcW w:w="1134" w:type="dxa"/>
            <w:tcBorders>
              <w:top w:val="single" w:sz="12" w:space="0" w:color="auto"/>
            </w:tcBorders>
            <w:vAlign w:val="center"/>
          </w:tcPr>
          <w:p w14:paraId="13FF8C18" w14:textId="4D7E7D7C"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10 %</w:t>
            </w:r>
          </w:p>
        </w:tc>
        <w:tc>
          <w:tcPr>
            <w:tcW w:w="3118" w:type="dxa"/>
            <w:tcBorders>
              <w:top w:val="single" w:sz="12" w:space="0" w:color="auto"/>
            </w:tcBorders>
            <w:vAlign w:val="center"/>
          </w:tcPr>
          <w:p w14:paraId="4DAE2AE4" w14:textId="30D5B71C" w:rsidR="005D116A" w:rsidRPr="006070EA" w:rsidRDefault="005D116A" w:rsidP="005D116A">
            <w:pPr>
              <w:jc w:val="center"/>
              <w:rPr>
                <w:rFonts w:asciiTheme="majorHAnsi" w:hAnsiTheme="majorHAnsi" w:cstheme="majorHAnsi"/>
                <w:sz w:val="18"/>
                <w:szCs w:val="18"/>
              </w:rPr>
            </w:pPr>
            <w:r w:rsidRPr="006070EA">
              <w:rPr>
                <w:rFonts w:asciiTheme="majorHAnsi" w:hAnsiTheme="majorHAnsi" w:cstheme="majorHAnsi"/>
                <w:sz w:val="18"/>
                <w:szCs w:val="18"/>
              </w:rPr>
              <w:t>Plocha zahrnuta do zastavěného území jako stabilizovaná plocha (SV) – rezerva v zastavěném území (viz kapitola 10.1)</w:t>
            </w:r>
          </w:p>
        </w:tc>
      </w:tr>
    </w:tbl>
    <w:p w14:paraId="505CFD17" w14:textId="71165F21" w:rsidR="005D116A" w:rsidRPr="006070EA" w:rsidRDefault="005D116A" w:rsidP="005D116A">
      <w:pPr>
        <w:keepNext/>
        <w:spacing w:before="120" w:after="120" w:line="240" w:lineRule="auto"/>
        <w:jc w:val="both"/>
        <w:rPr>
          <w:rFonts w:asciiTheme="majorHAnsi" w:hAnsiTheme="majorHAnsi" w:cstheme="majorHAnsi"/>
          <w:iCs/>
          <w:sz w:val="18"/>
          <w:szCs w:val="18"/>
        </w:rPr>
      </w:pPr>
      <w:r w:rsidRPr="006070EA">
        <w:rPr>
          <w:rFonts w:asciiTheme="majorHAnsi" w:hAnsiTheme="majorHAnsi" w:cstheme="majorHAnsi"/>
          <w:i/>
          <w:sz w:val="18"/>
          <w:szCs w:val="18"/>
        </w:rPr>
        <w:t>Závěrečné zhodnocení</w:t>
      </w:r>
      <w:r w:rsidRPr="006070EA">
        <w:rPr>
          <w:rFonts w:asciiTheme="majorHAnsi" w:hAnsiTheme="majorHAnsi" w:cstheme="majorHAnsi"/>
          <w:iCs/>
          <w:sz w:val="18"/>
          <w:szCs w:val="18"/>
        </w:rPr>
        <w:t>: zastavitelná plocha vymezená v ÚPO v rámci sídla Hronětice nebyly dosud plně využita</w:t>
      </w:r>
      <w:r w:rsidR="00391794" w:rsidRPr="006070EA">
        <w:rPr>
          <w:rFonts w:asciiTheme="majorHAnsi" w:hAnsiTheme="majorHAnsi" w:cstheme="majorHAnsi"/>
          <w:iCs/>
          <w:sz w:val="18"/>
          <w:szCs w:val="18"/>
        </w:rPr>
        <w:t>. Vzhledem ke skutečnosti, že předmětná plocha se nachází v intravilánu, byla stabilizována v rámci vymezeného zastavěného území</w:t>
      </w:r>
      <w:r w:rsidRPr="006070EA">
        <w:rPr>
          <w:rFonts w:asciiTheme="majorHAnsi" w:hAnsiTheme="majorHAnsi" w:cstheme="majorHAnsi"/>
          <w:iCs/>
          <w:sz w:val="18"/>
          <w:szCs w:val="18"/>
        </w:rPr>
        <w:t xml:space="preserve"> </w:t>
      </w:r>
      <w:r w:rsidR="00391794" w:rsidRPr="006070EA">
        <w:rPr>
          <w:rFonts w:asciiTheme="majorHAnsi" w:hAnsiTheme="majorHAnsi" w:cstheme="majorHAnsi"/>
          <w:iCs/>
          <w:sz w:val="18"/>
          <w:szCs w:val="18"/>
        </w:rPr>
        <w:t xml:space="preserve">(v souladu s § 58 stavebního zákona) a její kapacita je zohledněna jako rezerva v zastavěném území. </w:t>
      </w:r>
    </w:p>
    <w:p w14:paraId="688E73E2" w14:textId="2D1E640F" w:rsidR="00BA6341" w:rsidRPr="006070EA" w:rsidRDefault="00BA6341" w:rsidP="003A4B1E">
      <w:pPr>
        <w:pStyle w:val="Odstavecseseznamem"/>
        <w:keepNext/>
        <w:numPr>
          <w:ilvl w:val="1"/>
          <w:numId w:val="29"/>
        </w:numPr>
        <w:spacing w:before="160" w:after="120" w:line="240" w:lineRule="auto"/>
        <w:ind w:left="709" w:hanging="709"/>
        <w:contextualSpacing w:val="0"/>
        <w:jc w:val="both"/>
        <w:outlineLvl w:val="1"/>
        <w:rPr>
          <w:rFonts w:asciiTheme="majorHAnsi" w:hAnsiTheme="majorHAnsi" w:cstheme="majorHAnsi"/>
          <w:b/>
          <w:sz w:val="24"/>
          <w:szCs w:val="20"/>
        </w:rPr>
      </w:pPr>
      <w:bookmarkStart w:id="189" w:name="_Toc204678183"/>
      <w:r w:rsidRPr="006070EA">
        <w:rPr>
          <w:rFonts w:asciiTheme="majorHAnsi" w:hAnsiTheme="majorHAnsi" w:cstheme="majorHAnsi"/>
          <w:b/>
          <w:sz w:val="24"/>
          <w:szCs w:val="20"/>
        </w:rPr>
        <w:t>Vyhodnocení podaných žádostí o změnu ÚPD (žádosti soukromých vlastníků) a</w:t>
      </w:r>
      <w:r w:rsidR="001A7820" w:rsidRPr="006070EA">
        <w:rPr>
          <w:rFonts w:asciiTheme="majorHAnsi" w:hAnsiTheme="majorHAnsi" w:cstheme="majorHAnsi"/>
          <w:b/>
          <w:sz w:val="24"/>
          <w:szCs w:val="20"/>
        </w:rPr>
        <w:t> </w:t>
      </w:r>
      <w:r w:rsidRPr="006070EA">
        <w:rPr>
          <w:rFonts w:asciiTheme="majorHAnsi" w:hAnsiTheme="majorHAnsi" w:cstheme="majorHAnsi"/>
          <w:b/>
          <w:sz w:val="24"/>
          <w:szCs w:val="20"/>
        </w:rPr>
        <w:t>způsob</w:t>
      </w:r>
      <w:r w:rsidR="00546B52" w:rsidRPr="006070EA">
        <w:rPr>
          <w:rFonts w:asciiTheme="majorHAnsi" w:hAnsiTheme="majorHAnsi" w:cstheme="majorHAnsi"/>
          <w:b/>
          <w:sz w:val="24"/>
          <w:szCs w:val="20"/>
        </w:rPr>
        <w:t> </w:t>
      </w:r>
      <w:r w:rsidRPr="006070EA">
        <w:rPr>
          <w:rFonts w:asciiTheme="majorHAnsi" w:hAnsiTheme="majorHAnsi" w:cstheme="majorHAnsi"/>
          <w:b/>
          <w:sz w:val="24"/>
          <w:szCs w:val="20"/>
        </w:rPr>
        <w:t>jejich vypořádání</w:t>
      </w:r>
      <w:bookmarkEnd w:id="189"/>
      <w:r w:rsidRPr="006070EA">
        <w:rPr>
          <w:rFonts w:asciiTheme="majorHAnsi" w:hAnsiTheme="majorHAnsi" w:cstheme="majorHAnsi"/>
          <w:b/>
          <w:sz w:val="24"/>
          <w:szCs w:val="20"/>
        </w:rPr>
        <w:t xml:space="preserve"> </w:t>
      </w:r>
    </w:p>
    <w:p w14:paraId="3C009E69" w14:textId="06C14BBB" w:rsidR="001A7820" w:rsidRPr="006070EA" w:rsidRDefault="00F4234C" w:rsidP="00205C66">
      <w:pPr>
        <w:pStyle w:val="Atext"/>
        <w:rPr>
          <w:rFonts w:asciiTheme="majorHAnsi" w:hAnsiTheme="majorHAnsi" w:cstheme="majorHAnsi"/>
          <w:szCs w:val="18"/>
        </w:rPr>
      </w:pPr>
      <w:r w:rsidRPr="006070EA">
        <w:rPr>
          <w:rFonts w:asciiTheme="majorHAnsi" w:hAnsiTheme="majorHAnsi" w:cstheme="majorHAnsi"/>
          <w:szCs w:val="18"/>
        </w:rPr>
        <w:t>V</w:t>
      </w:r>
      <w:r w:rsidR="00BA1D67" w:rsidRPr="006070EA">
        <w:rPr>
          <w:rFonts w:asciiTheme="majorHAnsi" w:hAnsiTheme="majorHAnsi" w:cstheme="majorHAnsi"/>
          <w:szCs w:val="18"/>
        </w:rPr>
        <w:t> </w:t>
      </w:r>
      <w:r w:rsidRPr="006070EA">
        <w:rPr>
          <w:rFonts w:asciiTheme="majorHAnsi" w:hAnsiTheme="majorHAnsi" w:cstheme="majorHAnsi"/>
          <w:szCs w:val="18"/>
        </w:rPr>
        <w:t xml:space="preserve">rámci procesu zpracování návrhu ÚP </w:t>
      </w:r>
      <w:r w:rsidR="008159BA" w:rsidRPr="006070EA">
        <w:rPr>
          <w:rFonts w:asciiTheme="majorHAnsi" w:hAnsiTheme="majorHAnsi" w:cstheme="majorHAnsi"/>
          <w:szCs w:val="18"/>
        </w:rPr>
        <w:t>Kostomlaty nad Labem</w:t>
      </w:r>
      <w:r w:rsidRPr="006070EA">
        <w:rPr>
          <w:rFonts w:asciiTheme="majorHAnsi" w:hAnsiTheme="majorHAnsi" w:cstheme="majorHAnsi"/>
          <w:szCs w:val="18"/>
        </w:rPr>
        <w:t xml:space="preserve"> pro společné jednání byly předány žádosti soukromých vlastníků o změnu využití území. Evidence těchto žádostí</w:t>
      </w:r>
      <w:r w:rsidR="008159BA" w:rsidRPr="006070EA">
        <w:rPr>
          <w:rFonts w:asciiTheme="majorHAnsi" w:hAnsiTheme="majorHAnsi" w:cstheme="majorHAnsi"/>
          <w:szCs w:val="18"/>
        </w:rPr>
        <w:t xml:space="preserve"> a</w:t>
      </w:r>
      <w:r w:rsidRPr="006070EA">
        <w:rPr>
          <w:rFonts w:asciiTheme="majorHAnsi" w:hAnsiTheme="majorHAnsi" w:cstheme="majorHAnsi"/>
          <w:szCs w:val="18"/>
        </w:rPr>
        <w:t xml:space="preserve"> způsob </w:t>
      </w:r>
      <w:r w:rsidR="008159BA" w:rsidRPr="006070EA">
        <w:rPr>
          <w:rFonts w:asciiTheme="majorHAnsi" w:hAnsiTheme="majorHAnsi" w:cstheme="majorHAnsi"/>
          <w:szCs w:val="18"/>
        </w:rPr>
        <w:t xml:space="preserve">jejich </w:t>
      </w:r>
      <w:r w:rsidRPr="006070EA">
        <w:rPr>
          <w:rFonts w:asciiTheme="majorHAnsi" w:hAnsiTheme="majorHAnsi" w:cstheme="majorHAnsi"/>
          <w:szCs w:val="18"/>
        </w:rPr>
        <w:t>zohlednění js</w:t>
      </w:r>
      <w:r w:rsidR="001A7820" w:rsidRPr="006070EA">
        <w:rPr>
          <w:rFonts w:asciiTheme="majorHAnsi" w:hAnsiTheme="majorHAnsi" w:cstheme="majorHAnsi"/>
          <w:szCs w:val="18"/>
        </w:rPr>
        <w:t>ou obsahem následující tabulky:</w:t>
      </w:r>
    </w:p>
    <w:tbl>
      <w:tblPr>
        <w:tblW w:w="9119" w:type="dxa"/>
        <w:jc w:val="center"/>
        <w:tblBorders>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60"/>
        <w:gridCol w:w="958"/>
        <w:gridCol w:w="804"/>
        <w:gridCol w:w="953"/>
        <w:gridCol w:w="1417"/>
        <w:gridCol w:w="950"/>
        <w:gridCol w:w="1139"/>
        <w:gridCol w:w="2438"/>
      </w:tblGrid>
      <w:tr w:rsidR="00112B62" w:rsidRPr="006070EA" w14:paraId="477D8E92" w14:textId="77777777" w:rsidTr="00A13D9A">
        <w:trPr>
          <w:cantSplit/>
          <w:trHeight w:val="720"/>
          <w:tblHeader/>
          <w:jc w:val="center"/>
        </w:trPr>
        <w:tc>
          <w:tcPr>
            <w:tcW w:w="460" w:type="dxa"/>
            <w:vAlign w:val="center"/>
            <w:hideMark/>
          </w:tcPr>
          <w:p w14:paraId="7AEF24F9" w14:textId="1490588B" w:rsidR="00CF1108" w:rsidRPr="006070EA" w:rsidRDefault="00CF1108" w:rsidP="00CF1108">
            <w:pPr>
              <w:spacing w:after="0" w:line="240" w:lineRule="auto"/>
              <w:jc w:val="center"/>
              <w:rPr>
                <w:rFonts w:asciiTheme="majorHAnsi" w:eastAsia="Times New Roman" w:hAnsiTheme="majorHAnsi" w:cstheme="majorHAnsi"/>
                <w:b/>
                <w:bCs/>
                <w:color w:val="000000"/>
                <w:sz w:val="18"/>
                <w:szCs w:val="18"/>
                <w:lang w:eastAsia="cs-CZ"/>
              </w:rPr>
            </w:pPr>
            <w:r w:rsidRPr="006070EA">
              <w:rPr>
                <w:rFonts w:asciiTheme="majorHAnsi" w:eastAsia="Times New Roman" w:hAnsiTheme="majorHAnsi" w:cstheme="majorHAnsi"/>
                <w:b/>
                <w:bCs/>
                <w:color w:val="000000"/>
                <w:sz w:val="18"/>
                <w:szCs w:val="18"/>
                <w:lang w:eastAsia="cs-CZ"/>
              </w:rPr>
              <w:t>Poř</w:t>
            </w:r>
            <w:r w:rsidR="00112B62" w:rsidRPr="006070EA">
              <w:rPr>
                <w:rFonts w:asciiTheme="majorHAnsi" w:eastAsia="Times New Roman" w:hAnsiTheme="majorHAnsi" w:cstheme="majorHAnsi"/>
                <w:b/>
                <w:bCs/>
                <w:color w:val="000000"/>
                <w:sz w:val="18"/>
                <w:szCs w:val="18"/>
                <w:lang w:eastAsia="cs-CZ"/>
              </w:rPr>
              <w:t>.</w:t>
            </w:r>
            <w:r w:rsidRPr="006070EA">
              <w:rPr>
                <w:rFonts w:asciiTheme="majorHAnsi" w:eastAsia="Times New Roman" w:hAnsiTheme="majorHAnsi" w:cstheme="majorHAnsi"/>
                <w:b/>
                <w:bCs/>
                <w:color w:val="000000"/>
                <w:sz w:val="18"/>
                <w:szCs w:val="18"/>
                <w:lang w:eastAsia="cs-CZ"/>
              </w:rPr>
              <w:t xml:space="preserve"> číslo</w:t>
            </w:r>
          </w:p>
        </w:tc>
        <w:tc>
          <w:tcPr>
            <w:tcW w:w="958" w:type="dxa"/>
            <w:vAlign w:val="center"/>
            <w:hideMark/>
          </w:tcPr>
          <w:p w14:paraId="436A4C4F" w14:textId="77777777" w:rsidR="00CF1108" w:rsidRPr="006070EA" w:rsidRDefault="00CF1108" w:rsidP="00CF1108">
            <w:pPr>
              <w:spacing w:after="0" w:line="240" w:lineRule="auto"/>
              <w:jc w:val="center"/>
              <w:rPr>
                <w:rFonts w:asciiTheme="majorHAnsi" w:eastAsia="Times New Roman" w:hAnsiTheme="majorHAnsi" w:cstheme="majorHAnsi"/>
                <w:b/>
                <w:bCs/>
                <w:color w:val="000000"/>
                <w:sz w:val="18"/>
                <w:szCs w:val="18"/>
                <w:lang w:eastAsia="cs-CZ"/>
              </w:rPr>
            </w:pPr>
            <w:r w:rsidRPr="006070EA">
              <w:rPr>
                <w:rFonts w:asciiTheme="majorHAnsi" w:eastAsia="Times New Roman" w:hAnsiTheme="majorHAnsi" w:cstheme="majorHAnsi"/>
                <w:b/>
                <w:bCs/>
                <w:color w:val="000000"/>
                <w:sz w:val="18"/>
                <w:szCs w:val="18"/>
                <w:lang w:eastAsia="cs-CZ"/>
              </w:rPr>
              <w:t>Datum podání žádosti</w:t>
            </w:r>
          </w:p>
        </w:tc>
        <w:tc>
          <w:tcPr>
            <w:tcW w:w="804" w:type="dxa"/>
            <w:vAlign w:val="center"/>
            <w:hideMark/>
          </w:tcPr>
          <w:p w14:paraId="5FFE433F" w14:textId="77777777" w:rsidR="00CF1108" w:rsidRPr="006070EA" w:rsidRDefault="00CF1108" w:rsidP="00CF1108">
            <w:pPr>
              <w:spacing w:after="0" w:line="240" w:lineRule="auto"/>
              <w:jc w:val="center"/>
              <w:rPr>
                <w:rFonts w:asciiTheme="majorHAnsi" w:eastAsia="Times New Roman" w:hAnsiTheme="majorHAnsi" w:cstheme="majorHAnsi"/>
                <w:b/>
                <w:bCs/>
                <w:color w:val="000000"/>
                <w:sz w:val="18"/>
                <w:szCs w:val="18"/>
                <w:lang w:eastAsia="cs-CZ"/>
              </w:rPr>
            </w:pPr>
            <w:r w:rsidRPr="006070EA">
              <w:rPr>
                <w:rFonts w:asciiTheme="majorHAnsi" w:eastAsia="Times New Roman" w:hAnsiTheme="majorHAnsi" w:cstheme="majorHAnsi"/>
                <w:b/>
                <w:bCs/>
                <w:color w:val="000000"/>
                <w:sz w:val="18"/>
                <w:szCs w:val="18"/>
                <w:lang w:eastAsia="cs-CZ"/>
              </w:rPr>
              <w:t>Číslo pozemku</w:t>
            </w:r>
          </w:p>
        </w:tc>
        <w:tc>
          <w:tcPr>
            <w:tcW w:w="953" w:type="dxa"/>
            <w:vAlign w:val="center"/>
            <w:hideMark/>
          </w:tcPr>
          <w:p w14:paraId="3866ABD8" w14:textId="6B595250" w:rsidR="00CF1108" w:rsidRPr="006070EA" w:rsidRDefault="00CF1108" w:rsidP="00CF1108">
            <w:pPr>
              <w:spacing w:after="0" w:line="240" w:lineRule="auto"/>
              <w:jc w:val="center"/>
              <w:rPr>
                <w:rFonts w:asciiTheme="majorHAnsi" w:eastAsia="Times New Roman" w:hAnsiTheme="majorHAnsi" w:cstheme="majorHAnsi"/>
                <w:b/>
                <w:bCs/>
                <w:color w:val="000000"/>
                <w:sz w:val="18"/>
                <w:szCs w:val="18"/>
                <w:lang w:eastAsia="cs-CZ"/>
              </w:rPr>
            </w:pPr>
            <w:r w:rsidRPr="006070EA">
              <w:rPr>
                <w:rFonts w:asciiTheme="majorHAnsi" w:eastAsia="Times New Roman" w:hAnsiTheme="majorHAnsi" w:cstheme="majorHAnsi"/>
                <w:b/>
                <w:bCs/>
                <w:color w:val="000000"/>
                <w:sz w:val="18"/>
                <w:szCs w:val="18"/>
                <w:lang w:eastAsia="cs-CZ"/>
              </w:rPr>
              <w:t>Katastrální území</w:t>
            </w:r>
          </w:p>
        </w:tc>
        <w:tc>
          <w:tcPr>
            <w:tcW w:w="1417" w:type="dxa"/>
            <w:vAlign w:val="center"/>
            <w:hideMark/>
          </w:tcPr>
          <w:p w14:paraId="55DB3CC8" w14:textId="19806CB8" w:rsidR="00CF1108" w:rsidRPr="006070EA" w:rsidRDefault="00CF1108" w:rsidP="00CF1108">
            <w:pPr>
              <w:spacing w:after="0" w:line="240" w:lineRule="auto"/>
              <w:jc w:val="center"/>
              <w:rPr>
                <w:rFonts w:asciiTheme="majorHAnsi" w:eastAsia="Times New Roman" w:hAnsiTheme="majorHAnsi" w:cstheme="majorHAnsi"/>
                <w:b/>
                <w:bCs/>
                <w:color w:val="000000"/>
                <w:sz w:val="18"/>
                <w:szCs w:val="18"/>
                <w:lang w:eastAsia="cs-CZ"/>
              </w:rPr>
            </w:pPr>
            <w:r w:rsidRPr="006070EA">
              <w:rPr>
                <w:rFonts w:asciiTheme="majorHAnsi" w:eastAsia="Times New Roman" w:hAnsiTheme="majorHAnsi" w:cstheme="majorHAnsi"/>
                <w:b/>
                <w:bCs/>
                <w:color w:val="000000"/>
                <w:sz w:val="18"/>
                <w:szCs w:val="18"/>
                <w:lang w:eastAsia="cs-CZ"/>
              </w:rPr>
              <w:t>Návrh úpravy – obsah žádosti</w:t>
            </w:r>
          </w:p>
        </w:tc>
        <w:tc>
          <w:tcPr>
            <w:tcW w:w="950" w:type="dxa"/>
            <w:vAlign w:val="center"/>
            <w:hideMark/>
          </w:tcPr>
          <w:p w14:paraId="56B7B127" w14:textId="77777777" w:rsidR="00CF1108" w:rsidRPr="006070EA" w:rsidRDefault="00CF1108" w:rsidP="00CF1108">
            <w:pPr>
              <w:spacing w:after="0" w:line="240" w:lineRule="auto"/>
              <w:jc w:val="center"/>
              <w:rPr>
                <w:rFonts w:asciiTheme="majorHAnsi" w:eastAsia="Times New Roman" w:hAnsiTheme="majorHAnsi" w:cstheme="majorHAnsi"/>
                <w:b/>
                <w:bCs/>
                <w:color w:val="000000"/>
                <w:sz w:val="18"/>
                <w:szCs w:val="18"/>
                <w:lang w:eastAsia="cs-CZ"/>
              </w:rPr>
            </w:pPr>
            <w:r w:rsidRPr="006070EA">
              <w:rPr>
                <w:rFonts w:asciiTheme="majorHAnsi" w:eastAsia="Times New Roman" w:hAnsiTheme="majorHAnsi" w:cstheme="majorHAnsi"/>
                <w:b/>
                <w:bCs/>
                <w:color w:val="000000"/>
                <w:sz w:val="18"/>
                <w:szCs w:val="18"/>
                <w:lang w:eastAsia="cs-CZ"/>
              </w:rPr>
              <w:t>Zohlednění požadavku</w:t>
            </w:r>
          </w:p>
        </w:tc>
        <w:tc>
          <w:tcPr>
            <w:tcW w:w="1139" w:type="dxa"/>
            <w:vAlign w:val="center"/>
            <w:hideMark/>
          </w:tcPr>
          <w:p w14:paraId="6013FF9B" w14:textId="77777777" w:rsidR="00CF1108" w:rsidRPr="006070EA" w:rsidRDefault="00CF1108" w:rsidP="00CF1108">
            <w:pPr>
              <w:spacing w:after="0" w:line="240" w:lineRule="auto"/>
              <w:jc w:val="center"/>
              <w:rPr>
                <w:rFonts w:asciiTheme="majorHAnsi" w:eastAsia="Times New Roman" w:hAnsiTheme="majorHAnsi" w:cstheme="majorHAnsi"/>
                <w:b/>
                <w:bCs/>
                <w:color w:val="000000"/>
                <w:sz w:val="18"/>
                <w:szCs w:val="18"/>
                <w:lang w:eastAsia="cs-CZ"/>
              </w:rPr>
            </w:pPr>
            <w:r w:rsidRPr="006070EA">
              <w:rPr>
                <w:rFonts w:asciiTheme="majorHAnsi" w:eastAsia="Times New Roman" w:hAnsiTheme="majorHAnsi" w:cstheme="majorHAnsi"/>
                <w:b/>
                <w:bCs/>
                <w:color w:val="000000"/>
                <w:sz w:val="18"/>
                <w:szCs w:val="18"/>
                <w:lang w:eastAsia="cs-CZ"/>
              </w:rPr>
              <w:t>Způsob zapracování do ÚP</w:t>
            </w:r>
          </w:p>
        </w:tc>
        <w:tc>
          <w:tcPr>
            <w:tcW w:w="2438" w:type="dxa"/>
            <w:vAlign w:val="center"/>
            <w:hideMark/>
          </w:tcPr>
          <w:p w14:paraId="7A41C05C" w14:textId="77777777" w:rsidR="00CF1108" w:rsidRPr="006070EA" w:rsidRDefault="00CF1108" w:rsidP="00CF1108">
            <w:pPr>
              <w:spacing w:after="0" w:line="240" w:lineRule="auto"/>
              <w:jc w:val="center"/>
              <w:rPr>
                <w:rFonts w:asciiTheme="majorHAnsi" w:eastAsia="Times New Roman" w:hAnsiTheme="majorHAnsi" w:cstheme="majorHAnsi"/>
                <w:b/>
                <w:bCs/>
                <w:color w:val="000000"/>
                <w:sz w:val="18"/>
                <w:szCs w:val="18"/>
                <w:lang w:eastAsia="cs-CZ"/>
              </w:rPr>
            </w:pPr>
            <w:r w:rsidRPr="006070EA">
              <w:rPr>
                <w:rFonts w:asciiTheme="majorHAnsi" w:eastAsia="Times New Roman" w:hAnsiTheme="majorHAnsi" w:cstheme="majorHAnsi"/>
                <w:b/>
                <w:bCs/>
                <w:color w:val="000000"/>
                <w:sz w:val="18"/>
                <w:szCs w:val="18"/>
                <w:lang w:eastAsia="cs-CZ"/>
              </w:rPr>
              <w:t>pozn., odůvodnění</w:t>
            </w:r>
          </w:p>
        </w:tc>
      </w:tr>
      <w:tr w:rsidR="00CF1108" w:rsidRPr="006070EA" w14:paraId="390924FA" w14:textId="77777777" w:rsidTr="00A13D9A">
        <w:trPr>
          <w:cantSplit/>
          <w:trHeight w:val="300"/>
          <w:jc w:val="center"/>
        </w:trPr>
        <w:tc>
          <w:tcPr>
            <w:tcW w:w="460" w:type="dxa"/>
            <w:vMerge w:val="restart"/>
            <w:noWrap/>
            <w:vAlign w:val="center"/>
            <w:hideMark/>
          </w:tcPr>
          <w:p w14:paraId="36D3485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w:t>
            </w:r>
          </w:p>
        </w:tc>
        <w:tc>
          <w:tcPr>
            <w:tcW w:w="958" w:type="dxa"/>
            <w:vMerge w:val="restart"/>
            <w:noWrap/>
            <w:vAlign w:val="center"/>
            <w:hideMark/>
          </w:tcPr>
          <w:p w14:paraId="628AE82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17.12.2018</w:t>
            </w:r>
          </w:p>
        </w:tc>
        <w:tc>
          <w:tcPr>
            <w:tcW w:w="804" w:type="dxa"/>
            <w:noWrap/>
            <w:vAlign w:val="center"/>
            <w:hideMark/>
          </w:tcPr>
          <w:p w14:paraId="05F9030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230/23</w:t>
            </w:r>
          </w:p>
        </w:tc>
        <w:tc>
          <w:tcPr>
            <w:tcW w:w="953" w:type="dxa"/>
            <w:noWrap/>
            <w:vAlign w:val="center"/>
            <w:hideMark/>
          </w:tcPr>
          <w:p w14:paraId="3CF4E0E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1963F55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do plochy pro bydlení</w:t>
            </w:r>
          </w:p>
        </w:tc>
        <w:tc>
          <w:tcPr>
            <w:tcW w:w="950" w:type="dxa"/>
            <w:noWrap/>
            <w:vAlign w:val="center"/>
            <w:hideMark/>
          </w:tcPr>
          <w:p w14:paraId="2AC745F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39D42C9C" w14:textId="1DACF28F"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004F5B3B" w:rsidRPr="006070EA">
              <w:rPr>
                <w:rFonts w:asciiTheme="majorHAnsi" w:eastAsia="Times New Roman" w:hAnsiTheme="majorHAnsi" w:cstheme="majorHAnsi"/>
                <w:color w:val="000000"/>
                <w:sz w:val="18"/>
                <w:szCs w:val="18"/>
                <w:lang w:eastAsia="cs-CZ"/>
              </w:rPr>
              <w:t>MU.zp</w:t>
            </w:r>
            <w:proofErr w:type="gramEnd"/>
          </w:p>
        </w:tc>
        <w:tc>
          <w:tcPr>
            <w:tcW w:w="2438" w:type="dxa"/>
            <w:noWrap/>
            <w:vAlign w:val="center"/>
            <w:hideMark/>
          </w:tcPr>
          <w:p w14:paraId="1BC03DA2" w14:textId="7EC909F3"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konflikt s koridorem </w:t>
            </w:r>
            <w:r w:rsidR="004F5B3B" w:rsidRPr="006070EA">
              <w:rPr>
                <w:rFonts w:asciiTheme="majorHAnsi" w:eastAsia="Times New Roman" w:hAnsiTheme="majorHAnsi" w:cstheme="majorHAnsi"/>
                <w:color w:val="000000"/>
                <w:sz w:val="18"/>
                <w:szCs w:val="18"/>
                <w:lang w:eastAsia="cs-CZ"/>
              </w:rPr>
              <w:t>CNU.</w:t>
            </w:r>
            <w:r w:rsidRPr="006070EA">
              <w:rPr>
                <w:rFonts w:asciiTheme="majorHAnsi" w:eastAsia="Times New Roman" w:hAnsiTheme="majorHAnsi" w:cstheme="majorHAnsi"/>
                <w:color w:val="000000"/>
                <w:sz w:val="18"/>
                <w:szCs w:val="18"/>
                <w:lang w:eastAsia="cs-CZ"/>
              </w:rPr>
              <w:t>KD1</w:t>
            </w:r>
          </w:p>
        </w:tc>
      </w:tr>
      <w:tr w:rsidR="004F5B3B" w:rsidRPr="006070EA" w14:paraId="47AEDE85" w14:textId="77777777" w:rsidTr="00A13D9A">
        <w:trPr>
          <w:cantSplit/>
          <w:trHeight w:val="300"/>
          <w:jc w:val="center"/>
        </w:trPr>
        <w:tc>
          <w:tcPr>
            <w:tcW w:w="460" w:type="dxa"/>
            <w:vMerge/>
            <w:vAlign w:val="center"/>
            <w:hideMark/>
          </w:tcPr>
          <w:p w14:paraId="2EDC5C58"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56CF676C"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6DBF70B3"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279</w:t>
            </w:r>
          </w:p>
        </w:tc>
        <w:tc>
          <w:tcPr>
            <w:tcW w:w="953" w:type="dxa"/>
            <w:noWrap/>
            <w:vAlign w:val="center"/>
            <w:hideMark/>
          </w:tcPr>
          <w:p w14:paraId="64537464"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70A519C9"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do plochy pro bydlení</w:t>
            </w:r>
          </w:p>
        </w:tc>
        <w:tc>
          <w:tcPr>
            <w:tcW w:w="950" w:type="dxa"/>
            <w:noWrap/>
            <w:vAlign w:val="center"/>
            <w:hideMark/>
          </w:tcPr>
          <w:p w14:paraId="08DB1EB9"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5936457F" w14:textId="65E0A609"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Pr="006070EA">
              <w:rPr>
                <w:rFonts w:asciiTheme="majorHAnsi" w:eastAsia="Times New Roman" w:hAnsiTheme="majorHAnsi" w:cstheme="majorHAnsi"/>
                <w:color w:val="000000"/>
                <w:sz w:val="18"/>
                <w:szCs w:val="18"/>
                <w:lang w:eastAsia="cs-CZ"/>
              </w:rPr>
              <w:t>MU.zp</w:t>
            </w:r>
            <w:proofErr w:type="gramEnd"/>
          </w:p>
        </w:tc>
        <w:tc>
          <w:tcPr>
            <w:tcW w:w="2438" w:type="dxa"/>
            <w:vAlign w:val="center"/>
            <w:hideMark/>
          </w:tcPr>
          <w:p w14:paraId="1214EC03" w14:textId="018F9F26"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w:t>
            </w:r>
          </w:p>
        </w:tc>
      </w:tr>
      <w:tr w:rsidR="004F5B3B" w:rsidRPr="006070EA" w14:paraId="66A6EBCD" w14:textId="77777777" w:rsidTr="00A13D9A">
        <w:trPr>
          <w:cantSplit/>
          <w:trHeight w:val="300"/>
          <w:jc w:val="center"/>
        </w:trPr>
        <w:tc>
          <w:tcPr>
            <w:tcW w:w="460" w:type="dxa"/>
            <w:vMerge w:val="restart"/>
            <w:noWrap/>
            <w:vAlign w:val="center"/>
            <w:hideMark/>
          </w:tcPr>
          <w:p w14:paraId="1A9B6D55"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w:t>
            </w:r>
          </w:p>
        </w:tc>
        <w:tc>
          <w:tcPr>
            <w:tcW w:w="958" w:type="dxa"/>
            <w:vMerge w:val="restart"/>
            <w:noWrap/>
            <w:vAlign w:val="center"/>
            <w:hideMark/>
          </w:tcPr>
          <w:p w14:paraId="57BE27A0"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18.02.2019</w:t>
            </w:r>
          </w:p>
        </w:tc>
        <w:tc>
          <w:tcPr>
            <w:tcW w:w="804" w:type="dxa"/>
            <w:noWrap/>
            <w:vAlign w:val="center"/>
            <w:hideMark/>
          </w:tcPr>
          <w:p w14:paraId="3503057C"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179/2</w:t>
            </w:r>
          </w:p>
        </w:tc>
        <w:tc>
          <w:tcPr>
            <w:tcW w:w="953" w:type="dxa"/>
            <w:noWrap/>
            <w:vAlign w:val="center"/>
            <w:hideMark/>
          </w:tcPr>
          <w:p w14:paraId="4FF63026"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32A2144C"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pro bytovou zástavbu</w:t>
            </w:r>
          </w:p>
        </w:tc>
        <w:tc>
          <w:tcPr>
            <w:tcW w:w="950" w:type="dxa"/>
            <w:noWrap/>
            <w:vAlign w:val="center"/>
            <w:hideMark/>
          </w:tcPr>
          <w:p w14:paraId="0EF17011"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5F650874" w14:textId="4133ED5F"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Pr="006070EA">
              <w:rPr>
                <w:rFonts w:asciiTheme="majorHAnsi" w:eastAsia="Times New Roman" w:hAnsiTheme="majorHAnsi" w:cstheme="majorHAnsi"/>
                <w:color w:val="000000"/>
                <w:sz w:val="18"/>
                <w:szCs w:val="18"/>
                <w:lang w:eastAsia="cs-CZ"/>
              </w:rPr>
              <w:t>MU.zp</w:t>
            </w:r>
            <w:proofErr w:type="gramEnd"/>
          </w:p>
        </w:tc>
        <w:tc>
          <w:tcPr>
            <w:tcW w:w="2438" w:type="dxa"/>
            <w:noWrap/>
            <w:vAlign w:val="center"/>
            <w:hideMark/>
          </w:tcPr>
          <w:p w14:paraId="42022088" w14:textId="7DD92F9F"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mimo kontakt se zastavěným územím, problém srůstání sídel</w:t>
            </w:r>
          </w:p>
        </w:tc>
      </w:tr>
      <w:tr w:rsidR="004F5B3B" w:rsidRPr="006070EA" w14:paraId="1306234A" w14:textId="77777777" w:rsidTr="00A13D9A">
        <w:trPr>
          <w:cantSplit/>
          <w:trHeight w:val="300"/>
          <w:jc w:val="center"/>
        </w:trPr>
        <w:tc>
          <w:tcPr>
            <w:tcW w:w="460" w:type="dxa"/>
            <w:vMerge/>
            <w:vAlign w:val="center"/>
            <w:hideMark/>
          </w:tcPr>
          <w:p w14:paraId="2CB114FB"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207E9E2D"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3486F8A5"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178/1</w:t>
            </w:r>
          </w:p>
        </w:tc>
        <w:tc>
          <w:tcPr>
            <w:tcW w:w="953" w:type="dxa"/>
            <w:noWrap/>
            <w:vAlign w:val="center"/>
            <w:hideMark/>
          </w:tcPr>
          <w:p w14:paraId="38FD92AE"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72F0F4A6"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pro bytovou zástavbu</w:t>
            </w:r>
          </w:p>
        </w:tc>
        <w:tc>
          <w:tcPr>
            <w:tcW w:w="950" w:type="dxa"/>
            <w:noWrap/>
            <w:vAlign w:val="center"/>
            <w:hideMark/>
          </w:tcPr>
          <w:p w14:paraId="20E68389" w14:textId="77777777"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4650E2BB" w14:textId="554C51D9"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Pr="006070EA">
              <w:rPr>
                <w:rFonts w:asciiTheme="majorHAnsi" w:eastAsia="Times New Roman" w:hAnsiTheme="majorHAnsi" w:cstheme="majorHAnsi"/>
                <w:color w:val="000000"/>
                <w:sz w:val="18"/>
                <w:szCs w:val="18"/>
                <w:lang w:eastAsia="cs-CZ"/>
              </w:rPr>
              <w:t>MU.zp</w:t>
            </w:r>
            <w:proofErr w:type="gramEnd"/>
          </w:p>
        </w:tc>
        <w:tc>
          <w:tcPr>
            <w:tcW w:w="2438" w:type="dxa"/>
            <w:vAlign w:val="center"/>
            <w:hideMark/>
          </w:tcPr>
          <w:p w14:paraId="2816F01C" w14:textId="1004D729" w:rsidR="004F5B3B" w:rsidRPr="006070EA" w:rsidRDefault="004F5B3B" w:rsidP="004F5B3B">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mimo kontakt se zastavěným územím, problém srůstání sídel</w:t>
            </w:r>
          </w:p>
        </w:tc>
      </w:tr>
      <w:tr w:rsidR="00CF1108" w:rsidRPr="006070EA" w14:paraId="3C2D4426" w14:textId="77777777" w:rsidTr="00A13D9A">
        <w:trPr>
          <w:cantSplit/>
          <w:trHeight w:val="300"/>
          <w:jc w:val="center"/>
        </w:trPr>
        <w:tc>
          <w:tcPr>
            <w:tcW w:w="460" w:type="dxa"/>
            <w:noWrap/>
            <w:vAlign w:val="center"/>
            <w:hideMark/>
          </w:tcPr>
          <w:p w14:paraId="6D847B7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w:t>
            </w:r>
          </w:p>
        </w:tc>
        <w:tc>
          <w:tcPr>
            <w:tcW w:w="958" w:type="dxa"/>
            <w:noWrap/>
            <w:vAlign w:val="center"/>
            <w:hideMark/>
          </w:tcPr>
          <w:p w14:paraId="0E80625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08.01.2018</w:t>
            </w:r>
          </w:p>
        </w:tc>
        <w:tc>
          <w:tcPr>
            <w:tcW w:w="804" w:type="dxa"/>
            <w:noWrap/>
            <w:vAlign w:val="center"/>
            <w:hideMark/>
          </w:tcPr>
          <w:p w14:paraId="6E485CD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159</w:t>
            </w:r>
          </w:p>
        </w:tc>
        <w:tc>
          <w:tcPr>
            <w:tcW w:w="953" w:type="dxa"/>
            <w:noWrap/>
            <w:vAlign w:val="center"/>
            <w:hideMark/>
          </w:tcPr>
          <w:p w14:paraId="691DC23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35B1E2B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0452B18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7370C92D" w14:textId="5CB7BE1F"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noWrap/>
            <w:vAlign w:val="center"/>
            <w:hideMark/>
          </w:tcPr>
          <w:p w14:paraId="48E2B457" w14:textId="2877B1B2"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4F5B3B"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20</w:t>
            </w:r>
          </w:p>
        </w:tc>
      </w:tr>
      <w:tr w:rsidR="00CF1108" w:rsidRPr="006070EA" w14:paraId="5244C26C" w14:textId="77777777" w:rsidTr="00A13D9A">
        <w:trPr>
          <w:cantSplit/>
          <w:trHeight w:val="300"/>
          <w:jc w:val="center"/>
        </w:trPr>
        <w:tc>
          <w:tcPr>
            <w:tcW w:w="460" w:type="dxa"/>
            <w:noWrap/>
            <w:vAlign w:val="center"/>
            <w:hideMark/>
          </w:tcPr>
          <w:p w14:paraId="2F9C37C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4</w:t>
            </w:r>
          </w:p>
        </w:tc>
        <w:tc>
          <w:tcPr>
            <w:tcW w:w="958" w:type="dxa"/>
            <w:noWrap/>
            <w:vAlign w:val="center"/>
            <w:hideMark/>
          </w:tcPr>
          <w:p w14:paraId="17149C3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31.01.2018</w:t>
            </w:r>
          </w:p>
        </w:tc>
        <w:tc>
          <w:tcPr>
            <w:tcW w:w="804" w:type="dxa"/>
            <w:noWrap/>
            <w:vAlign w:val="center"/>
            <w:hideMark/>
          </w:tcPr>
          <w:p w14:paraId="0CB8E7E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189</w:t>
            </w:r>
          </w:p>
        </w:tc>
        <w:tc>
          <w:tcPr>
            <w:tcW w:w="953" w:type="dxa"/>
            <w:noWrap/>
            <w:vAlign w:val="center"/>
            <w:hideMark/>
          </w:tcPr>
          <w:p w14:paraId="2CA57C8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63A751A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výroba a sklady s objekty</w:t>
            </w:r>
          </w:p>
        </w:tc>
        <w:tc>
          <w:tcPr>
            <w:tcW w:w="950" w:type="dxa"/>
            <w:noWrap/>
            <w:vAlign w:val="center"/>
            <w:hideMark/>
          </w:tcPr>
          <w:p w14:paraId="24F49B9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57017F2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VL</w:t>
            </w:r>
          </w:p>
        </w:tc>
        <w:tc>
          <w:tcPr>
            <w:tcW w:w="2438" w:type="dxa"/>
            <w:noWrap/>
            <w:vAlign w:val="center"/>
            <w:hideMark/>
          </w:tcPr>
          <w:p w14:paraId="6F77640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016C0CFF" w14:textId="77777777" w:rsidTr="00A13D9A">
        <w:trPr>
          <w:cantSplit/>
          <w:trHeight w:val="300"/>
          <w:jc w:val="center"/>
        </w:trPr>
        <w:tc>
          <w:tcPr>
            <w:tcW w:w="460" w:type="dxa"/>
            <w:vMerge w:val="restart"/>
            <w:noWrap/>
            <w:vAlign w:val="center"/>
            <w:hideMark/>
          </w:tcPr>
          <w:p w14:paraId="32E3827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5</w:t>
            </w:r>
          </w:p>
        </w:tc>
        <w:tc>
          <w:tcPr>
            <w:tcW w:w="958" w:type="dxa"/>
            <w:vMerge w:val="restart"/>
            <w:noWrap/>
            <w:vAlign w:val="center"/>
            <w:hideMark/>
          </w:tcPr>
          <w:p w14:paraId="5D11429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26.01.2018</w:t>
            </w:r>
          </w:p>
        </w:tc>
        <w:tc>
          <w:tcPr>
            <w:tcW w:w="804" w:type="dxa"/>
            <w:noWrap/>
            <w:vAlign w:val="center"/>
            <w:hideMark/>
          </w:tcPr>
          <w:p w14:paraId="7A352EA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st. 379</w:t>
            </w:r>
          </w:p>
        </w:tc>
        <w:tc>
          <w:tcPr>
            <w:tcW w:w="953" w:type="dxa"/>
            <w:noWrap/>
            <w:vAlign w:val="center"/>
            <w:hideMark/>
          </w:tcPr>
          <w:p w14:paraId="654C215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34A83B4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kombinované pro bydlení a komerční</w:t>
            </w:r>
          </w:p>
        </w:tc>
        <w:tc>
          <w:tcPr>
            <w:tcW w:w="950" w:type="dxa"/>
            <w:noWrap/>
            <w:vAlign w:val="center"/>
            <w:hideMark/>
          </w:tcPr>
          <w:p w14:paraId="34F62A5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62C343D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noWrap/>
            <w:vAlign w:val="center"/>
            <w:hideMark/>
          </w:tcPr>
          <w:p w14:paraId="780F639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55494899" w14:textId="77777777" w:rsidTr="00A13D9A">
        <w:trPr>
          <w:cantSplit/>
          <w:trHeight w:val="300"/>
          <w:jc w:val="center"/>
        </w:trPr>
        <w:tc>
          <w:tcPr>
            <w:tcW w:w="460" w:type="dxa"/>
            <w:vMerge/>
            <w:vAlign w:val="center"/>
            <w:hideMark/>
          </w:tcPr>
          <w:p w14:paraId="293B393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600F2E7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4175E8F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24/4</w:t>
            </w:r>
          </w:p>
        </w:tc>
        <w:tc>
          <w:tcPr>
            <w:tcW w:w="953" w:type="dxa"/>
            <w:noWrap/>
            <w:vAlign w:val="center"/>
            <w:hideMark/>
          </w:tcPr>
          <w:p w14:paraId="63769B7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5837720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kombinované pro bydlení a komerční</w:t>
            </w:r>
          </w:p>
        </w:tc>
        <w:tc>
          <w:tcPr>
            <w:tcW w:w="950" w:type="dxa"/>
            <w:noWrap/>
            <w:vAlign w:val="center"/>
            <w:hideMark/>
          </w:tcPr>
          <w:p w14:paraId="621F820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6DCBA1C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noWrap/>
            <w:vAlign w:val="center"/>
            <w:hideMark/>
          </w:tcPr>
          <w:p w14:paraId="38093BD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3EE4157C" w14:textId="77777777" w:rsidTr="00A13D9A">
        <w:trPr>
          <w:cantSplit/>
          <w:trHeight w:val="300"/>
          <w:jc w:val="center"/>
        </w:trPr>
        <w:tc>
          <w:tcPr>
            <w:tcW w:w="460" w:type="dxa"/>
            <w:noWrap/>
            <w:vAlign w:val="center"/>
            <w:hideMark/>
          </w:tcPr>
          <w:p w14:paraId="7772F6D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6</w:t>
            </w:r>
          </w:p>
        </w:tc>
        <w:tc>
          <w:tcPr>
            <w:tcW w:w="958" w:type="dxa"/>
            <w:noWrap/>
            <w:vAlign w:val="center"/>
            <w:hideMark/>
          </w:tcPr>
          <w:p w14:paraId="1074671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01.02.2018</w:t>
            </w:r>
          </w:p>
        </w:tc>
        <w:tc>
          <w:tcPr>
            <w:tcW w:w="804" w:type="dxa"/>
            <w:noWrap/>
            <w:vAlign w:val="center"/>
            <w:hideMark/>
          </w:tcPr>
          <w:p w14:paraId="5CA437E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st. 77</w:t>
            </w:r>
          </w:p>
        </w:tc>
        <w:tc>
          <w:tcPr>
            <w:tcW w:w="953" w:type="dxa"/>
            <w:noWrap/>
            <w:vAlign w:val="center"/>
            <w:hideMark/>
          </w:tcPr>
          <w:p w14:paraId="23022CA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2577ED4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pro rodinné bydlení</w:t>
            </w:r>
          </w:p>
        </w:tc>
        <w:tc>
          <w:tcPr>
            <w:tcW w:w="950" w:type="dxa"/>
            <w:noWrap/>
            <w:vAlign w:val="center"/>
            <w:hideMark/>
          </w:tcPr>
          <w:p w14:paraId="04D71BE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4B57507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noWrap/>
            <w:vAlign w:val="center"/>
            <w:hideMark/>
          </w:tcPr>
          <w:p w14:paraId="6FB6478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5219F817" w14:textId="77777777" w:rsidTr="00A13D9A">
        <w:trPr>
          <w:cantSplit/>
          <w:trHeight w:val="300"/>
          <w:jc w:val="center"/>
        </w:trPr>
        <w:tc>
          <w:tcPr>
            <w:tcW w:w="460" w:type="dxa"/>
            <w:vMerge w:val="restart"/>
            <w:noWrap/>
            <w:vAlign w:val="center"/>
            <w:hideMark/>
          </w:tcPr>
          <w:p w14:paraId="4F191C7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7</w:t>
            </w:r>
          </w:p>
        </w:tc>
        <w:tc>
          <w:tcPr>
            <w:tcW w:w="958" w:type="dxa"/>
            <w:vMerge w:val="restart"/>
            <w:noWrap/>
            <w:vAlign w:val="center"/>
            <w:hideMark/>
          </w:tcPr>
          <w:p w14:paraId="1166336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01.02.2018</w:t>
            </w:r>
          </w:p>
        </w:tc>
        <w:tc>
          <w:tcPr>
            <w:tcW w:w="804" w:type="dxa"/>
            <w:noWrap/>
            <w:vAlign w:val="center"/>
            <w:hideMark/>
          </w:tcPr>
          <w:p w14:paraId="18CF1AB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190/1</w:t>
            </w:r>
          </w:p>
        </w:tc>
        <w:tc>
          <w:tcPr>
            <w:tcW w:w="953" w:type="dxa"/>
            <w:noWrap/>
            <w:vAlign w:val="center"/>
            <w:hideMark/>
          </w:tcPr>
          <w:p w14:paraId="5C41851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589BF20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komerční prostory, sklad, výroba, st. parcely</w:t>
            </w:r>
          </w:p>
        </w:tc>
        <w:tc>
          <w:tcPr>
            <w:tcW w:w="950" w:type="dxa"/>
            <w:noWrap/>
            <w:vAlign w:val="center"/>
            <w:hideMark/>
          </w:tcPr>
          <w:p w14:paraId="71A0467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noWrap/>
            <w:vAlign w:val="center"/>
            <w:hideMark/>
          </w:tcPr>
          <w:p w14:paraId="2CBB1F5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VL částečně</w:t>
            </w:r>
          </w:p>
        </w:tc>
        <w:tc>
          <w:tcPr>
            <w:tcW w:w="2438" w:type="dxa"/>
            <w:noWrap/>
            <w:vAlign w:val="center"/>
            <w:hideMark/>
          </w:tcPr>
          <w:p w14:paraId="21AF032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stabilizovaných ploch v ZÚ</w:t>
            </w:r>
          </w:p>
        </w:tc>
      </w:tr>
      <w:tr w:rsidR="00CF1108" w:rsidRPr="006070EA" w14:paraId="6A2589AF" w14:textId="77777777" w:rsidTr="00A13D9A">
        <w:trPr>
          <w:cantSplit/>
          <w:trHeight w:val="300"/>
          <w:jc w:val="center"/>
        </w:trPr>
        <w:tc>
          <w:tcPr>
            <w:tcW w:w="460" w:type="dxa"/>
            <w:vMerge/>
            <w:vAlign w:val="center"/>
            <w:hideMark/>
          </w:tcPr>
          <w:p w14:paraId="494F784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08C6012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2F27FCD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190/2</w:t>
            </w:r>
          </w:p>
        </w:tc>
        <w:tc>
          <w:tcPr>
            <w:tcW w:w="953" w:type="dxa"/>
            <w:noWrap/>
            <w:vAlign w:val="center"/>
            <w:hideMark/>
          </w:tcPr>
          <w:p w14:paraId="2C1B36E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2B16B06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komerční prostory, sklad, výroba, st. parcely</w:t>
            </w:r>
          </w:p>
        </w:tc>
        <w:tc>
          <w:tcPr>
            <w:tcW w:w="950" w:type="dxa"/>
            <w:noWrap/>
            <w:vAlign w:val="center"/>
            <w:hideMark/>
          </w:tcPr>
          <w:p w14:paraId="207A7A3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15AF9A8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VL</w:t>
            </w:r>
          </w:p>
        </w:tc>
        <w:tc>
          <w:tcPr>
            <w:tcW w:w="2438" w:type="dxa"/>
            <w:noWrap/>
            <w:vAlign w:val="center"/>
            <w:hideMark/>
          </w:tcPr>
          <w:p w14:paraId="0CC7DAE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3AA98CED" w14:textId="77777777" w:rsidTr="00A13D9A">
        <w:trPr>
          <w:cantSplit/>
          <w:trHeight w:val="300"/>
          <w:jc w:val="center"/>
        </w:trPr>
        <w:tc>
          <w:tcPr>
            <w:tcW w:w="460" w:type="dxa"/>
            <w:noWrap/>
            <w:vAlign w:val="center"/>
            <w:hideMark/>
          </w:tcPr>
          <w:p w14:paraId="3D20008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w:t>
            </w:r>
          </w:p>
        </w:tc>
        <w:tc>
          <w:tcPr>
            <w:tcW w:w="958" w:type="dxa"/>
            <w:noWrap/>
            <w:vAlign w:val="center"/>
            <w:hideMark/>
          </w:tcPr>
          <w:p w14:paraId="0FC006F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27.11.2017</w:t>
            </w:r>
          </w:p>
        </w:tc>
        <w:tc>
          <w:tcPr>
            <w:tcW w:w="804" w:type="dxa"/>
            <w:noWrap/>
            <w:vAlign w:val="center"/>
            <w:hideMark/>
          </w:tcPr>
          <w:p w14:paraId="54D9059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142/1</w:t>
            </w:r>
          </w:p>
        </w:tc>
        <w:tc>
          <w:tcPr>
            <w:tcW w:w="953" w:type="dxa"/>
            <w:noWrap/>
            <w:vAlign w:val="center"/>
            <w:hideMark/>
          </w:tcPr>
          <w:p w14:paraId="24B8E22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63C8B9A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2686FA1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2334DD3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noWrap/>
            <w:vAlign w:val="center"/>
            <w:hideMark/>
          </w:tcPr>
          <w:p w14:paraId="3E1805F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2E775F30" w14:textId="77777777" w:rsidTr="00A13D9A">
        <w:trPr>
          <w:cantSplit/>
          <w:trHeight w:val="300"/>
          <w:jc w:val="center"/>
        </w:trPr>
        <w:tc>
          <w:tcPr>
            <w:tcW w:w="460" w:type="dxa"/>
            <w:noWrap/>
            <w:vAlign w:val="center"/>
            <w:hideMark/>
          </w:tcPr>
          <w:p w14:paraId="159042C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9</w:t>
            </w:r>
          </w:p>
        </w:tc>
        <w:tc>
          <w:tcPr>
            <w:tcW w:w="958" w:type="dxa"/>
            <w:noWrap/>
            <w:vAlign w:val="center"/>
            <w:hideMark/>
          </w:tcPr>
          <w:p w14:paraId="5A5EAE9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27.09.2017</w:t>
            </w:r>
          </w:p>
        </w:tc>
        <w:tc>
          <w:tcPr>
            <w:tcW w:w="804" w:type="dxa"/>
            <w:noWrap/>
            <w:vAlign w:val="center"/>
            <w:hideMark/>
          </w:tcPr>
          <w:p w14:paraId="7D5D096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113/1</w:t>
            </w:r>
          </w:p>
        </w:tc>
        <w:tc>
          <w:tcPr>
            <w:tcW w:w="953" w:type="dxa"/>
            <w:noWrap/>
            <w:vAlign w:val="center"/>
            <w:hideMark/>
          </w:tcPr>
          <w:p w14:paraId="753ED53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0686715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část pozemku převést na výstavbu RD</w:t>
            </w:r>
          </w:p>
        </w:tc>
        <w:tc>
          <w:tcPr>
            <w:tcW w:w="950" w:type="dxa"/>
            <w:noWrap/>
            <w:vAlign w:val="center"/>
            <w:hideMark/>
          </w:tcPr>
          <w:p w14:paraId="6EB66EF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67CBF68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noWrap/>
            <w:vAlign w:val="center"/>
            <w:hideMark/>
          </w:tcPr>
          <w:p w14:paraId="16BEBD78" w14:textId="12E8D1A2"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zastavitelná plocha Z</w:t>
            </w:r>
            <w:r w:rsidR="004F5B3B"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21</w:t>
            </w:r>
          </w:p>
        </w:tc>
      </w:tr>
      <w:tr w:rsidR="00CF1108" w:rsidRPr="006070EA" w14:paraId="6188C67F" w14:textId="77777777" w:rsidTr="00A13D9A">
        <w:trPr>
          <w:cantSplit/>
          <w:trHeight w:val="300"/>
          <w:jc w:val="center"/>
        </w:trPr>
        <w:tc>
          <w:tcPr>
            <w:tcW w:w="460" w:type="dxa"/>
            <w:noWrap/>
            <w:vAlign w:val="center"/>
            <w:hideMark/>
          </w:tcPr>
          <w:p w14:paraId="348B8FE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10</w:t>
            </w:r>
          </w:p>
        </w:tc>
        <w:tc>
          <w:tcPr>
            <w:tcW w:w="958" w:type="dxa"/>
            <w:noWrap/>
            <w:vAlign w:val="center"/>
            <w:hideMark/>
          </w:tcPr>
          <w:p w14:paraId="691D489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30.09.2016</w:t>
            </w:r>
          </w:p>
        </w:tc>
        <w:tc>
          <w:tcPr>
            <w:tcW w:w="804" w:type="dxa"/>
            <w:noWrap/>
            <w:vAlign w:val="center"/>
            <w:hideMark/>
          </w:tcPr>
          <w:p w14:paraId="2377C73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170</w:t>
            </w:r>
          </w:p>
        </w:tc>
        <w:tc>
          <w:tcPr>
            <w:tcW w:w="953" w:type="dxa"/>
            <w:noWrap/>
            <w:vAlign w:val="center"/>
            <w:hideMark/>
          </w:tcPr>
          <w:p w14:paraId="45225F7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52B489C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 nerušící výrobní činnost</w:t>
            </w:r>
          </w:p>
        </w:tc>
        <w:tc>
          <w:tcPr>
            <w:tcW w:w="950" w:type="dxa"/>
            <w:noWrap/>
            <w:vAlign w:val="center"/>
            <w:hideMark/>
          </w:tcPr>
          <w:p w14:paraId="731690A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43B9209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noWrap/>
            <w:vAlign w:val="center"/>
            <w:hideMark/>
          </w:tcPr>
          <w:p w14:paraId="30239E9D" w14:textId="08BEF0C6"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4F5B3B"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20</w:t>
            </w:r>
          </w:p>
        </w:tc>
      </w:tr>
      <w:tr w:rsidR="00CF1108" w:rsidRPr="006070EA" w14:paraId="36A4DC27" w14:textId="77777777" w:rsidTr="00A13D9A">
        <w:trPr>
          <w:cantSplit/>
          <w:trHeight w:val="300"/>
          <w:jc w:val="center"/>
        </w:trPr>
        <w:tc>
          <w:tcPr>
            <w:tcW w:w="460" w:type="dxa"/>
            <w:vMerge w:val="restart"/>
            <w:noWrap/>
            <w:vAlign w:val="center"/>
            <w:hideMark/>
          </w:tcPr>
          <w:p w14:paraId="5733F1B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11</w:t>
            </w:r>
          </w:p>
        </w:tc>
        <w:tc>
          <w:tcPr>
            <w:tcW w:w="958" w:type="dxa"/>
            <w:vMerge w:val="restart"/>
            <w:noWrap/>
            <w:vAlign w:val="center"/>
            <w:hideMark/>
          </w:tcPr>
          <w:p w14:paraId="7ECC014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18.10.2017</w:t>
            </w:r>
          </w:p>
        </w:tc>
        <w:tc>
          <w:tcPr>
            <w:tcW w:w="804" w:type="dxa"/>
            <w:noWrap/>
            <w:vAlign w:val="center"/>
            <w:hideMark/>
          </w:tcPr>
          <w:p w14:paraId="735A8CF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309/24</w:t>
            </w:r>
          </w:p>
        </w:tc>
        <w:tc>
          <w:tcPr>
            <w:tcW w:w="953" w:type="dxa"/>
            <w:noWrap/>
            <w:vAlign w:val="center"/>
            <w:hideMark/>
          </w:tcPr>
          <w:p w14:paraId="73DE96C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3D4C23C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plocha pro sportovní létající zařízení</w:t>
            </w:r>
          </w:p>
        </w:tc>
        <w:tc>
          <w:tcPr>
            <w:tcW w:w="950" w:type="dxa"/>
            <w:noWrap/>
            <w:vAlign w:val="center"/>
            <w:hideMark/>
          </w:tcPr>
          <w:p w14:paraId="2D05FD3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59CED721" w14:textId="5966BBFB"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004F5B3B" w:rsidRPr="006070EA">
              <w:rPr>
                <w:rFonts w:asciiTheme="majorHAnsi" w:eastAsia="Times New Roman" w:hAnsiTheme="majorHAnsi" w:cstheme="majorHAnsi"/>
                <w:color w:val="000000"/>
                <w:sz w:val="18"/>
                <w:szCs w:val="18"/>
                <w:lang w:eastAsia="cs-CZ"/>
              </w:rPr>
              <w:t>MU.s</w:t>
            </w:r>
            <w:proofErr w:type="gramEnd"/>
          </w:p>
        </w:tc>
        <w:tc>
          <w:tcPr>
            <w:tcW w:w="2438" w:type="dxa"/>
            <w:noWrap/>
            <w:vAlign w:val="center"/>
            <w:hideMark/>
          </w:tcPr>
          <w:p w14:paraId="6F1FEBC5" w14:textId="5D6D8239"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požadované využití umožněno v rámci podmínek využití ploch </w:t>
            </w:r>
            <w:proofErr w:type="gramStart"/>
            <w:r w:rsidR="00AA053D" w:rsidRPr="006070EA">
              <w:rPr>
                <w:rFonts w:asciiTheme="majorHAnsi" w:eastAsia="Times New Roman" w:hAnsiTheme="majorHAnsi" w:cstheme="majorHAnsi"/>
                <w:color w:val="000000"/>
                <w:sz w:val="18"/>
                <w:szCs w:val="18"/>
                <w:lang w:eastAsia="cs-CZ"/>
              </w:rPr>
              <w:t>MU.s</w:t>
            </w:r>
            <w:proofErr w:type="gramEnd"/>
          </w:p>
        </w:tc>
      </w:tr>
      <w:tr w:rsidR="00AA053D" w:rsidRPr="006070EA" w14:paraId="2C80E96A" w14:textId="77777777" w:rsidTr="00A13D9A">
        <w:trPr>
          <w:cantSplit/>
          <w:trHeight w:val="300"/>
          <w:jc w:val="center"/>
        </w:trPr>
        <w:tc>
          <w:tcPr>
            <w:tcW w:w="460" w:type="dxa"/>
            <w:vMerge/>
            <w:vAlign w:val="center"/>
            <w:hideMark/>
          </w:tcPr>
          <w:p w14:paraId="6D9E9A1C"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788B0B1F"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09369448"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309/25</w:t>
            </w:r>
          </w:p>
        </w:tc>
        <w:tc>
          <w:tcPr>
            <w:tcW w:w="953" w:type="dxa"/>
            <w:noWrap/>
            <w:vAlign w:val="center"/>
            <w:hideMark/>
          </w:tcPr>
          <w:p w14:paraId="0DE356EA"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658A10CB"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plocha pro sportovní létající zařízení</w:t>
            </w:r>
          </w:p>
        </w:tc>
        <w:tc>
          <w:tcPr>
            <w:tcW w:w="950" w:type="dxa"/>
            <w:noWrap/>
            <w:vAlign w:val="center"/>
            <w:hideMark/>
          </w:tcPr>
          <w:p w14:paraId="7CB32804"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00130D5B" w14:textId="18450BC2"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Pr="006070EA">
              <w:rPr>
                <w:rFonts w:asciiTheme="majorHAnsi" w:eastAsia="Times New Roman" w:hAnsiTheme="majorHAnsi" w:cstheme="majorHAnsi"/>
                <w:color w:val="000000"/>
                <w:sz w:val="18"/>
                <w:szCs w:val="18"/>
                <w:lang w:eastAsia="cs-CZ"/>
              </w:rPr>
              <w:t>MU.s</w:t>
            </w:r>
            <w:proofErr w:type="gramEnd"/>
          </w:p>
        </w:tc>
        <w:tc>
          <w:tcPr>
            <w:tcW w:w="2438" w:type="dxa"/>
            <w:noWrap/>
            <w:vAlign w:val="center"/>
            <w:hideMark/>
          </w:tcPr>
          <w:p w14:paraId="75F3FEBF" w14:textId="6D714273"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požadované využití umožněno v rámci podmínek využití ploch </w:t>
            </w:r>
            <w:proofErr w:type="gramStart"/>
            <w:r w:rsidRPr="006070EA">
              <w:rPr>
                <w:rFonts w:asciiTheme="majorHAnsi" w:eastAsia="Times New Roman" w:hAnsiTheme="majorHAnsi" w:cstheme="majorHAnsi"/>
                <w:color w:val="000000"/>
                <w:sz w:val="18"/>
                <w:szCs w:val="18"/>
                <w:lang w:eastAsia="cs-CZ"/>
              </w:rPr>
              <w:t>MU.s</w:t>
            </w:r>
            <w:proofErr w:type="gramEnd"/>
          </w:p>
        </w:tc>
      </w:tr>
      <w:tr w:rsidR="00AA053D" w:rsidRPr="006070EA" w14:paraId="46ABFE74" w14:textId="77777777" w:rsidTr="00A13D9A">
        <w:trPr>
          <w:cantSplit/>
          <w:trHeight w:val="300"/>
          <w:jc w:val="center"/>
        </w:trPr>
        <w:tc>
          <w:tcPr>
            <w:tcW w:w="460" w:type="dxa"/>
            <w:vMerge/>
            <w:vAlign w:val="center"/>
            <w:hideMark/>
          </w:tcPr>
          <w:p w14:paraId="68874AB7"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294A4C10"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2254C5C6"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309/31</w:t>
            </w:r>
          </w:p>
        </w:tc>
        <w:tc>
          <w:tcPr>
            <w:tcW w:w="953" w:type="dxa"/>
            <w:noWrap/>
            <w:vAlign w:val="center"/>
            <w:hideMark/>
          </w:tcPr>
          <w:p w14:paraId="29340D1B"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4CE785EC"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plocha pro sportovní létající zařízení</w:t>
            </w:r>
          </w:p>
        </w:tc>
        <w:tc>
          <w:tcPr>
            <w:tcW w:w="950" w:type="dxa"/>
            <w:noWrap/>
            <w:vAlign w:val="center"/>
            <w:hideMark/>
          </w:tcPr>
          <w:p w14:paraId="690982A7"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2CE62B4B" w14:textId="3B1555D3"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Pr="006070EA">
              <w:rPr>
                <w:rFonts w:asciiTheme="majorHAnsi" w:eastAsia="Times New Roman" w:hAnsiTheme="majorHAnsi" w:cstheme="majorHAnsi"/>
                <w:color w:val="000000"/>
                <w:sz w:val="18"/>
                <w:szCs w:val="18"/>
                <w:lang w:eastAsia="cs-CZ"/>
              </w:rPr>
              <w:t>MU.s</w:t>
            </w:r>
            <w:proofErr w:type="gramEnd"/>
          </w:p>
        </w:tc>
        <w:tc>
          <w:tcPr>
            <w:tcW w:w="2438" w:type="dxa"/>
            <w:noWrap/>
            <w:vAlign w:val="center"/>
            <w:hideMark/>
          </w:tcPr>
          <w:p w14:paraId="1517A1EF" w14:textId="23A91C29"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požadované využití umožněno v rámci podmínek využití ploch </w:t>
            </w:r>
            <w:proofErr w:type="gramStart"/>
            <w:r w:rsidRPr="006070EA">
              <w:rPr>
                <w:rFonts w:asciiTheme="majorHAnsi" w:eastAsia="Times New Roman" w:hAnsiTheme="majorHAnsi" w:cstheme="majorHAnsi"/>
                <w:color w:val="000000"/>
                <w:sz w:val="18"/>
                <w:szCs w:val="18"/>
                <w:lang w:eastAsia="cs-CZ"/>
              </w:rPr>
              <w:t>MU.s</w:t>
            </w:r>
            <w:proofErr w:type="gramEnd"/>
          </w:p>
        </w:tc>
      </w:tr>
      <w:tr w:rsidR="00AA053D" w:rsidRPr="006070EA" w14:paraId="3C1BDB05" w14:textId="77777777" w:rsidTr="00A13D9A">
        <w:trPr>
          <w:cantSplit/>
          <w:trHeight w:val="300"/>
          <w:jc w:val="center"/>
        </w:trPr>
        <w:tc>
          <w:tcPr>
            <w:tcW w:w="460" w:type="dxa"/>
            <w:vMerge/>
            <w:vAlign w:val="center"/>
            <w:hideMark/>
          </w:tcPr>
          <w:p w14:paraId="4F4D7D8F"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6AD6B37C"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49B08266"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114/68</w:t>
            </w:r>
          </w:p>
        </w:tc>
        <w:tc>
          <w:tcPr>
            <w:tcW w:w="953" w:type="dxa"/>
            <w:noWrap/>
            <w:vAlign w:val="center"/>
            <w:hideMark/>
          </w:tcPr>
          <w:p w14:paraId="138761B1"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4BBB8696"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plocha pro vybudování skladů a kanceláře</w:t>
            </w:r>
          </w:p>
        </w:tc>
        <w:tc>
          <w:tcPr>
            <w:tcW w:w="950" w:type="dxa"/>
            <w:noWrap/>
            <w:vAlign w:val="center"/>
            <w:hideMark/>
          </w:tcPr>
          <w:p w14:paraId="742706AD" w14:textId="336048F4"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1838010D" w14:textId="74A954B3"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Pr="006070EA">
              <w:rPr>
                <w:rFonts w:asciiTheme="majorHAnsi" w:eastAsia="Times New Roman" w:hAnsiTheme="majorHAnsi" w:cstheme="majorHAnsi"/>
                <w:color w:val="000000"/>
                <w:sz w:val="18"/>
                <w:szCs w:val="18"/>
                <w:lang w:eastAsia="cs-CZ"/>
              </w:rPr>
              <w:t>MU.s</w:t>
            </w:r>
            <w:proofErr w:type="gramEnd"/>
          </w:p>
        </w:tc>
        <w:tc>
          <w:tcPr>
            <w:tcW w:w="2438" w:type="dxa"/>
            <w:noWrap/>
            <w:vAlign w:val="center"/>
            <w:hideMark/>
          </w:tcPr>
          <w:p w14:paraId="378D2045" w14:textId="276F1FDC"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požadované využití umožněno v rámci podmínek využití ploch </w:t>
            </w:r>
            <w:proofErr w:type="gramStart"/>
            <w:r w:rsidRPr="006070EA">
              <w:rPr>
                <w:rFonts w:asciiTheme="majorHAnsi" w:eastAsia="Times New Roman" w:hAnsiTheme="majorHAnsi" w:cstheme="majorHAnsi"/>
                <w:color w:val="000000"/>
                <w:sz w:val="18"/>
                <w:szCs w:val="18"/>
                <w:lang w:eastAsia="cs-CZ"/>
              </w:rPr>
              <w:t>MU.s</w:t>
            </w:r>
            <w:proofErr w:type="gramEnd"/>
          </w:p>
        </w:tc>
      </w:tr>
      <w:tr w:rsidR="00CF1108" w:rsidRPr="006070EA" w14:paraId="44A0CA02" w14:textId="77777777" w:rsidTr="00A13D9A">
        <w:trPr>
          <w:cantSplit/>
          <w:trHeight w:val="300"/>
          <w:jc w:val="center"/>
        </w:trPr>
        <w:tc>
          <w:tcPr>
            <w:tcW w:w="460" w:type="dxa"/>
            <w:vMerge/>
            <w:vAlign w:val="center"/>
            <w:hideMark/>
          </w:tcPr>
          <w:p w14:paraId="13AE347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1D20B24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0A63DB8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75/1</w:t>
            </w:r>
          </w:p>
        </w:tc>
        <w:tc>
          <w:tcPr>
            <w:tcW w:w="953" w:type="dxa"/>
            <w:noWrap/>
            <w:vAlign w:val="center"/>
            <w:hideMark/>
          </w:tcPr>
          <w:p w14:paraId="33E8C6E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0424042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74C043C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0EF4190F" w14:textId="49FF8A2E"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AA053D" w:rsidRPr="006070EA">
              <w:rPr>
                <w:rFonts w:asciiTheme="majorHAnsi" w:eastAsia="Times New Roman" w:hAnsiTheme="majorHAnsi" w:cstheme="majorHAnsi"/>
                <w:color w:val="000000"/>
                <w:sz w:val="18"/>
                <w:szCs w:val="18"/>
                <w:lang w:eastAsia="cs-CZ"/>
              </w:rPr>
              <w:t>ZK</w:t>
            </w:r>
          </w:p>
        </w:tc>
        <w:tc>
          <w:tcPr>
            <w:tcW w:w="2438" w:type="dxa"/>
            <w:noWrap/>
            <w:vAlign w:val="center"/>
            <w:hideMark/>
          </w:tcPr>
          <w:p w14:paraId="4572151D" w14:textId="1F880D23"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sousedství vodního toku a lokálního biokoridoru L</w:t>
            </w:r>
            <w:r w:rsidR="00AA053D" w:rsidRPr="006070EA">
              <w:rPr>
                <w:rFonts w:asciiTheme="majorHAnsi" w:eastAsia="Times New Roman" w:hAnsiTheme="majorHAnsi" w:cstheme="majorHAnsi"/>
                <w:color w:val="000000"/>
                <w:sz w:val="18"/>
                <w:szCs w:val="18"/>
                <w:lang w:eastAsia="cs-CZ"/>
              </w:rPr>
              <w:t>B</w:t>
            </w:r>
            <w:r w:rsidRPr="006070EA">
              <w:rPr>
                <w:rFonts w:asciiTheme="majorHAnsi" w:eastAsia="Times New Roman" w:hAnsiTheme="majorHAnsi" w:cstheme="majorHAnsi"/>
                <w:color w:val="000000"/>
                <w:sz w:val="18"/>
                <w:szCs w:val="18"/>
                <w:lang w:eastAsia="cs-CZ"/>
              </w:rPr>
              <w:t>K</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2, rozvoj zástavby do volné krajiny, sídlo má ucelený a kompaktní tvar</w:t>
            </w:r>
          </w:p>
        </w:tc>
      </w:tr>
      <w:tr w:rsidR="00CF1108" w:rsidRPr="006070EA" w14:paraId="363561DD" w14:textId="77777777" w:rsidTr="00A13D9A">
        <w:trPr>
          <w:cantSplit/>
          <w:trHeight w:val="300"/>
          <w:jc w:val="center"/>
        </w:trPr>
        <w:tc>
          <w:tcPr>
            <w:tcW w:w="460" w:type="dxa"/>
            <w:noWrap/>
            <w:vAlign w:val="center"/>
            <w:hideMark/>
          </w:tcPr>
          <w:p w14:paraId="67728BB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12</w:t>
            </w:r>
          </w:p>
        </w:tc>
        <w:tc>
          <w:tcPr>
            <w:tcW w:w="958" w:type="dxa"/>
            <w:noWrap/>
            <w:vAlign w:val="center"/>
            <w:hideMark/>
          </w:tcPr>
          <w:p w14:paraId="3066AEE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15.12.2016</w:t>
            </w:r>
          </w:p>
        </w:tc>
        <w:tc>
          <w:tcPr>
            <w:tcW w:w="804" w:type="dxa"/>
            <w:noWrap/>
            <w:vAlign w:val="center"/>
            <w:hideMark/>
          </w:tcPr>
          <w:p w14:paraId="6E51332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265/15</w:t>
            </w:r>
          </w:p>
        </w:tc>
        <w:tc>
          <w:tcPr>
            <w:tcW w:w="953" w:type="dxa"/>
            <w:noWrap/>
            <w:vAlign w:val="center"/>
            <w:hideMark/>
          </w:tcPr>
          <w:p w14:paraId="3C2356F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32CB79B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4309990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624188A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část pozemku na SV</w:t>
            </w:r>
          </w:p>
        </w:tc>
        <w:tc>
          <w:tcPr>
            <w:tcW w:w="2438" w:type="dxa"/>
            <w:noWrap/>
            <w:vAlign w:val="center"/>
            <w:hideMark/>
          </w:tcPr>
          <w:p w14:paraId="07251F7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77463689" w14:textId="77777777" w:rsidTr="00A13D9A">
        <w:trPr>
          <w:cantSplit/>
          <w:trHeight w:val="300"/>
          <w:jc w:val="center"/>
        </w:trPr>
        <w:tc>
          <w:tcPr>
            <w:tcW w:w="460" w:type="dxa"/>
            <w:noWrap/>
            <w:vAlign w:val="center"/>
            <w:hideMark/>
          </w:tcPr>
          <w:p w14:paraId="38F82D4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13</w:t>
            </w:r>
          </w:p>
        </w:tc>
        <w:tc>
          <w:tcPr>
            <w:tcW w:w="958" w:type="dxa"/>
            <w:noWrap/>
            <w:vAlign w:val="center"/>
            <w:hideMark/>
          </w:tcPr>
          <w:p w14:paraId="23ED0BE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15.02.2018</w:t>
            </w:r>
          </w:p>
        </w:tc>
        <w:tc>
          <w:tcPr>
            <w:tcW w:w="804" w:type="dxa"/>
            <w:noWrap/>
            <w:vAlign w:val="center"/>
            <w:hideMark/>
          </w:tcPr>
          <w:p w14:paraId="57ED747A" w14:textId="35AC9F28"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noWrap/>
            <w:vAlign w:val="center"/>
            <w:hideMark/>
          </w:tcPr>
          <w:p w14:paraId="4B9A5FE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7C5F381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 lokalita 9 stávajícího ÚP ponechat pro RD</w:t>
            </w:r>
          </w:p>
        </w:tc>
        <w:tc>
          <w:tcPr>
            <w:tcW w:w="950" w:type="dxa"/>
            <w:noWrap/>
            <w:vAlign w:val="center"/>
            <w:hideMark/>
          </w:tcPr>
          <w:p w14:paraId="6BF7327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0557683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noWrap/>
            <w:vAlign w:val="center"/>
            <w:hideMark/>
          </w:tcPr>
          <w:p w14:paraId="05465C0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řešeno v rámci urbanistické koncepce a vymezení zastavitelných ploch a zastavěného území v sídle Lány</w:t>
            </w:r>
          </w:p>
        </w:tc>
      </w:tr>
      <w:tr w:rsidR="00CF1108" w:rsidRPr="006070EA" w14:paraId="0A0E8F14" w14:textId="77777777" w:rsidTr="00A13D9A">
        <w:trPr>
          <w:cantSplit/>
          <w:trHeight w:val="300"/>
          <w:jc w:val="center"/>
        </w:trPr>
        <w:tc>
          <w:tcPr>
            <w:tcW w:w="460" w:type="dxa"/>
            <w:noWrap/>
            <w:vAlign w:val="center"/>
            <w:hideMark/>
          </w:tcPr>
          <w:p w14:paraId="5BA7217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14</w:t>
            </w:r>
          </w:p>
        </w:tc>
        <w:tc>
          <w:tcPr>
            <w:tcW w:w="958" w:type="dxa"/>
            <w:noWrap/>
            <w:vAlign w:val="center"/>
            <w:hideMark/>
          </w:tcPr>
          <w:p w14:paraId="35BC1AF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31.01.2018</w:t>
            </w:r>
          </w:p>
        </w:tc>
        <w:tc>
          <w:tcPr>
            <w:tcW w:w="804" w:type="dxa"/>
            <w:noWrap/>
            <w:vAlign w:val="center"/>
            <w:hideMark/>
          </w:tcPr>
          <w:p w14:paraId="0C6340D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274/2</w:t>
            </w:r>
          </w:p>
        </w:tc>
        <w:tc>
          <w:tcPr>
            <w:tcW w:w="953" w:type="dxa"/>
            <w:noWrap/>
            <w:vAlign w:val="center"/>
            <w:hideMark/>
          </w:tcPr>
          <w:p w14:paraId="56BA1F3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3D4B540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0DE4218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03E6473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noWrap/>
            <w:vAlign w:val="center"/>
            <w:hideMark/>
          </w:tcPr>
          <w:p w14:paraId="34465A9A" w14:textId="02657116"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r>
      <w:tr w:rsidR="00CF1108" w:rsidRPr="006070EA" w14:paraId="75371442" w14:textId="77777777" w:rsidTr="00A13D9A">
        <w:trPr>
          <w:cantSplit/>
          <w:trHeight w:val="480"/>
          <w:jc w:val="center"/>
        </w:trPr>
        <w:tc>
          <w:tcPr>
            <w:tcW w:w="460" w:type="dxa"/>
            <w:noWrap/>
            <w:vAlign w:val="center"/>
            <w:hideMark/>
          </w:tcPr>
          <w:p w14:paraId="6B93B08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15</w:t>
            </w:r>
          </w:p>
        </w:tc>
        <w:tc>
          <w:tcPr>
            <w:tcW w:w="958" w:type="dxa"/>
            <w:noWrap/>
            <w:vAlign w:val="center"/>
            <w:hideMark/>
          </w:tcPr>
          <w:p w14:paraId="1BE8291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14.01.2020</w:t>
            </w:r>
          </w:p>
        </w:tc>
        <w:tc>
          <w:tcPr>
            <w:tcW w:w="804" w:type="dxa"/>
            <w:noWrap/>
            <w:vAlign w:val="center"/>
            <w:hideMark/>
          </w:tcPr>
          <w:p w14:paraId="347C857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184</w:t>
            </w:r>
          </w:p>
        </w:tc>
        <w:tc>
          <w:tcPr>
            <w:tcW w:w="953" w:type="dxa"/>
            <w:noWrap/>
            <w:vAlign w:val="center"/>
            <w:hideMark/>
          </w:tcPr>
          <w:p w14:paraId="2818C54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595409B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080630D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vAlign w:val="center"/>
            <w:hideMark/>
          </w:tcPr>
          <w:p w14:paraId="708C5CC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NZ</w:t>
            </w:r>
          </w:p>
        </w:tc>
        <w:tc>
          <w:tcPr>
            <w:tcW w:w="2438" w:type="dxa"/>
            <w:noWrap/>
            <w:vAlign w:val="center"/>
            <w:hideMark/>
          </w:tcPr>
          <w:p w14:paraId="53D032BB" w14:textId="24BEEA3B"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konflikt s koridorem </w:t>
            </w:r>
            <w:r w:rsidR="00AA053D" w:rsidRPr="006070EA">
              <w:rPr>
                <w:rFonts w:asciiTheme="majorHAnsi" w:eastAsia="Times New Roman" w:hAnsiTheme="majorHAnsi" w:cstheme="majorHAnsi"/>
                <w:color w:val="000000"/>
                <w:sz w:val="18"/>
                <w:szCs w:val="18"/>
                <w:lang w:eastAsia="cs-CZ"/>
              </w:rPr>
              <w:t>CNU.</w:t>
            </w:r>
            <w:r w:rsidRPr="006070EA">
              <w:rPr>
                <w:rFonts w:asciiTheme="majorHAnsi" w:eastAsia="Times New Roman" w:hAnsiTheme="majorHAnsi" w:cstheme="majorHAnsi"/>
                <w:color w:val="000000"/>
                <w:sz w:val="18"/>
                <w:szCs w:val="18"/>
                <w:lang w:eastAsia="cs-CZ"/>
              </w:rPr>
              <w:t>KD1 a s plánovanou přeložkou silnice III. třídy v tomto koridoru, požadavek nemá vztah k platnému ÚPO, blízkost železniční trati</w:t>
            </w:r>
          </w:p>
        </w:tc>
      </w:tr>
      <w:tr w:rsidR="00CF1108" w:rsidRPr="006070EA" w14:paraId="30ED5C93" w14:textId="77777777" w:rsidTr="00A13D9A">
        <w:trPr>
          <w:cantSplit/>
          <w:trHeight w:val="300"/>
          <w:jc w:val="center"/>
        </w:trPr>
        <w:tc>
          <w:tcPr>
            <w:tcW w:w="460" w:type="dxa"/>
            <w:noWrap/>
            <w:vAlign w:val="center"/>
            <w:hideMark/>
          </w:tcPr>
          <w:p w14:paraId="5D11307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16</w:t>
            </w:r>
          </w:p>
        </w:tc>
        <w:tc>
          <w:tcPr>
            <w:tcW w:w="958" w:type="dxa"/>
            <w:noWrap/>
            <w:vAlign w:val="center"/>
            <w:hideMark/>
          </w:tcPr>
          <w:p w14:paraId="777E502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10.01.2018</w:t>
            </w:r>
          </w:p>
        </w:tc>
        <w:tc>
          <w:tcPr>
            <w:tcW w:w="804" w:type="dxa"/>
            <w:noWrap/>
            <w:vAlign w:val="center"/>
            <w:hideMark/>
          </w:tcPr>
          <w:p w14:paraId="43D6B89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272/9</w:t>
            </w:r>
          </w:p>
        </w:tc>
        <w:tc>
          <w:tcPr>
            <w:tcW w:w="953" w:type="dxa"/>
            <w:noWrap/>
            <w:vAlign w:val="center"/>
            <w:hideMark/>
          </w:tcPr>
          <w:p w14:paraId="1F748EF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559C605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6B2974B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noWrap/>
            <w:vAlign w:val="center"/>
            <w:hideMark/>
          </w:tcPr>
          <w:p w14:paraId="306FCC1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noWrap/>
            <w:vAlign w:val="center"/>
            <w:hideMark/>
          </w:tcPr>
          <w:p w14:paraId="4BF5D4B1" w14:textId="610F4DDF"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19</w:t>
            </w:r>
          </w:p>
        </w:tc>
      </w:tr>
      <w:tr w:rsidR="00CF1108" w:rsidRPr="006070EA" w14:paraId="1B50D18D" w14:textId="77777777" w:rsidTr="00A13D9A">
        <w:trPr>
          <w:cantSplit/>
          <w:trHeight w:val="300"/>
          <w:jc w:val="center"/>
        </w:trPr>
        <w:tc>
          <w:tcPr>
            <w:tcW w:w="460" w:type="dxa"/>
            <w:vMerge w:val="restart"/>
            <w:noWrap/>
            <w:vAlign w:val="center"/>
            <w:hideMark/>
          </w:tcPr>
          <w:p w14:paraId="1D0537D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17</w:t>
            </w:r>
          </w:p>
        </w:tc>
        <w:tc>
          <w:tcPr>
            <w:tcW w:w="958" w:type="dxa"/>
            <w:vMerge w:val="restart"/>
            <w:noWrap/>
            <w:vAlign w:val="center"/>
            <w:hideMark/>
          </w:tcPr>
          <w:p w14:paraId="6C3AFA2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30.01.2018</w:t>
            </w:r>
          </w:p>
        </w:tc>
        <w:tc>
          <w:tcPr>
            <w:tcW w:w="804" w:type="dxa"/>
            <w:noWrap/>
            <w:vAlign w:val="center"/>
            <w:hideMark/>
          </w:tcPr>
          <w:p w14:paraId="2D9CABD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276/4</w:t>
            </w:r>
          </w:p>
        </w:tc>
        <w:tc>
          <w:tcPr>
            <w:tcW w:w="953" w:type="dxa"/>
            <w:noWrap/>
            <w:vAlign w:val="center"/>
            <w:hideMark/>
          </w:tcPr>
          <w:p w14:paraId="6E7893E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22CE94A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6A29AA3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noWrap/>
            <w:vAlign w:val="center"/>
            <w:hideMark/>
          </w:tcPr>
          <w:p w14:paraId="5B73571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noWrap/>
            <w:vAlign w:val="center"/>
            <w:hideMark/>
          </w:tcPr>
          <w:p w14:paraId="72E020A2" w14:textId="232B4BB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16</w:t>
            </w:r>
          </w:p>
        </w:tc>
      </w:tr>
      <w:tr w:rsidR="00CF1108" w:rsidRPr="006070EA" w14:paraId="0D0C0DDB" w14:textId="77777777" w:rsidTr="00A13D9A">
        <w:trPr>
          <w:cantSplit/>
          <w:trHeight w:val="300"/>
          <w:jc w:val="center"/>
        </w:trPr>
        <w:tc>
          <w:tcPr>
            <w:tcW w:w="460" w:type="dxa"/>
            <w:vMerge/>
            <w:vAlign w:val="center"/>
            <w:hideMark/>
          </w:tcPr>
          <w:p w14:paraId="0683DAE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0B70964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7940C4A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276/5</w:t>
            </w:r>
          </w:p>
        </w:tc>
        <w:tc>
          <w:tcPr>
            <w:tcW w:w="953" w:type="dxa"/>
            <w:noWrap/>
            <w:vAlign w:val="center"/>
            <w:hideMark/>
          </w:tcPr>
          <w:p w14:paraId="44C6203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7FCF22D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48778C4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noWrap/>
            <w:vAlign w:val="center"/>
            <w:hideMark/>
          </w:tcPr>
          <w:p w14:paraId="2D4D96C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noWrap/>
            <w:vAlign w:val="center"/>
            <w:hideMark/>
          </w:tcPr>
          <w:p w14:paraId="149E03FF" w14:textId="4F046DF1"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16</w:t>
            </w:r>
          </w:p>
        </w:tc>
      </w:tr>
      <w:tr w:rsidR="00CF1108" w:rsidRPr="006070EA" w14:paraId="4CCC721E" w14:textId="77777777" w:rsidTr="00A13D9A">
        <w:trPr>
          <w:cantSplit/>
          <w:trHeight w:val="300"/>
          <w:jc w:val="center"/>
        </w:trPr>
        <w:tc>
          <w:tcPr>
            <w:tcW w:w="460" w:type="dxa"/>
            <w:vMerge w:val="restart"/>
            <w:noWrap/>
            <w:vAlign w:val="center"/>
            <w:hideMark/>
          </w:tcPr>
          <w:p w14:paraId="227C313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lastRenderedPageBreak/>
              <w:t>18</w:t>
            </w:r>
          </w:p>
        </w:tc>
        <w:tc>
          <w:tcPr>
            <w:tcW w:w="958" w:type="dxa"/>
            <w:vMerge w:val="restart"/>
            <w:noWrap/>
            <w:vAlign w:val="center"/>
            <w:hideMark/>
          </w:tcPr>
          <w:p w14:paraId="1179270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05.02.2018</w:t>
            </w:r>
          </w:p>
        </w:tc>
        <w:tc>
          <w:tcPr>
            <w:tcW w:w="804" w:type="dxa"/>
            <w:noWrap/>
            <w:vAlign w:val="center"/>
            <w:hideMark/>
          </w:tcPr>
          <w:p w14:paraId="6FDC2BA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274/14</w:t>
            </w:r>
          </w:p>
        </w:tc>
        <w:tc>
          <w:tcPr>
            <w:tcW w:w="953" w:type="dxa"/>
            <w:noWrap/>
            <w:vAlign w:val="center"/>
            <w:hideMark/>
          </w:tcPr>
          <w:p w14:paraId="6C82E71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74E8B70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1EC22E4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noWrap/>
            <w:vAlign w:val="center"/>
            <w:hideMark/>
          </w:tcPr>
          <w:p w14:paraId="1A76568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noWrap/>
            <w:vAlign w:val="center"/>
            <w:hideMark/>
          </w:tcPr>
          <w:p w14:paraId="48E32342" w14:textId="77FA94CF"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18</w:t>
            </w:r>
          </w:p>
        </w:tc>
      </w:tr>
      <w:tr w:rsidR="00CF1108" w:rsidRPr="006070EA" w14:paraId="3321B59D" w14:textId="77777777" w:rsidTr="00A13D9A">
        <w:trPr>
          <w:cantSplit/>
          <w:trHeight w:val="300"/>
          <w:jc w:val="center"/>
        </w:trPr>
        <w:tc>
          <w:tcPr>
            <w:tcW w:w="460" w:type="dxa"/>
            <w:vMerge/>
            <w:vAlign w:val="center"/>
            <w:hideMark/>
          </w:tcPr>
          <w:p w14:paraId="5A42CC4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FA2ADE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2EF6846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274/24</w:t>
            </w:r>
          </w:p>
        </w:tc>
        <w:tc>
          <w:tcPr>
            <w:tcW w:w="953" w:type="dxa"/>
            <w:noWrap/>
            <w:vAlign w:val="center"/>
            <w:hideMark/>
          </w:tcPr>
          <w:p w14:paraId="42417B0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651A2DD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385E3B1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noWrap/>
            <w:vAlign w:val="center"/>
            <w:hideMark/>
          </w:tcPr>
          <w:p w14:paraId="120DF05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noWrap/>
            <w:vAlign w:val="center"/>
            <w:hideMark/>
          </w:tcPr>
          <w:p w14:paraId="3BC94325" w14:textId="632BB65E"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18</w:t>
            </w:r>
          </w:p>
        </w:tc>
      </w:tr>
      <w:tr w:rsidR="00CF1108" w:rsidRPr="006070EA" w14:paraId="5376306D" w14:textId="77777777" w:rsidTr="00A13D9A">
        <w:trPr>
          <w:cantSplit/>
          <w:trHeight w:val="300"/>
          <w:jc w:val="center"/>
        </w:trPr>
        <w:tc>
          <w:tcPr>
            <w:tcW w:w="460" w:type="dxa"/>
            <w:vMerge/>
            <w:vAlign w:val="center"/>
            <w:hideMark/>
          </w:tcPr>
          <w:p w14:paraId="2F41135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6E8FB92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1ABE46F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275/15</w:t>
            </w:r>
          </w:p>
        </w:tc>
        <w:tc>
          <w:tcPr>
            <w:tcW w:w="953" w:type="dxa"/>
            <w:noWrap/>
            <w:vAlign w:val="center"/>
            <w:hideMark/>
          </w:tcPr>
          <w:p w14:paraId="10B51DB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0F41C0D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6890876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noWrap/>
            <w:vAlign w:val="center"/>
            <w:hideMark/>
          </w:tcPr>
          <w:p w14:paraId="0BA8095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noWrap/>
            <w:vAlign w:val="center"/>
            <w:hideMark/>
          </w:tcPr>
          <w:p w14:paraId="487BE111" w14:textId="1F002704"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17</w:t>
            </w:r>
          </w:p>
        </w:tc>
      </w:tr>
      <w:tr w:rsidR="00CF1108" w:rsidRPr="006070EA" w14:paraId="4E73C6BA" w14:textId="77777777" w:rsidTr="00A13D9A">
        <w:trPr>
          <w:cantSplit/>
          <w:trHeight w:val="300"/>
          <w:jc w:val="center"/>
        </w:trPr>
        <w:tc>
          <w:tcPr>
            <w:tcW w:w="460" w:type="dxa"/>
            <w:vMerge w:val="restart"/>
            <w:noWrap/>
            <w:vAlign w:val="center"/>
            <w:hideMark/>
          </w:tcPr>
          <w:p w14:paraId="782CAAF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19</w:t>
            </w:r>
          </w:p>
        </w:tc>
        <w:tc>
          <w:tcPr>
            <w:tcW w:w="958" w:type="dxa"/>
            <w:vMerge w:val="restart"/>
            <w:noWrap/>
            <w:vAlign w:val="center"/>
            <w:hideMark/>
          </w:tcPr>
          <w:p w14:paraId="64A8097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28.08.2019</w:t>
            </w:r>
          </w:p>
        </w:tc>
        <w:tc>
          <w:tcPr>
            <w:tcW w:w="804" w:type="dxa"/>
            <w:noWrap/>
            <w:vAlign w:val="center"/>
            <w:hideMark/>
          </w:tcPr>
          <w:p w14:paraId="1D7F1EF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107/1</w:t>
            </w:r>
          </w:p>
        </w:tc>
        <w:tc>
          <w:tcPr>
            <w:tcW w:w="953" w:type="dxa"/>
            <w:noWrap/>
            <w:vAlign w:val="center"/>
            <w:hideMark/>
          </w:tcPr>
          <w:p w14:paraId="30D4180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53AA17F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 kanceláře</w:t>
            </w:r>
          </w:p>
        </w:tc>
        <w:tc>
          <w:tcPr>
            <w:tcW w:w="950" w:type="dxa"/>
            <w:noWrap/>
            <w:vAlign w:val="center"/>
            <w:hideMark/>
          </w:tcPr>
          <w:p w14:paraId="3F660F4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noWrap/>
            <w:vAlign w:val="center"/>
            <w:hideMark/>
          </w:tcPr>
          <w:p w14:paraId="496531F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noWrap/>
            <w:vAlign w:val="center"/>
            <w:hideMark/>
          </w:tcPr>
          <w:p w14:paraId="4A3AD7C0" w14:textId="63E58963"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18</w:t>
            </w:r>
          </w:p>
        </w:tc>
      </w:tr>
      <w:tr w:rsidR="00CF1108" w:rsidRPr="006070EA" w14:paraId="6784E776" w14:textId="77777777" w:rsidTr="00A13D9A">
        <w:trPr>
          <w:cantSplit/>
          <w:trHeight w:val="300"/>
          <w:jc w:val="center"/>
        </w:trPr>
        <w:tc>
          <w:tcPr>
            <w:tcW w:w="460" w:type="dxa"/>
            <w:vMerge/>
            <w:vAlign w:val="center"/>
            <w:hideMark/>
          </w:tcPr>
          <w:p w14:paraId="4A9BAF9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51AB8AB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3CF5996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274/16</w:t>
            </w:r>
          </w:p>
        </w:tc>
        <w:tc>
          <w:tcPr>
            <w:tcW w:w="953" w:type="dxa"/>
            <w:noWrap/>
            <w:vAlign w:val="center"/>
            <w:hideMark/>
          </w:tcPr>
          <w:p w14:paraId="350AAEC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75DEEDA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 kanceláře</w:t>
            </w:r>
          </w:p>
        </w:tc>
        <w:tc>
          <w:tcPr>
            <w:tcW w:w="950" w:type="dxa"/>
            <w:noWrap/>
            <w:vAlign w:val="center"/>
            <w:hideMark/>
          </w:tcPr>
          <w:p w14:paraId="044F8A0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noWrap/>
            <w:vAlign w:val="center"/>
            <w:hideMark/>
          </w:tcPr>
          <w:p w14:paraId="7A6E826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noWrap/>
            <w:vAlign w:val="center"/>
            <w:hideMark/>
          </w:tcPr>
          <w:p w14:paraId="7C8DD081" w14:textId="77D478FF"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18</w:t>
            </w:r>
          </w:p>
        </w:tc>
      </w:tr>
      <w:tr w:rsidR="00CF1108" w:rsidRPr="006070EA" w14:paraId="197F46CC" w14:textId="77777777" w:rsidTr="00A13D9A">
        <w:trPr>
          <w:cantSplit/>
          <w:trHeight w:val="300"/>
          <w:jc w:val="center"/>
        </w:trPr>
        <w:tc>
          <w:tcPr>
            <w:tcW w:w="460" w:type="dxa"/>
            <w:vMerge/>
            <w:vAlign w:val="center"/>
            <w:hideMark/>
          </w:tcPr>
          <w:p w14:paraId="70B08AC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3FC9109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1F8E6D7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374</w:t>
            </w:r>
          </w:p>
        </w:tc>
        <w:tc>
          <w:tcPr>
            <w:tcW w:w="953" w:type="dxa"/>
            <w:noWrap/>
            <w:vAlign w:val="center"/>
            <w:hideMark/>
          </w:tcPr>
          <w:p w14:paraId="360A245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3E2089E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 kanceláře</w:t>
            </w:r>
          </w:p>
        </w:tc>
        <w:tc>
          <w:tcPr>
            <w:tcW w:w="950" w:type="dxa"/>
            <w:noWrap/>
            <w:vAlign w:val="center"/>
            <w:hideMark/>
          </w:tcPr>
          <w:p w14:paraId="01571F2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noWrap/>
            <w:vAlign w:val="center"/>
            <w:hideMark/>
          </w:tcPr>
          <w:p w14:paraId="0653433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noWrap/>
            <w:vAlign w:val="center"/>
            <w:hideMark/>
          </w:tcPr>
          <w:p w14:paraId="43471862" w14:textId="61CEA2E1"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.1</w:t>
            </w:r>
            <w:r w:rsidRPr="006070EA">
              <w:rPr>
                <w:rFonts w:asciiTheme="majorHAnsi" w:eastAsia="Times New Roman" w:hAnsiTheme="majorHAnsi" w:cstheme="majorHAnsi"/>
                <w:color w:val="000000"/>
                <w:sz w:val="18"/>
                <w:szCs w:val="18"/>
                <w:lang w:eastAsia="cs-CZ"/>
              </w:rPr>
              <w:t>8</w:t>
            </w:r>
          </w:p>
        </w:tc>
      </w:tr>
      <w:tr w:rsidR="00CF1108" w:rsidRPr="006070EA" w14:paraId="0D4391A4" w14:textId="77777777" w:rsidTr="00A13D9A">
        <w:trPr>
          <w:cantSplit/>
          <w:trHeight w:val="300"/>
          <w:jc w:val="center"/>
        </w:trPr>
        <w:tc>
          <w:tcPr>
            <w:tcW w:w="460" w:type="dxa"/>
            <w:vMerge w:val="restart"/>
            <w:noWrap/>
            <w:vAlign w:val="center"/>
            <w:hideMark/>
          </w:tcPr>
          <w:p w14:paraId="42CBB68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20</w:t>
            </w:r>
          </w:p>
        </w:tc>
        <w:tc>
          <w:tcPr>
            <w:tcW w:w="958" w:type="dxa"/>
            <w:vMerge w:val="restart"/>
            <w:noWrap/>
            <w:vAlign w:val="center"/>
            <w:hideMark/>
          </w:tcPr>
          <w:p w14:paraId="1C256E1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25.09.2017</w:t>
            </w:r>
          </w:p>
        </w:tc>
        <w:tc>
          <w:tcPr>
            <w:tcW w:w="804" w:type="dxa"/>
            <w:noWrap/>
            <w:vAlign w:val="center"/>
            <w:hideMark/>
          </w:tcPr>
          <w:p w14:paraId="62FE6D6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414</w:t>
            </w:r>
          </w:p>
        </w:tc>
        <w:tc>
          <w:tcPr>
            <w:tcW w:w="953" w:type="dxa"/>
            <w:noWrap/>
            <w:vAlign w:val="center"/>
            <w:hideMark/>
          </w:tcPr>
          <w:p w14:paraId="55B7257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6E24158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795B903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48B8B7F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noWrap/>
            <w:vAlign w:val="center"/>
            <w:hideMark/>
          </w:tcPr>
          <w:p w14:paraId="71776AA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1335C867" w14:textId="77777777" w:rsidTr="00A13D9A">
        <w:trPr>
          <w:cantSplit/>
          <w:trHeight w:val="300"/>
          <w:jc w:val="center"/>
        </w:trPr>
        <w:tc>
          <w:tcPr>
            <w:tcW w:w="460" w:type="dxa"/>
            <w:vMerge/>
            <w:vAlign w:val="center"/>
            <w:hideMark/>
          </w:tcPr>
          <w:p w14:paraId="7436F58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7B770C2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211AC7D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423</w:t>
            </w:r>
          </w:p>
        </w:tc>
        <w:tc>
          <w:tcPr>
            <w:tcW w:w="953" w:type="dxa"/>
            <w:noWrap/>
            <w:vAlign w:val="center"/>
            <w:hideMark/>
          </w:tcPr>
          <w:p w14:paraId="1B70F3B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5743B72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5BD6726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4CEF3FA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noWrap/>
            <w:vAlign w:val="center"/>
            <w:hideMark/>
          </w:tcPr>
          <w:p w14:paraId="1169643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21A6A159" w14:textId="77777777" w:rsidTr="00A13D9A">
        <w:trPr>
          <w:cantSplit/>
          <w:trHeight w:val="300"/>
          <w:jc w:val="center"/>
        </w:trPr>
        <w:tc>
          <w:tcPr>
            <w:tcW w:w="460" w:type="dxa"/>
            <w:vMerge/>
            <w:vAlign w:val="center"/>
            <w:hideMark/>
          </w:tcPr>
          <w:p w14:paraId="1155E30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26F31B3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57681C7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424</w:t>
            </w:r>
          </w:p>
        </w:tc>
        <w:tc>
          <w:tcPr>
            <w:tcW w:w="953" w:type="dxa"/>
            <w:noWrap/>
            <w:vAlign w:val="center"/>
            <w:hideMark/>
          </w:tcPr>
          <w:p w14:paraId="5018FB5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696FFB7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080F1EE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47209A5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noWrap/>
            <w:vAlign w:val="center"/>
            <w:hideMark/>
          </w:tcPr>
          <w:p w14:paraId="48CDFE6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17123B08" w14:textId="77777777" w:rsidTr="00A13D9A">
        <w:trPr>
          <w:cantSplit/>
          <w:trHeight w:val="300"/>
          <w:jc w:val="center"/>
        </w:trPr>
        <w:tc>
          <w:tcPr>
            <w:tcW w:w="460" w:type="dxa"/>
            <w:vMerge/>
            <w:vAlign w:val="center"/>
            <w:hideMark/>
          </w:tcPr>
          <w:p w14:paraId="10888F9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61F8D5B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222C9D9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275/11</w:t>
            </w:r>
          </w:p>
        </w:tc>
        <w:tc>
          <w:tcPr>
            <w:tcW w:w="953" w:type="dxa"/>
            <w:noWrap/>
            <w:vAlign w:val="center"/>
            <w:hideMark/>
          </w:tcPr>
          <w:p w14:paraId="24A73D5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3EEA14D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352F5AB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74B7348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noWrap/>
            <w:vAlign w:val="center"/>
            <w:hideMark/>
          </w:tcPr>
          <w:p w14:paraId="3367256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CF1108" w:rsidRPr="006070EA" w14:paraId="1D4E37A8" w14:textId="77777777" w:rsidTr="00A13D9A">
        <w:trPr>
          <w:cantSplit/>
          <w:trHeight w:val="300"/>
          <w:jc w:val="center"/>
        </w:trPr>
        <w:tc>
          <w:tcPr>
            <w:tcW w:w="460" w:type="dxa"/>
            <w:vMerge/>
            <w:vAlign w:val="center"/>
            <w:hideMark/>
          </w:tcPr>
          <w:p w14:paraId="316F633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193F2A5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2748769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204</w:t>
            </w:r>
          </w:p>
        </w:tc>
        <w:tc>
          <w:tcPr>
            <w:tcW w:w="953" w:type="dxa"/>
            <w:noWrap/>
            <w:vAlign w:val="center"/>
            <w:hideMark/>
          </w:tcPr>
          <w:p w14:paraId="21FA6C0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1F0F14F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20A4526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5AFADB6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noWrap/>
            <w:vAlign w:val="center"/>
            <w:hideMark/>
          </w:tcPr>
          <w:p w14:paraId="64BF6338" w14:textId="1775EF58"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17</w:t>
            </w:r>
          </w:p>
        </w:tc>
      </w:tr>
      <w:tr w:rsidR="00CF1108" w:rsidRPr="006070EA" w14:paraId="2F7C9051" w14:textId="77777777" w:rsidTr="00A13D9A">
        <w:trPr>
          <w:cantSplit/>
          <w:trHeight w:val="300"/>
          <w:jc w:val="center"/>
        </w:trPr>
        <w:tc>
          <w:tcPr>
            <w:tcW w:w="460" w:type="dxa"/>
            <w:vMerge/>
            <w:vAlign w:val="center"/>
            <w:hideMark/>
          </w:tcPr>
          <w:p w14:paraId="5CB9F97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65A4A82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78D4543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275/1</w:t>
            </w:r>
          </w:p>
        </w:tc>
        <w:tc>
          <w:tcPr>
            <w:tcW w:w="953" w:type="dxa"/>
            <w:noWrap/>
            <w:vAlign w:val="center"/>
            <w:hideMark/>
          </w:tcPr>
          <w:p w14:paraId="04AF664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57F2556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06C42EF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2F4955BA" w14:textId="6B43A50E"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00AA053D" w:rsidRPr="006070EA">
              <w:rPr>
                <w:rFonts w:asciiTheme="majorHAnsi" w:eastAsia="Times New Roman" w:hAnsiTheme="majorHAnsi" w:cstheme="majorHAnsi"/>
                <w:color w:val="000000"/>
                <w:sz w:val="18"/>
                <w:szCs w:val="18"/>
                <w:lang w:eastAsia="cs-CZ"/>
              </w:rPr>
              <w:t>MU.zp</w:t>
            </w:r>
            <w:proofErr w:type="gramEnd"/>
          </w:p>
        </w:tc>
        <w:tc>
          <w:tcPr>
            <w:tcW w:w="2438" w:type="dxa"/>
            <w:noWrap/>
            <w:vAlign w:val="center"/>
            <w:hideMark/>
          </w:tcPr>
          <w:p w14:paraId="2B6A7E50" w14:textId="0971BF9A"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plocha ve volné krajině, pozemek je částečně součástí lokálního biokoridoru L</w:t>
            </w:r>
            <w:r w:rsidR="00AA053D" w:rsidRPr="006070EA">
              <w:rPr>
                <w:rFonts w:asciiTheme="majorHAnsi" w:eastAsia="Times New Roman" w:hAnsiTheme="majorHAnsi" w:cstheme="majorHAnsi"/>
                <w:color w:val="000000"/>
                <w:sz w:val="18"/>
                <w:szCs w:val="18"/>
                <w:lang w:eastAsia="cs-CZ"/>
              </w:rPr>
              <w:t>B</w:t>
            </w:r>
            <w:r w:rsidRPr="006070EA">
              <w:rPr>
                <w:rFonts w:asciiTheme="majorHAnsi" w:eastAsia="Times New Roman" w:hAnsiTheme="majorHAnsi" w:cstheme="majorHAnsi"/>
                <w:color w:val="000000"/>
                <w:sz w:val="18"/>
                <w:szCs w:val="18"/>
                <w:lang w:eastAsia="cs-CZ"/>
              </w:rPr>
              <w:t>K</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2</w:t>
            </w:r>
          </w:p>
        </w:tc>
      </w:tr>
      <w:tr w:rsidR="00CF1108" w:rsidRPr="006070EA" w14:paraId="2D0EE99A" w14:textId="77777777" w:rsidTr="00A13D9A">
        <w:trPr>
          <w:cantSplit/>
          <w:trHeight w:val="300"/>
          <w:jc w:val="center"/>
        </w:trPr>
        <w:tc>
          <w:tcPr>
            <w:tcW w:w="460" w:type="dxa"/>
            <w:vMerge/>
            <w:vAlign w:val="center"/>
            <w:hideMark/>
          </w:tcPr>
          <w:p w14:paraId="58B9315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53A5CB9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1A81220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202</w:t>
            </w:r>
          </w:p>
        </w:tc>
        <w:tc>
          <w:tcPr>
            <w:tcW w:w="953" w:type="dxa"/>
            <w:noWrap/>
            <w:vAlign w:val="center"/>
            <w:hideMark/>
          </w:tcPr>
          <w:p w14:paraId="6704024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1FD8F29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60DEF0D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noWrap/>
            <w:vAlign w:val="center"/>
            <w:hideMark/>
          </w:tcPr>
          <w:p w14:paraId="63CADA4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noWrap/>
            <w:vAlign w:val="center"/>
            <w:hideMark/>
          </w:tcPr>
          <w:p w14:paraId="78248BAA" w14:textId="6BD03150"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17</w:t>
            </w:r>
          </w:p>
        </w:tc>
      </w:tr>
      <w:tr w:rsidR="00CF1108" w:rsidRPr="006070EA" w14:paraId="3D0902EE" w14:textId="77777777" w:rsidTr="00A13D9A">
        <w:trPr>
          <w:cantSplit/>
          <w:trHeight w:val="300"/>
          <w:jc w:val="center"/>
        </w:trPr>
        <w:tc>
          <w:tcPr>
            <w:tcW w:w="460" w:type="dxa"/>
            <w:vMerge/>
            <w:vAlign w:val="center"/>
            <w:hideMark/>
          </w:tcPr>
          <w:p w14:paraId="302481B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0390982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5D2AE29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481</w:t>
            </w:r>
          </w:p>
        </w:tc>
        <w:tc>
          <w:tcPr>
            <w:tcW w:w="953" w:type="dxa"/>
            <w:noWrap/>
            <w:vAlign w:val="center"/>
            <w:hideMark/>
          </w:tcPr>
          <w:p w14:paraId="5144B34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539F33A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1D8DDE6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noWrap/>
            <w:vAlign w:val="center"/>
            <w:hideMark/>
          </w:tcPr>
          <w:p w14:paraId="669A8AA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 částečně</w:t>
            </w:r>
          </w:p>
        </w:tc>
        <w:tc>
          <w:tcPr>
            <w:tcW w:w="2438" w:type="dxa"/>
            <w:noWrap/>
            <w:vAlign w:val="center"/>
            <w:hideMark/>
          </w:tcPr>
          <w:p w14:paraId="51C63C6D" w14:textId="2D00B702"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17</w:t>
            </w:r>
          </w:p>
        </w:tc>
      </w:tr>
      <w:tr w:rsidR="00CF1108" w:rsidRPr="006070EA" w14:paraId="247779E8" w14:textId="77777777" w:rsidTr="00A13D9A">
        <w:trPr>
          <w:cantSplit/>
          <w:trHeight w:val="300"/>
          <w:jc w:val="center"/>
        </w:trPr>
        <w:tc>
          <w:tcPr>
            <w:tcW w:w="460" w:type="dxa"/>
            <w:noWrap/>
            <w:vAlign w:val="center"/>
            <w:hideMark/>
          </w:tcPr>
          <w:p w14:paraId="1DC23C6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21</w:t>
            </w:r>
          </w:p>
        </w:tc>
        <w:tc>
          <w:tcPr>
            <w:tcW w:w="958" w:type="dxa"/>
            <w:noWrap/>
            <w:vAlign w:val="center"/>
            <w:hideMark/>
          </w:tcPr>
          <w:p w14:paraId="3F9504E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11.12.2017</w:t>
            </w:r>
          </w:p>
        </w:tc>
        <w:tc>
          <w:tcPr>
            <w:tcW w:w="804" w:type="dxa"/>
            <w:noWrap/>
            <w:vAlign w:val="center"/>
            <w:hideMark/>
          </w:tcPr>
          <w:p w14:paraId="52E8F91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894/21</w:t>
            </w:r>
          </w:p>
        </w:tc>
        <w:tc>
          <w:tcPr>
            <w:tcW w:w="953" w:type="dxa"/>
            <w:noWrap/>
            <w:vAlign w:val="center"/>
            <w:hideMark/>
          </w:tcPr>
          <w:p w14:paraId="4EA7C60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15651E5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6349A5A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1B63E9E8" w14:textId="6AD8A80E"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AA053D" w:rsidRPr="006070EA">
              <w:rPr>
                <w:rFonts w:asciiTheme="majorHAnsi" w:eastAsia="Times New Roman" w:hAnsiTheme="majorHAnsi" w:cstheme="majorHAnsi"/>
                <w:color w:val="000000"/>
                <w:sz w:val="18"/>
                <w:szCs w:val="18"/>
                <w:lang w:eastAsia="cs-CZ"/>
              </w:rPr>
              <w:t>AU</w:t>
            </w:r>
          </w:p>
        </w:tc>
        <w:tc>
          <w:tcPr>
            <w:tcW w:w="2438" w:type="dxa"/>
            <w:noWrap/>
            <w:vAlign w:val="center"/>
            <w:hideMark/>
          </w:tcPr>
          <w:p w14:paraId="631129A5" w14:textId="4B2CA4F6"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konflikt s koridorem </w:t>
            </w:r>
            <w:r w:rsidR="00AA053D" w:rsidRPr="006070EA">
              <w:rPr>
                <w:rFonts w:asciiTheme="majorHAnsi" w:eastAsia="Times New Roman" w:hAnsiTheme="majorHAnsi" w:cstheme="majorHAnsi"/>
                <w:color w:val="000000"/>
                <w:sz w:val="18"/>
                <w:szCs w:val="18"/>
                <w:lang w:eastAsia="cs-CZ"/>
              </w:rPr>
              <w:t>CNU.</w:t>
            </w:r>
            <w:r w:rsidRPr="006070EA">
              <w:rPr>
                <w:rFonts w:asciiTheme="majorHAnsi" w:eastAsia="Times New Roman" w:hAnsiTheme="majorHAnsi" w:cstheme="majorHAnsi"/>
                <w:color w:val="000000"/>
                <w:sz w:val="18"/>
                <w:szCs w:val="18"/>
                <w:lang w:eastAsia="cs-CZ"/>
              </w:rPr>
              <w:t>KD1, nežádoucí rozvoj zástavby do volné krajiny</w:t>
            </w:r>
          </w:p>
        </w:tc>
      </w:tr>
      <w:tr w:rsidR="00CF1108" w:rsidRPr="006070EA" w14:paraId="46095588" w14:textId="77777777" w:rsidTr="00A13D9A">
        <w:trPr>
          <w:cantSplit/>
          <w:trHeight w:val="300"/>
          <w:jc w:val="center"/>
        </w:trPr>
        <w:tc>
          <w:tcPr>
            <w:tcW w:w="460" w:type="dxa"/>
            <w:vMerge w:val="restart"/>
            <w:noWrap/>
            <w:vAlign w:val="center"/>
            <w:hideMark/>
          </w:tcPr>
          <w:p w14:paraId="168C806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22</w:t>
            </w:r>
          </w:p>
        </w:tc>
        <w:tc>
          <w:tcPr>
            <w:tcW w:w="958" w:type="dxa"/>
            <w:vMerge w:val="restart"/>
            <w:noWrap/>
            <w:vAlign w:val="center"/>
            <w:hideMark/>
          </w:tcPr>
          <w:p w14:paraId="27263E4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11.01.2016</w:t>
            </w:r>
          </w:p>
        </w:tc>
        <w:tc>
          <w:tcPr>
            <w:tcW w:w="804" w:type="dxa"/>
            <w:noWrap/>
            <w:vAlign w:val="center"/>
            <w:hideMark/>
          </w:tcPr>
          <w:p w14:paraId="012F8A8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856/19</w:t>
            </w:r>
          </w:p>
        </w:tc>
        <w:tc>
          <w:tcPr>
            <w:tcW w:w="953" w:type="dxa"/>
            <w:noWrap/>
            <w:vAlign w:val="center"/>
            <w:hideMark/>
          </w:tcPr>
          <w:p w14:paraId="17E3008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7A9791C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23BFA19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noWrap/>
            <w:vAlign w:val="center"/>
            <w:hideMark/>
          </w:tcPr>
          <w:p w14:paraId="09A72BD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BI částečně</w:t>
            </w:r>
          </w:p>
        </w:tc>
        <w:tc>
          <w:tcPr>
            <w:tcW w:w="2438" w:type="dxa"/>
            <w:noWrap/>
            <w:vAlign w:val="center"/>
            <w:hideMark/>
          </w:tcPr>
          <w:p w14:paraId="6D49DF53" w14:textId="14B40112"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06</w:t>
            </w:r>
          </w:p>
        </w:tc>
      </w:tr>
      <w:tr w:rsidR="00CF1108" w:rsidRPr="006070EA" w14:paraId="155400E6" w14:textId="77777777" w:rsidTr="00A13D9A">
        <w:trPr>
          <w:cantSplit/>
          <w:trHeight w:val="300"/>
          <w:jc w:val="center"/>
        </w:trPr>
        <w:tc>
          <w:tcPr>
            <w:tcW w:w="460" w:type="dxa"/>
            <w:vMerge/>
            <w:vAlign w:val="center"/>
            <w:hideMark/>
          </w:tcPr>
          <w:p w14:paraId="6F232F4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33D98DB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3C1E4D9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855/8 (oprava - 855/9)</w:t>
            </w:r>
          </w:p>
        </w:tc>
        <w:tc>
          <w:tcPr>
            <w:tcW w:w="953" w:type="dxa"/>
            <w:noWrap/>
            <w:vAlign w:val="center"/>
            <w:hideMark/>
          </w:tcPr>
          <w:p w14:paraId="7192945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1F5166D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10E3C1A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noWrap/>
            <w:vAlign w:val="center"/>
            <w:hideMark/>
          </w:tcPr>
          <w:p w14:paraId="0C88818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BI částečně</w:t>
            </w:r>
          </w:p>
        </w:tc>
        <w:tc>
          <w:tcPr>
            <w:tcW w:w="2438" w:type="dxa"/>
            <w:noWrap/>
            <w:vAlign w:val="center"/>
            <w:hideMark/>
          </w:tcPr>
          <w:p w14:paraId="6BDCEBEE" w14:textId="5899DD3D"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06</w:t>
            </w:r>
          </w:p>
        </w:tc>
      </w:tr>
      <w:tr w:rsidR="00CF1108" w:rsidRPr="006070EA" w14:paraId="4EF754A8" w14:textId="77777777" w:rsidTr="00A13D9A">
        <w:trPr>
          <w:cantSplit/>
          <w:trHeight w:val="300"/>
          <w:jc w:val="center"/>
        </w:trPr>
        <w:tc>
          <w:tcPr>
            <w:tcW w:w="460" w:type="dxa"/>
            <w:vMerge/>
            <w:vAlign w:val="center"/>
            <w:hideMark/>
          </w:tcPr>
          <w:p w14:paraId="52B33FB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19FFFE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322867F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1010/1</w:t>
            </w:r>
          </w:p>
        </w:tc>
        <w:tc>
          <w:tcPr>
            <w:tcW w:w="953" w:type="dxa"/>
            <w:noWrap/>
            <w:vAlign w:val="center"/>
            <w:hideMark/>
          </w:tcPr>
          <w:p w14:paraId="5329CAB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0552DA1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5684CD9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noWrap/>
            <w:vAlign w:val="center"/>
            <w:hideMark/>
          </w:tcPr>
          <w:p w14:paraId="3FCFE6A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noWrap/>
            <w:vAlign w:val="center"/>
            <w:hideMark/>
          </w:tcPr>
          <w:p w14:paraId="25D09BD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neidentifikována parcela p. č. 1010/1 v k. ú. Kostomlaty nad Labem</w:t>
            </w:r>
          </w:p>
        </w:tc>
      </w:tr>
      <w:tr w:rsidR="005272E3" w:rsidRPr="006070EA" w14:paraId="2CAD598F" w14:textId="77777777" w:rsidTr="00A13D9A">
        <w:trPr>
          <w:cantSplit/>
          <w:trHeight w:val="300"/>
          <w:jc w:val="center"/>
        </w:trPr>
        <w:tc>
          <w:tcPr>
            <w:tcW w:w="460" w:type="dxa"/>
            <w:vMerge w:val="restart"/>
            <w:noWrap/>
            <w:vAlign w:val="center"/>
            <w:hideMark/>
          </w:tcPr>
          <w:p w14:paraId="01778ACD"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23</w:t>
            </w:r>
          </w:p>
        </w:tc>
        <w:tc>
          <w:tcPr>
            <w:tcW w:w="958" w:type="dxa"/>
            <w:vMerge w:val="restart"/>
            <w:noWrap/>
            <w:vAlign w:val="center"/>
            <w:hideMark/>
          </w:tcPr>
          <w:p w14:paraId="62147ED0"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31.01.2018</w:t>
            </w:r>
          </w:p>
        </w:tc>
        <w:tc>
          <w:tcPr>
            <w:tcW w:w="804" w:type="dxa"/>
            <w:noWrap/>
            <w:vAlign w:val="center"/>
            <w:hideMark/>
          </w:tcPr>
          <w:p w14:paraId="4751CF13"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763/67</w:t>
            </w:r>
          </w:p>
        </w:tc>
        <w:tc>
          <w:tcPr>
            <w:tcW w:w="953" w:type="dxa"/>
            <w:noWrap/>
            <w:vAlign w:val="center"/>
            <w:hideMark/>
          </w:tcPr>
          <w:p w14:paraId="2881E538"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1A435C9A"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vyjmout z výstavby RD, dát do lesy s ochranným pásmem, parky, pole</w:t>
            </w:r>
          </w:p>
        </w:tc>
        <w:tc>
          <w:tcPr>
            <w:tcW w:w="950" w:type="dxa"/>
            <w:noWrap/>
            <w:vAlign w:val="center"/>
            <w:hideMark/>
          </w:tcPr>
          <w:p w14:paraId="25444FD2" w14:textId="3AAB8B59"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48B6F6E4"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BI</w:t>
            </w:r>
          </w:p>
        </w:tc>
        <w:tc>
          <w:tcPr>
            <w:tcW w:w="2438" w:type="dxa"/>
            <w:noWrap/>
            <w:hideMark/>
          </w:tcPr>
          <w:p w14:paraId="2E2A6D3C" w14:textId="202AD1A6"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hAnsiTheme="majorHAnsi" w:cstheme="majorHAnsi"/>
                <w:sz w:val="18"/>
                <w:szCs w:val="18"/>
              </w:rPr>
              <w:t>součást zastavitelné plochy Z</w:t>
            </w:r>
            <w:r w:rsidR="00AA053D" w:rsidRPr="006070EA">
              <w:rPr>
                <w:rFonts w:asciiTheme="majorHAnsi" w:hAnsiTheme="majorHAnsi" w:cstheme="majorHAnsi"/>
                <w:sz w:val="18"/>
                <w:szCs w:val="18"/>
              </w:rPr>
              <w:t>.</w:t>
            </w:r>
            <w:r w:rsidRPr="006070EA">
              <w:rPr>
                <w:rFonts w:asciiTheme="majorHAnsi" w:hAnsiTheme="majorHAnsi" w:cstheme="majorHAnsi"/>
                <w:sz w:val="18"/>
                <w:szCs w:val="18"/>
              </w:rPr>
              <w:t>14, zachování koncepce platného ÚPO, využití území stávajícím způsobem není znemožněno (zastavitelná plocha vytváří možnost pro výstavbu nikoliv povinnost)</w:t>
            </w:r>
          </w:p>
        </w:tc>
      </w:tr>
      <w:tr w:rsidR="005272E3" w:rsidRPr="006070EA" w14:paraId="6460601E" w14:textId="77777777" w:rsidTr="00A13D9A">
        <w:trPr>
          <w:cantSplit/>
          <w:trHeight w:val="300"/>
          <w:jc w:val="center"/>
        </w:trPr>
        <w:tc>
          <w:tcPr>
            <w:tcW w:w="460" w:type="dxa"/>
            <w:vMerge/>
            <w:vAlign w:val="center"/>
            <w:hideMark/>
          </w:tcPr>
          <w:p w14:paraId="115196B9"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020FED89"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38184855"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763/66</w:t>
            </w:r>
          </w:p>
        </w:tc>
        <w:tc>
          <w:tcPr>
            <w:tcW w:w="953" w:type="dxa"/>
            <w:noWrap/>
            <w:vAlign w:val="center"/>
            <w:hideMark/>
          </w:tcPr>
          <w:p w14:paraId="169BBB20"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6F6687B9"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vyjmout z výstavby RD, dát do lesy s ochranným pásmem, parky, pole</w:t>
            </w:r>
          </w:p>
        </w:tc>
        <w:tc>
          <w:tcPr>
            <w:tcW w:w="950" w:type="dxa"/>
            <w:noWrap/>
            <w:vAlign w:val="center"/>
            <w:hideMark/>
          </w:tcPr>
          <w:p w14:paraId="4B71C0E3" w14:textId="0EB863EB"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6601A7E5"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BI</w:t>
            </w:r>
          </w:p>
        </w:tc>
        <w:tc>
          <w:tcPr>
            <w:tcW w:w="2438" w:type="dxa"/>
            <w:noWrap/>
            <w:hideMark/>
          </w:tcPr>
          <w:p w14:paraId="6892D774" w14:textId="25B9941D"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hAnsiTheme="majorHAnsi" w:cstheme="majorHAnsi"/>
                <w:sz w:val="18"/>
                <w:szCs w:val="18"/>
              </w:rPr>
              <w:t>součást zastavitelné plochy Z</w:t>
            </w:r>
            <w:r w:rsidR="00AA053D" w:rsidRPr="006070EA">
              <w:rPr>
                <w:rFonts w:asciiTheme="majorHAnsi" w:hAnsiTheme="majorHAnsi" w:cstheme="majorHAnsi"/>
                <w:sz w:val="18"/>
                <w:szCs w:val="18"/>
              </w:rPr>
              <w:t>.</w:t>
            </w:r>
            <w:r w:rsidRPr="006070EA">
              <w:rPr>
                <w:rFonts w:asciiTheme="majorHAnsi" w:hAnsiTheme="majorHAnsi" w:cstheme="majorHAnsi"/>
                <w:sz w:val="18"/>
                <w:szCs w:val="18"/>
              </w:rPr>
              <w:t>14, zachování koncepce platného ÚPO, využití území stávajícím způsobem není znemožněno (zastavitelná plocha vytváří možnost pro výstavbu nikoliv povinnost)</w:t>
            </w:r>
          </w:p>
        </w:tc>
      </w:tr>
      <w:tr w:rsidR="005272E3" w:rsidRPr="006070EA" w14:paraId="5796473C" w14:textId="77777777" w:rsidTr="00A13D9A">
        <w:trPr>
          <w:cantSplit/>
          <w:trHeight w:val="300"/>
          <w:jc w:val="center"/>
        </w:trPr>
        <w:tc>
          <w:tcPr>
            <w:tcW w:w="460" w:type="dxa"/>
            <w:vMerge/>
            <w:vAlign w:val="center"/>
            <w:hideMark/>
          </w:tcPr>
          <w:p w14:paraId="60545D13"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1F839D9C"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17423F3E"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729/1</w:t>
            </w:r>
          </w:p>
        </w:tc>
        <w:tc>
          <w:tcPr>
            <w:tcW w:w="953" w:type="dxa"/>
            <w:noWrap/>
            <w:vAlign w:val="center"/>
            <w:hideMark/>
          </w:tcPr>
          <w:p w14:paraId="6380F1A2"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64C2B1F6"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vyjmout z výstavby RD, dát do lesy s ochranným pásmem, parky, pole</w:t>
            </w:r>
          </w:p>
        </w:tc>
        <w:tc>
          <w:tcPr>
            <w:tcW w:w="950" w:type="dxa"/>
            <w:noWrap/>
            <w:vAlign w:val="center"/>
            <w:hideMark/>
          </w:tcPr>
          <w:p w14:paraId="1C32099B" w14:textId="25F46A95"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46A72D9D" w14:textId="77777777"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BI</w:t>
            </w:r>
          </w:p>
        </w:tc>
        <w:tc>
          <w:tcPr>
            <w:tcW w:w="2438" w:type="dxa"/>
            <w:noWrap/>
            <w:hideMark/>
          </w:tcPr>
          <w:p w14:paraId="168DC39E" w14:textId="5B73E8F6" w:rsidR="005272E3" w:rsidRPr="006070EA" w:rsidRDefault="005272E3" w:rsidP="005272E3">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hAnsiTheme="majorHAnsi" w:cstheme="majorHAnsi"/>
                <w:sz w:val="18"/>
                <w:szCs w:val="18"/>
              </w:rPr>
              <w:t>součást zastavitelné plochy Z</w:t>
            </w:r>
            <w:r w:rsidR="00AA053D" w:rsidRPr="006070EA">
              <w:rPr>
                <w:rFonts w:asciiTheme="majorHAnsi" w:hAnsiTheme="majorHAnsi" w:cstheme="majorHAnsi"/>
                <w:sz w:val="18"/>
                <w:szCs w:val="18"/>
              </w:rPr>
              <w:t>.</w:t>
            </w:r>
            <w:r w:rsidRPr="006070EA">
              <w:rPr>
                <w:rFonts w:asciiTheme="majorHAnsi" w:hAnsiTheme="majorHAnsi" w:cstheme="majorHAnsi"/>
                <w:sz w:val="18"/>
                <w:szCs w:val="18"/>
              </w:rPr>
              <w:t>14, zachování koncepce platného ÚPO, využití území stávajícím způsobem není znemožněno (zastavitelná plocha vytváří možnost pro výstavbu nikoliv povinnost)</w:t>
            </w:r>
          </w:p>
        </w:tc>
      </w:tr>
      <w:tr w:rsidR="00112B62" w:rsidRPr="006070EA" w14:paraId="09475A83" w14:textId="77777777" w:rsidTr="00A13D9A">
        <w:trPr>
          <w:cantSplit/>
          <w:trHeight w:val="300"/>
          <w:jc w:val="center"/>
        </w:trPr>
        <w:tc>
          <w:tcPr>
            <w:tcW w:w="460" w:type="dxa"/>
            <w:noWrap/>
            <w:vAlign w:val="center"/>
            <w:hideMark/>
          </w:tcPr>
          <w:p w14:paraId="3B37A38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24</w:t>
            </w:r>
          </w:p>
        </w:tc>
        <w:tc>
          <w:tcPr>
            <w:tcW w:w="958" w:type="dxa"/>
            <w:noWrap/>
            <w:vAlign w:val="center"/>
            <w:hideMark/>
          </w:tcPr>
          <w:p w14:paraId="6089975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29.01.2018</w:t>
            </w:r>
          </w:p>
        </w:tc>
        <w:tc>
          <w:tcPr>
            <w:tcW w:w="804" w:type="dxa"/>
            <w:noWrap/>
            <w:vAlign w:val="center"/>
            <w:hideMark/>
          </w:tcPr>
          <w:p w14:paraId="197F8C8C" w14:textId="2B249674"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noWrap/>
            <w:vAlign w:val="center"/>
            <w:hideMark/>
          </w:tcPr>
          <w:p w14:paraId="4D3F833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1899C33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vypustit koridor pro silniční obchvat II/331 bez náhrady</w:t>
            </w:r>
          </w:p>
        </w:tc>
        <w:tc>
          <w:tcPr>
            <w:tcW w:w="950" w:type="dxa"/>
            <w:noWrap/>
            <w:vAlign w:val="center"/>
            <w:hideMark/>
          </w:tcPr>
          <w:p w14:paraId="5DE25CC8" w14:textId="53EA9B4E" w:rsidR="00CF1108" w:rsidRPr="006070EA" w:rsidRDefault="00F135AC"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500E5C04" w14:textId="27E3FE9F" w:rsidR="00CF1108" w:rsidRPr="006070EA" w:rsidRDefault="00F135AC"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noWrap/>
            <w:vAlign w:val="center"/>
            <w:hideMark/>
          </w:tcPr>
          <w:p w14:paraId="51ECECDA" w14:textId="6FEDD50E" w:rsidR="00CF1108" w:rsidRPr="006070EA" w:rsidRDefault="00F135AC"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 koridor vypuštěn z ÚPD</w:t>
            </w:r>
          </w:p>
        </w:tc>
      </w:tr>
      <w:tr w:rsidR="00CF1108" w:rsidRPr="006070EA" w14:paraId="25DB699A" w14:textId="77777777" w:rsidTr="00A13D9A">
        <w:trPr>
          <w:cantSplit/>
          <w:trHeight w:val="975"/>
          <w:jc w:val="center"/>
        </w:trPr>
        <w:tc>
          <w:tcPr>
            <w:tcW w:w="460" w:type="dxa"/>
            <w:vMerge w:val="restart"/>
            <w:noWrap/>
            <w:vAlign w:val="center"/>
            <w:hideMark/>
          </w:tcPr>
          <w:p w14:paraId="11681BF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25</w:t>
            </w:r>
          </w:p>
        </w:tc>
        <w:tc>
          <w:tcPr>
            <w:tcW w:w="958" w:type="dxa"/>
            <w:vMerge w:val="restart"/>
            <w:noWrap/>
            <w:vAlign w:val="center"/>
            <w:hideMark/>
          </w:tcPr>
          <w:p w14:paraId="6205E4C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15.08.2018</w:t>
            </w:r>
          </w:p>
        </w:tc>
        <w:tc>
          <w:tcPr>
            <w:tcW w:w="804" w:type="dxa"/>
            <w:noWrap/>
            <w:vAlign w:val="center"/>
            <w:hideMark/>
          </w:tcPr>
          <w:p w14:paraId="17260DB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217/33</w:t>
            </w:r>
          </w:p>
        </w:tc>
        <w:tc>
          <w:tcPr>
            <w:tcW w:w="953" w:type="dxa"/>
            <w:noWrap/>
            <w:vAlign w:val="center"/>
            <w:hideMark/>
          </w:tcPr>
          <w:p w14:paraId="29E90F8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6D04A28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snížení výměry pro jednu stavební parcely</w:t>
            </w:r>
          </w:p>
        </w:tc>
        <w:tc>
          <w:tcPr>
            <w:tcW w:w="950" w:type="dxa"/>
            <w:noWrap/>
            <w:vAlign w:val="center"/>
            <w:hideMark/>
          </w:tcPr>
          <w:p w14:paraId="65DBE6A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vAlign w:val="center"/>
            <w:hideMark/>
          </w:tcPr>
          <w:p w14:paraId="402BF41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podmínka prostorového uspořádání</w:t>
            </w:r>
          </w:p>
        </w:tc>
        <w:tc>
          <w:tcPr>
            <w:tcW w:w="2438" w:type="dxa"/>
            <w:noWrap/>
            <w:vAlign w:val="center"/>
            <w:hideMark/>
          </w:tcPr>
          <w:p w14:paraId="713F563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stanoveno rozmezí výměry pro vymezení stavebního pozemku, viz podmínky prostorového uspořádání v plochách BI</w:t>
            </w:r>
          </w:p>
        </w:tc>
      </w:tr>
      <w:tr w:rsidR="00CF1108" w:rsidRPr="006070EA" w14:paraId="412F8008" w14:textId="77777777" w:rsidTr="00A13D9A">
        <w:trPr>
          <w:cantSplit/>
          <w:trHeight w:val="975"/>
          <w:jc w:val="center"/>
        </w:trPr>
        <w:tc>
          <w:tcPr>
            <w:tcW w:w="460" w:type="dxa"/>
            <w:vMerge/>
            <w:vAlign w:val="center"/>
            <w:hideMark/>
          </w:tcPr>
          <w:p w14:paraId="6D6F08E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57B50BC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5791184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217/40</w:t>
            </w:r>
          </w:p>
        </w:tc>
        <w:tc>
          <w:tcPr>
            <w:tcW w:w="953" w:type="dxa"/>
            <w:noWrap/>
            <w:vAlign w:val="center"/>
            <w:hideMark/>
          </w:tcPr>
          <w:p w14:paraId="745D068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2FCF4AD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snížení výměry pro jednu stavební parcely</w:t>
            </w:r>
          </w:p>
        </w:tc>
        <w:tc>
          <w:tcPr>
            <w:tcW w:w="950" w:type="dxa"/>
            <w:noWrap/>
            <w:vAlign w:val="center"/>
            <w:hideMark/>
          </w:tcPr>
          <w:p w14:paraId="3E7815E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vAlign w:val="center"/>
            <w:hideMark/>
          </w:tcPr>
          <w:p w14:paraId="1FEDA81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podmínka prostorového uspořádání</w:t>
            </w:r>
          </w:p>
        </w:tc>
        <w:tc>
          <w:tcPr>
            <w:tcW w:w="2438" w:type="dxa"/>
            <w:noWrap/>
            <w:vAlign w:val="center"/>
            <w:hideMark/>
          </w:tcPr>
          <w:p w14:paraId="7B5684B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stanoveno rozmezí výměry pro vymezení stavebního pozemku, viz podmínky prostorového uspořádání v plochách BI</w:t>
            </w:r>
          </w:p>
        </w:tc>
      </w:tr>
      <w:tr w:rsidR="00CF1108" w:rsidRPr="006070EA" w14:paraId="459DE7FB" w14:textId="77777777" w:rsidTr="00A13D9A">
        <w:trPr>
          <w:cantSplit/>
          <w:trHeight w:val="975"/>
          <w:jc w:val="center"/>
        </w:trPr>
        <w:tc>
          <w:tcPr>
            <w:tcW w:w="460" w:type="dxa"/>
            <w:vMerge/>
            <w:vAlign w:val="center"/>
            <w:hideMark/>
          </w:tcPr>
          <w:p w14:paraId="564F9B6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70AB3B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009D246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216/3</w:t>
            </w:r>
          </w:p>
        </w:tc>
        <w:tc>
          <w:tcPr>
            <w:tcW w:w="953" w:type="dxa"/>
            <w:noWrap/>
            <w:vAlign w:val="center"/>
            <w:hideMark/>
          </w:tcPr>
          <w:p w14:paraId="278A9B1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0B6BF3F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snížení výměry pro jednu stavební parcely</w:t>
            </w:r>
          </w:p>
        </w:tc>
        <w:tc>
          <w:tcPr>
            <w:tcW w:w="950" w:type="dxa"/>
            <w:noWrap/>
            <w:vAlign w:val="center"/>
            <w:hideMark/>
          </w:tcPr>
          <w:p w14:paraId="477ACAF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vAlign w:val="center"/>
            <w:hideMark/>
          </w:tcPr>
          <w:p w14:paraId="4CCA515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podmínka prostorového uspořádání</w:t>
            </w:r>
          </w:p>
        </w:tc>
        <w:tc>
          <w:tcPr>
            <w:tcW w:w="2438" w:type="dxa"/>
            <w:noWrap/>
            <w:vAlign w:val="center"/>
            <w:hideMark/>
          </w:tcPr>
          <w:p w14:paraId="089E8D4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stanoveno rozmezí výměry pro vymezení stavebního pozemku, viz podmínky prostorového uspořádání v plochách BI</w:t>
            </w:r>
          </w:p>
        </w:tc>
      </w:tr>
      <w:tr w:rsidR="00CF1108" w:rsidRPr="006070EA" w14:paraId="7B86CA98" w14:textId="77777777" w:rsidTr="00A13D9A">
        <w:trPr>
          <w:cantSplit/>
          <w:trHeight w:val="975"/>
          <w:jc w:val="center"/>
        </w:trPr>
        <w:tc>
          <w:tcPr>
            <w:tcW w:w="460" w:type="dxa"/>
            <w:vMerge/>
            <w:vAlign w:val="center"/>
            <w:hideMark/>
          </w:tcPr>
          <w:p w14:paraId="55D95B3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0E8CBDA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48534D8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216/4</w:t>
            </w:r>
          </w:p>
        </w:tc>
        <w:tc>
          <w:tcPr>
            <w:tcW w:w="953" w:type="dxa"/>
            <w:noWrap/>
            <w:vAlign w:val="center"/>
            <w:hideMark/>
          </w:tcPr>
          <w:p w14:paraId="3ED2534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25D1310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snížení výměry pro jednu stavební parcely</w:t>
            </w:r>
          </w:p>
        </w:tc>
        <w:tc>
          <w:tcPr>
            <w:tcW w:w="950" w:type="dxa"/>
            <w:noWrap/>
            <w:vAlign w:val="center"/>
            <w:hideMark/>
          </w:tcPr>
          <w:p w14:paraId="6552541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vAlign w:val="center"/>
            <w:hideMark/>
          </w:tcPr>
          <w:p w14:paraId="22702CC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podmínka prostorového uspořádání</w:t>
            </w:r>
          </w:p>
        </w:tc>
        <w:tc>
          <w:tcPr>
            <w:tcW w:w="2438" w:type="dxa"/>
            <w:noWrap/>
            <w:vAlign w:val="center"/>
            <w:hideMark/>
          </w:tcPr>
          <w:p w14:paraId="447299E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stanoveno rozmezí výměry pro vymezení stavebního pozemku, viz podmínky prostorového uspořádání v plochách BI</w:t>
            </w:r>
          </w:p>
        </w:tc>
      </w:tr>
      <w:tr w:rsidR="00CF1108" w:rsidRPr="006070EA" w14:paraId="6481FEF7" w14:textId="77777777" w:rsidTr="00A13D9A">
        <w:trPr>
          <w:cantSplit/>
          <w:trHeight w:val="975"/>
          <w:jc w:val="center"/>
        </w:trPr>
        <w:tc>
          <w:tcPr>
            <w:tcW w:w="460" w:type="dxa"/>
            <w:vMerge/>
            <w:vAlign w:val="center"/>
            <w:hideMark/>
          </w:tcPr>
          <w:p w14:paraId="7D17125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79278DC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7D78484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216/1</w:t>
            </w:r>
          </w:p>
        </w:tc>
        <w:tc>
          <w:tcPr>
            <w:tcW w:w="953" w:type="dxa"/>
            <w:noWrap/>
            <w:vAlign w:val="center"/>
            <w:hideMark/>
          </w:tcPr>
          <w:p w14:paraId="0A7A361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0D7A104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snížení výměry pro jednu stavební parcely</w:t>
            </w:r>
          </w:p>
        </w:tc>
        <w:tc>
          <w:tcPr>
            <w:tcW w:w="950" w:type="dxa"/>
            <w:noWrap/>
            <w:vAlign w:val="center"/>
            <w:hideMark/>
          </w:tcPr>
          <w:p w14:paraId="1ECE902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vAlign w:val="center"/>
            <w:hideMark/>
          </w:tcPr>
          <w:p w14:paraId="757C789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podmínka prostorového uspořádání</w:t>
            </w:r>
          </w:p>
        </w:tc>
        <w:tc>
          <w:tcPr>
            <w:tcW w:w="2438" w:type="dxa"/>
            <w:noWrap/>
            <w:vAlign w:val="center"/>
            <w:hideMark/>
          </w:tcPr>
          <w:p w14:paraId="432B059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stanoveno rozmezí výměry pro vymezení stavebního pozemku, viz podmínky prostorového uspořádání v plochách BI</w:t>
            </w:r>
          </w:p>
        </w:tc>
      </w:tr>
      <w:tr w:rsidR="00CF1108" w:rsidRPr="006070EA" w14:paraId="57A313C5" w14:textId="77777777" w:rsidTr="00A13D9A">
        <w:trPr>
          <w:cantSplit/>
          <w:trHeight w:val="300"/>
          <w:jc w:val="center"/>
        </w:trPr>
        <w:tc>
          <w:tcPr>
            <w:tcW w:w="460" w:type="dxa"/>
            <w:vMerge/>
            <w:vAlign w:val="center"/>
            <w:hideMark/>
          </w:tcPr>
          <w:p w14:paraId="6A1F41C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C2AD59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2250F67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215</w:t>
            </w:r>
          </w:p>
        </w:tc>
        <w:tc>
          <w:tcPr>
            <w:tcW w:w="953" w:type="dxa"/>
            <w:noWrap/>
            <w:vAlign w:val="center"/>
            <w:hideMark/>
          </w:tcPr>
          <w:p w14:paraId="170B3F2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2583209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snížení výměry pro jednu stavební parcely</w:t>
            </w:r>
          </w:p>
        </w:tc>
        <w:tc>
          <w:tcPr>
            <w:tcW w:w="950" w:type="dxa"/>
            <w:noWrap/>
            <w:vAlign w:val="center"/>
            <w:hideMark/>
          </w:tcPr>
          <w:p w14:paraId="32866E7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vAlign w:val="center"/>
            <w:hideMark/>
          </w:tcPr>
          <w:p w14:paraId="6A489FB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noWrap/>
            <w:vAlign w:val="center"/>
            <w:hideMark/>
          </w:tcPr>
          <w:p w14:paraId="7F255E6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neidentifikována parcela p. č. 215 v k. ú. Kostomlaty nad Labem</w:t>
            </w:r>
          </w:p>
        </w:tc>
      </w:tr>
      <w:tr w:rsidR="00CF1108" w:rsidRPr="006070EA" w14:paraId="17B742E5" w14:textId="77777777" w:rsidTr="00A13D9A">
        <w:trPr>
          <w:cantSplit/>
          <w:trHeight w:val="300"/>
          <w:jc w:val="center"/>
        </w:trPr>
        <w:tc>
          <w:tcPr>
            <w:tcW w:w="460" w:type="dxa"/>
            <w:noWrap/>
            <w:vAlign w:val="center"/>
            <w:hideMark/>
          </w:tcPr>
          <w:p w14:paraId="263A46B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26</w:t>
            </w:r>
          </w:p>
        </w:tc>
        <w:tc>
          <w:tcPr>
            <w:tcW w:w="958" w:type="dxa"/>
            <w:noWrap/>
            <w:vAlign w:val="center"/>
            <w:hideMark/>
          </w:tcPr>
          <w:p w14:paraId="24B754F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25.06.2018</w:t>
            </w:r>
          </w:p>
        </w:tc>
        <w:tc>
          <w:tcPr>
            <w:tcW w:w="804" w:type="dxa"/>
            <w:noWrap/>
            <w:vAlign w:val="center"/>
            <w:hideMark/>
          </w:tcPr>
          <w:p w14:paraId="2842441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889/56</w:t>
            </w:r>
          </w:p>
        </w:tc>
        <w:tc>
          <w:tcPr>
            <w:tcW w:w="953" w:type="dxa"/>
            <w:noWrap/>
            <w:vAlign w:val="center"/>
            <w:hideMark/>
          </w:tcPr>
          <w:p w14:paraId="113B1C7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23BEFF1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komerční využití</w:t>
            </w:r>
          </w:p>
        </w:tc>
        <w:tc>
          <w:tcPr>
            <w:tcW w:w="950" w:type="dxa"/>
            <w:noWrap/>
            <w:vAlign w:val="center"/>
            <w:hideMark/>
          </w:tcPr>
          <w:p w14:paraId="714C8EE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21136906" w14:textId="7AAFF72D"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AA053D" w:rsidRPr="006070EA">
              <w:rPr>
                <w:rFonts w:asciiTheme="majorHAnsi" w:eastAsia="Times New Roman" w:hAnsiTheme="majorHAnsi" w:cstheme="majorHAnsi"/>
                <w:color w:val="000000"/>
                <w:sz w:val="18"/>
                <w:szCs w:val="18"/>
                <w:lang w:eastAsia="cs-CZ"/>
              </w:rPr>
              <w:t>AU</w:t>
            </w:r>
          </w:p>
        </w:tc>
        <w:tc>
          <w:tcPr>
            <w:tcW w:w="2438" w:type="dxa"/>
            <w:noWrap/>
            <w:vAlign w:val="center"/>
            <w:hideMark/>
          </w:tcPr>
          <w:p w14:paraId="00B0BFB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nevhodný rozvoj zástavby ve volné krajině bez vazby na zastavěné území a veřejnou infrastrukturu</w:t>
            </w:r>
          </w:p>
        </w:tc>
      </w:tr>
      <w:tr w:rsidR="00AA053D" w:rsidRPr="006070EA" w14:paraId="36A73762" w14:textId="77777777" w:rsidTr="00A13D9A">
        <w:trPr>
          <w:cantSplit/>
          <w:trHeight w:val="300"/>
          <w:jc w:val="center"/>
        </w:trPr>
        <w:tc>
          <w:tcPr>
            <w:tcW w:w="460" w:type="dxa"/>
            <w:vMerge w:val="restart"/>
            <w:noWrap/>
            <w:vAlign w:val="center"/>
            <w:hideMark/>
          </w:tcPr>
          <w:p w14:paraId="6C8E1140"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27</w:t>
            </w:r>
          </w:p>
        </w:tc>
        <w:tc>
          <w:tcPr>
            <w:tcW w:w="958" w:type="dxa"/>
            <w:vMerge w:val="restart"/>
            <w:noWrap/>
            <w:vAlign w:val="center"/>
            <w:hideMark/>
          </w:tcPr>
          <w:p w14:paraId="2138A339"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07.02.2018</w:t>
            </w:r>
          </w:p>
        </w:tc>
        <w:tc>
          <w:tcPr>
            <w:tcW w:w="804" w:type="dxa"/>
            <w:noWrap/>
            <w:vAlign w:val="center"/>
            <w:hideMark/>
          </w:tcPr>
          <w:p w14:paraId="14DA9135"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359/2</w:t>
            </w:r>
          </w:p>
        </w:tc>
        <w:tc>
          <w:tcPr>
            <w:tcW w:w="953" w:type="dxa"/>
            <w:noWrap/>
            <w:vAlign w:val="center"/>
            <w:hideMark/>
          </w:tcPr>
          <w:p w14:paraId="20016D61"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71CDF4E2"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0538695B"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602E8739" w14:textId="53CECD81"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noWrap/>
            <w:vAlign w:val="center"/>
            <w:hideMark/>
          </w:tcPr>
          <w:p w14:paraId="74067444" w14:textId="0AC14ECE"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AA053D" w:rsidRPr="006070EA" w14:paraId="64AEFF59" w14:textId="77777777" w:rsidTr="00A13D9A">
        <w:trPr>
          <w:cantSplit/>
          <w:trHeight w:val="300"/>
          <w:jc w:val="center"/>
        </w:trPr>
        <w:tc>
          <w:tcPr>
            <w:tcW w:w="460" w:type="dxa"/>
            <w:vMerge/>
            <w:vAlign w:val="center"/>
            <w:hideMark/>
          </w:tcPr>
          <w:p w14:paraId="48048CFB"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71A165FA"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57D21E22"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894/35</w:t>
            </w:r>
          </w:p>
        </w:tc>
        <w:tc>
          <w:tcPr>
            <w:tcW w:w="953" w:type="dxa"/>
            <w:noWrap/>
            <w:vAlign w:val="center"/>
            <w:hideMark/>
          </w:tcPr>
          <w:p w14:paraId="32DAD100"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0F90ADE4"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3C6BC2D8"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0D1EA918" w14:textId="298CDFC3"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noWrap/>
            <w:vAlign w:val="center"/>
            <w:hideMark/>
          </w:tcPr>
          <w:p w14:paraId="6C49C247" w14:textId="34F8FBB8"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AA053D" w:rsidRPr="006070EA" w14:paraId="48375F36" w14:textId="77777777" w:rsidTr="00A13D9A">
        <w:trPr>
          <w:cantSplit/>
          <w:trHeight w:val="300"/>
          <w:jc w:val="center"/>
        </w:trPr>
        <w:tc>
          <w:tcPr>
            <w:tcW w:w="460" w:type="dxa"/>
            <w:vMerge/>
            <w:vAlign w:val="center"/>
            <w:hideMark/>
          </w:tcPr>
          <w:p w14:paraId="2886E65B"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5A3FEF8C"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61D5BA6E"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894/38</w:t>
            </w:r>
          </w:p>
        </w:tc>
        <w:tc>
          <w:tcPr>
            <w:tcW w:w="953" w:type="dxa"/>
            <w:noWrap/>
            <w:vAlign w:val="center"/>
            <w:hideMark/>
          </w:tcPr>
          <w:p w14:paraId="5F5DEF5E"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31B4C815"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7F6CACC9"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072D8F16" w14:textId="399BA2E9"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noWrap/>
            <w:vAlign w:val="center"/>
            <w:hideMark/>
          </w:tcPr>
          <w:p w14:paraId="79D70067" w14:textId="4EDD953D"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AA053D" w:rsidRPr="006070EA" w14:paraId="0B65977C" w14:textId="77777777" w:rsidTr="00A13D9A">
        <w:trPr>
          <w:cantSplit/>
          <w:trHeight w:val="300"/>
          <w:jc w:val="center"/>
        </w:trPr>
        <w:tc>
          <w:tcPr>
            <w:tcW w:w="460" w:type="dxa"/>
            <w:vMerge/>
            <w:vAlign w:val="center"/>
            <w:hideMark/>
          </w:tcPr>
          <w:p w14:paraId="0F4C74C2"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0327FDAA"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303B054D"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905/83</w:t>
            </w:r>
          </w:p>
        </w:tc>
        <w:tc>
          <w:tcPr>
            <w:tcW w:w="953" w:type="dxa"/>
            <w:noWrap/>
            <w:vAlign w:val="center"/>
            <w:hideMark/>
          </w:tcPr>
          <w:p w14:paraId="63472AB2"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3C3DE9B2"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2E3B353F"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307674B9" w14:textId="53217436"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noWrap/>
            <w:vAlign w:val="center"/>
            <w:hideMark/>
          </w:tcPr>
          <w:p w14:paraId="4B68B7F2" w14:textId="25B3255F"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AA053D" w:rsidRPr="006070EA" w14:paraId="4D2B3F1C" w14:textId="77777777" w:rsidTr="00A13D9A">
        <w:trPr>
          <w:cantSplit/>
          <w:trHeight w:val="300"/>
          <w:jc w:val="center"/>
        </w:trPr>
        <w:tc>
          <w:tcPr>
            <w:tcW w:w="460" w:type="dxa"/>
            <w:vMerge/>
            <w:vAlign w:val="center"/>
            <w:hideMark/>
          </w:tcPr>
          <w:p w14:paraId="537117FC"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34B1F145"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2981ABED"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905/86</w:t>
            </w:r>
          </w:p>
        </w:tc>
        <w:tc>
          <w:tcPr>
            <w:tcW w:w="953" w:type="dxa"/>
            <w:noWrap/>
            <w:vAlign w:val="center"/>
            <w:hideMark/>
          </w:tcPr>
          <w:p w14:paraId="6EAD5DFD"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0BFBAA46"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50C0008B"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70E1A86A" w14:textId="1267CFAB"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noWrap/>
            <w:vAlign w:val="center"/>
            <w:hideMark/>
          </w:tcPr>
          <w:p w14:paraId="1C06D522" w14:textId="64AD69AD"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AA053D" w:rsidRPr="006070EA" w14:paraId="6C6BFC30" w14:textId="77777777" w:rsidTr="00A13D9A">
        <w:trPr>
          <w:cantSplit/>
          <w:trHeight w:val="300"/>
          <w:jc w:val="center"/>
        </w:trPr>
        <w:tc>
          <w:tcPr>
            <w:tcW w:w="460" w:type="dxa"/>
            <w:vMerge/>
            <w:vAlign w:val="center"/>
            <w:hideMark/>
          </w:tcPr>
          <w:p w14:paraId="0F20F323"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7E1C30A5"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1A832D38"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907/2</w:t>
            </w:r>
          </w:p>
        </w:tc>
        <w:tc>
          <w:tcPr>
            <w:tcW w:w="953" w:type="dxa"/>
            <w:noWrap/>
            <w:vAlign w:val="center"/>
            <w:hideMark/>
          </w:tcPr>
          <w:p w14:paraId="356A79D0"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50CFEA71"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5361CEA3"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6A411808" w14:textId="332BF0EF"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noWrap/>
            <w:vAlign w:val="center"/>
            <w:hideMark/>
          </w:tcPr>
          <w:p w14:paraId="5E43DC6C" w14:textId="6BBC0C94"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AA053D" w:rsidRPr="006070EA" w14:paraId="69A27572" w14:textId="77777777" w:rsidTr="00A13D9A">
        <w:trPr>
          <w:cantSplit/>
          <w:trHeight w:val="300"/>
          <w:jc w:val="center"/>
        </w:trPr>
        <w:tc>
          <w:tcPr>
            <w:tcW w:w="460" w:type="dxa"/>
            <w:vMerge/>
            <w:vAlign w:val="center"/>
            <w:hideMark/>
          </w:tcPr>
          <w:p w14:paraId="05B6BF4B"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ED54B7B"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67BD801A"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908</w:t>
            </w:r>
          </w:p>
        </w:tc>
        <w:tc>
          <w:tcPr>
            <w:tcW w:w="953" w:type="dxa"/>
            <w:noWrap/>
            <w:vAlign w:val="center"/>
            <w:hideMark/>
          </w:tcPr>
          <w:p w14:paraId="6BE85E27"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4C70EFE9"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23B08D4C"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4729534F" w14:textId="5FA900FE"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noWrap/>
            <w:vAlign w:val="center"/>
            <w:hideMark/>
          </w:tcPr>
          <w:p w14:paraId="176DC81B" w14:textId="283B77D6"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AA053D" w:rsidRPr="006070EA" w14:paraId="54336160" w14:textId="77777777" w:rsidTr="00A13D9A">
        <w:trPr>
          <w:cantSplit/>
          <w:trHeight w:val="300"/>
          <w:jc w:val="center"/>
        </w:trPr>
        <w:tc>
          <w:tcPr>
            <w:tcW w:w="460" w:type="dxa"/>
            <w:vMerge/>
            <w:vAlign w:val="center"/>
            <w:hideMark/>
          </w:tcPr>
          <w:p w14:paraId="188074C0"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130BB787"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438C7E59"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952/8</w:t>
            </w:r>
          </w:p>
        </w:tc>
        <w:tc>
          <w:tcPr>
            <w:tcW w:w="953" w:type="dxa"/>
            <w:noWrap/>
            <w:vAlign w:val="center"/>
            <w:hideMark/>
          </w:tcPr>
          <w:p w14:paraId="7FD80108"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1CAC94E8"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23D94BA5"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6237B7BB" w14:textId="6F082928"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noWrap/>
            <w:vAlign w:val="center"/>
            <w:hideMark/>
          </w:tcPr>
          <w:p w14:paraId="0E906305" w14:textId="0C712024"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AA053D" w:rsidRPr="006070EA" w14:paraId="26F4C6AB" w14:textId="77777777" w:rsidTr="00A13D9A">
        <w:trPr>
          <w:cantSplit/>
          <w:trHeight w:val="300"/>
          <w:jc w:val="center"/>
        </w:trPr>
        <w:tc>
          <w:tcPr>
            <w:tcW w:w="460" w:type="dxa"/>
            <w:noWrap/>
            <w:vAlign w:val="center"/>
            <w:hideMark/>
          </w:tcPr>
          <w:p w14:paraId="522B804F"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28</w:t>
            </w:r>
          </w:p>
        </w:tc>
        <w:tc>
          <w:tcPr>
            <w:tcW w:w="958" w:type="dxa"/>
            <w:noWrap/>
            <w:vAlign w:val="center"/>
            <w:hideMark/>
          </w:tcPr>
          <w:p w14:paraId="69E627C5"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21.11.2017</w:t>
            </w:r>
          </w:p>
        </w:tc>
        <w:tc>
          <w:tcPr>
            <w:tcW w:w="804" w:type="dxa"/>
            <w:noWrap/>
            <w:vAlign w:val="center"/>
            <w:hideMark/>
          </w:tcPr>
          <w:p w14:paraId="3D909EF0"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838</w:t>
            </w:r>
          </w:p>
        </w:tc>
        <w:tc>
          <w:tcPr>
            <w:tcW w:w="953" w:type="dxa"/>
            <w:noWrap/>
            <w:vAlign w:val="center"/>
            <w:hideMark/>
          </w:tcPr>
          <w:p w14:paraId="702E2604"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35755693"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71870743" w14:textId="77777777"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642E8894" w14:textId="0CBE3D11"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AU</w:t>
            </w:r>
          </w:p>
        </w:tc>
        <w:tc>
          <w:tcPr>
            <w:tcW w:w="2438" w:type="dxa"/>
            <w:noWrap/>
            <w:vAlign w:val="center"/>
            <w:hideMark/>
          </w:tcPr>
          <w:p w14:paraId="683A7DB0" w14:textId="6AEABEEC" w:rsidR="00AA053D" w:rsidRPr="006070EA" w:rsidRDefault="00AA053D" w:rsidP="00AA053D">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konflikt s koridorem CNU.KD1, nevhodný rozvoj zástavby ve volné krajině bez vazby na zastavěné území a veřejnou infrastrukturu</w:t>
            </w:r>
          </w:p>
        </w:tc>
      </w:tr>
      <w:tr w:rsidR="00CF1108" w:rsidRPr="006070EA" w14:paraId="6F488F90" w14:textId="77777777" w:rsidTr="00A13D9A">
        <w:trPr>
          <w:cantSplit/>
          <w:trHeight w:val="1200"/>
          <w:jc w:val="center"/>
        </w:trPr>
        <w:tc>
          <w:tcPr>
            <w:tcW w:w="460" w:type="dxa"/>
            <w:noWrap/>
            <w:vAlign w:val="center"/>
            <w:hideMark/>
          </w:tcPr>
          <w:p w14:paraId="1776600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29</w:t>
            </w:r>
          </w:p>
        </w:tc>
        <w:tc>
          <w:tcPr>
            <w:tcW w:w="958" w:type="dxa"/>
            <w:noWrap/>
            <w:vAlign w:val="center"/>
            <w:hideMark/>
          </w:tcPr>
          <w:p w14:paraId="334E67C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13.09.2017</w:t>
            </w:r>
          </w:p>
        </w:tc>
        <w:tc>
          <w:tcPr>
            <w:tcW w:w="804" w:type="dxa"/>
            <w:noWrap/>
            <w:vAlign w:val="center"/>
            <w:hideMark/>
          </w:tcPr>
          <w:p w14:paraId="61EEF29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781/2</w:t>
            </w:r>
          </w:p>
        </w:tc>
        <w:tc>
          <w:tcPr>
            <w:tcW w:w="953" w:type="dxa"/>
            <w:noWrap/>
            <w:vAlign w:val="center"/>
            <w:hideMark/>
          </w:tcPr>
          <w:p w14:paraId="26DE3DE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36F9FB6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2F2F27A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vAlign w:val="center"/>
            <w:hideMark/>
          </w:tcPr>
          <w:p w14:paraId="3F117EE6" w14:textId="29768B98"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částečně do BI a částečně do Z</w:t>
            </w:r>
            <w:r w:rsidR="00AA053D" w:rsidRPr="006070EA">
              <w:rPr>
                <w:rFonts w:asciiTheme="majorHAnsi" w:eastAsia="Times New Roman" w:hAnsiTheme="majorHAnsi" w:cstheme="majorHAnsi"/>
                <w:color w:val="000000"/>
                <w:sz w:val="18"/>
                <w:szCs w:val="18"/>
                <w:lang w:eastAsia="cs-CZ"/>
              </w:rPr>
              <w:t>P</w:t>
            </w:r>
          </w:p>
        </w:tc>
        <w:tc>
          <w:tcPr>
            <w:tcW w:w="2438" w:type="dxa"/>
            <w:noWrap/>
            <w:vAlign w:val="center"/>
            <w:hideMark/>
          </w:tcPr>
          <w:p w14:paraId="1D3E04BD" w14:textId="5D976298"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zastavitelných ploch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11 (BI) a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12 (Z</w:t>
            </w:r>
            <w:r w:rsidR="00AA053D" w:rsidRPr="006070EA">
              <w:rPr>
                <w:rFonts w:asciiTheme="majorHAnsi" w:eastAsia="Times New Roman" w:hAnsiTheme="majorHAnsi" w:cstheme="majorHAnsi"/>
                <w:color w:val="000000"/>
                <w:sz w:val="18"/>
                <w:szCs w:val="18"/>
                <w:lang w:eastAsia="cs-CZ"/>
              </w:rPr>
              <w:t>P</w:t>
            </w:r>
            <w:r w:rsidRPr="006070EA">
              <w:rPr>
                <w:rFonts w:asciiTheme="majorHAnsi" w:eastAsia="Times New Roman" w:hAnsiTheme="majorHAnsi" w:cstheme="majorHAnsi"/>
                <w:color w:val="000000"/>
                <w:sz w:val="18"/>
                <w:szCs w:val="18"/>
                <w:lang w:eastAsia="cs-CZ"/>
              </w:rPr>
              <w:t>), částečně součást lokálního biokoridoru L</w:t>
            </w:r>
            <w:r w:rsidR="00AA053D" w:rsidRPr="006070EA">
              <w:rPr>
                <w:rFonts w:asciiTheme="majorHAnsi" w:eastAsia="Times New Roman" w:hAnsiTheme="majorHAnsi" w:cstheme="majorHAnsi"/>
                <w:color w:val="000000"/>
                <w:sz w:val="18"/>
                <w:szCs w:val="18"/>
                <w:lang w:eastAsia="cs-CZ"/>
              </w:rPr>
              <w:t>B</w:t>
            </w:r>
            <w:r w:rsidRPr="006070EA">
              <w:rPr>
                <w:rFonts w:asciiTheme="majorHAnsi" w:eastAsia="Times New Roman" w:hAnsiTheme="majorHAnsi" w:cstheme="majorHAnsi"/>
                <w:color w:val="000000"/>
                <w:sz w:val="18"/>
                <w:szCs w:val="18"/>
                <w:lang w:eastAsia="cs-CZ"/>
              </w:rPr>
              <w:t>K</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w:t>
            </w:r>
          </w:p>
        </w:tc>
      </w:tr>
      <w:tr w:rsidR="00CF1108" w:rsidRPr="006070EA" w14:paraId="41562FBC" w14:textId="77777777" w:rsidTr="00A13D9A">
        <w:trPr>
          <w:cantSplit/>
          <w:trHeight w:val="1695"/>
          <w:jc w:val="center"/>
        </w:trPr>
        <w:tc>
          <w:tcPr>
            <w:tcW w:w="460" w:type="dxa"/>
            <w:noWrap/>
            <w:vAlign w:val="center"/>
            <w:hideMark/>
          </w:tcPr>
          <w:p w14:paraId="4DB87D6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w:t>
            </w:r>
          </w:p>
        </w:tc>
        <w:tc>
          <w:tcPr>
            <w:tcW w:w="958" w:type="dxa"/>
            <w:noWrap/>
            <w:vAlign w:val="center"/>
            <w:hideMark/>
          </w:tcPr>
          <w:p w14:paraId="39AF961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12.10.2011</w:t>
            </w:r>
          </w:p>
        </w:tc>
        <w:tc>
          <w:tcPr>
            <w:tcW w:w="804" w:type="dxa"/>
            <w:noWrap/>
            <w:vAlign w:val="center"/>
            <w:hideMark/>
          </w:tcPr>
          <w:p w14:paraId="201D904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119</w:t>
            </w:r>
          </w:p>
        </w:tc>
        <w:tc>
          <w:tcPr>
            <w:tcW w:w="953" w:type="dxa"/>
            <w:noWrap/>
            <w:vAlign w:val="center"/>
            <w:hideMark/>
          </w:tcPr>
          <w:p w14:paraId="2934B5C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662F7AA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468111D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vAlign w:val="center"/>
            <w:hideMark/>
          </w:tcPr>
          <w:p w14:paraId="60962F48" w14:textId="39CA89F4"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částečně do BI, částečně do Z</w:t>
            </w:r>
            <w:r w:rsidR="00AA053D" w:rsidRPr="006070EA">
              <w:rPr>
                <w:rFonts w:asciiTheme="majorHAnsi" w:eastAsia="Times New Roman" w:hAnsiTheme="majorHAnsi" w:cstheme="majorHAnsi"/>
                <w:color w:val="000000"/>
                <w:sz w:val="18"/>
                <w:szCs w:val="18"/>
                <w:lang w:eastAsia="cs-CZ"/>
              </w:rPr>
              <w:t>K</w:t>
            </w:r>
            <w:r w:rsidRPr="006070EA">
              <w:rPr>
                <w:rFonts w:asciiTheme="majorHAnsi" w:eastAsia="Times New Roman" w:hAnsiTheme="majorHAnsi" w:cstheme="majorHAnsi"/>
                <w:color w:val="000000"/>
                <w:sz w:val="18"/>
                <w:szCs w:val="18"/>
                <w:lang w:eastAsia="cs-CZ"/>
              </w:rPr>
              <w:t xml:space="preserve"> a částečně do P</w:t>
            </w:r>
            <w:r w:rsidR="00AA053D" w:rsidRPr="006070EA">
              <w:rPr>
                <w:rFonts w:asciiTheme="majorHAnsi" w:eastAsia="Times New Roman" w:hAnsiTheme="majorHAnsi" w:cstheme="majorHAnsi"/>
                <w:color w:val="000000"/>
                <w:sz w:val="18"/>
                <w:szCs w:val="18"/>
                <w:lang w:eastAsia="cs-CZ"/>
              </w:rPr>
              <w:t>U</w:t>
            </w:r>
          </w:p>
        </w:tc>
        <w:tc>
          <w:tcPr>
            <w:tcW w:w="2438" w:type="dxa"/>
            <w:noWrap/>
            <w:vAlign w:val="center"/>
            <w:hideMark/>
          </w:tcPr>
          <w:p w14:paraId="7CA0D69D" w14:textId="50D36CBF"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stabilizovaných ploch v ZÚ, částečně součást lokálního biokoridoru L</w:t>
            </w:r>
            <w:r w:rsidR="00AA053D" w:rsidRPr="006070EA">
              <w:rPr>
                <w:rFonts w:asciiTheme="majorHAnsi" w:eastAsia="Times New Roman" w:hAnsiTheme="majorHAnsi" w:cstheme="majorHAnsi"/>
                <w:color w:val="000000"/>
                <w:sz w:val="18"/>
                <w:szCs w:val="18"/>
                <w:lang w:eastAsia="cs-CZ"/>
              </w:rPr>
              <w:t>B</w:t>
            </w:r>
            <w:r w:rsidRPr="006070EA">
              <w:rPr>
                <w:rFonts w:asciiTheme="majorHAnsi" w:eastAsia="Times New Roman" w:hAnsiTheme="majorHAnsi" w:cstheme="majorHAnsi"/>
                <w:color w:val="000000"/>
                <w:sz w:val="18"/>
                <w:szCs w:val="18"/>
                <w:lang w:eastAsia="cs-CZ"/>
              </w:rPr>
              <w:t>K</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1</w:t>
            </w:r>
          </w:p>
        </w:tc>
      </w:tr>
      <w:tr w:rsidR="00CF1108" w:rsidRPr="006070EA" w14:paraId="174F1F05" w14:textId="77777777" w:rsidTr="00A13D9A">
        <w:trPr>
          <w:cantSplit/>
          <w:trHeight w:val="1215"/>
          <w:jc w:val="center"/>
        </w:trPr>
        <w:tc>
          <w:tcPr>
            <w:tcW w:w="460" w:type="dxa"/>
            <w:vMerge w:val="restart"/>
            <w:noWrap/>
            <w:vAlign w:val="center"/>
            <w:hideMark/>
          </w:tcPr>
          <w:p w14:paraId="22720BF3"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31</w:t>
            </w:r>
          </w:p>
        </w:tc>
        <w:tc>
          <w:tcPr>
            <w:tcW w:w="958" w:type="dxa"/>
            <w:vMerge w:val="restart"/>
            <w:noWrap/>
            <w:vAlign w:val="center"/>
            <w:hideMark/>
          </w:tcPr>
          <w:p w14:paraId="0C413C27"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09.10.2017</w:t>
            </w:r>
          </w:p>
        </w:tc>
        <w:tc>
          <w:tcPr>
            <w:tcW w:w="804" w:type="dxa"/>
            <w:noWrap/>
            <w:vAlign w:val="center"/>
            <w:hideMark/>
          </w:tcPr>
          <w:p w14:paraId="3DAD5399"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894/39</w:t>
            </w:r>
          </w:p>
        </w:tc>
        <w:tc>
          <w:tcPr>
            <w:tcW w:w="953" w:type="dxa"/>
            <w:noWrap/>
            <w:vAlign w:val="center"/>
            <w:hideMark/>
          </w:tcPr>
          <w:p w14:paraId="3D6CED99"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Kostomlaty nad Labem</w:t>
            </w:r>
          </w:p>
        </w:tc>
        <w:tc>
          <w:tcPr>
            <w:tcW w:w="1417" w:type="dxa"/>
            <w:noWrap/>
            <w:vAlign w:val="center"/>
            <w:hideMark/>
          </w:tcPr>
          <w:p w14:paraId="16E3D855"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výstavba RD</w:t>
            </w:r>
          </w:p>
        </w:tc>
        <w:tc>
          <w:tcPr>
            <w:tcW w:w="950" w:type="dxa"/>
            <w:noWrap/>
            <w:vAlign w:val="center"/>
            <w:hideMark/>
          </w:tcPr>
          <w:p w14:paraId="3DEEEEE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vAlign w:val="center"/>
            <w:hideMark/>
          </w:tcPr>
          <w:p w14:paraId="124ED17B" w14:textId="792C7AD9"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částečně do BI a částečně do </w:t>
            </w:r>
            <w:r w:rsidR="00AA053D" w:rsidRPr="006070EA">
              <w:rPr>
                <w:rFonts w:asciiTheme="majorHAnsi" w:eastAsia="Times New Roman" w:hAnsiTheme="majorHAnsi" w:cstheme="majorHAnsi"/>
                <w:color w:val="000000"/>
                <w:sz w:val="18"/>
                <w:szCs w:val="18"/>
                <w:lang w:eastAsia="cs-CZ"/>
              </w:rPr>
              <w:t>AU</w:t>
            </w:r>
          </w:p>
        </w:tc>
        <w:tc>
          <w:tcPr>
            <w:tcW w:w="2438" w:type="dxa"/>
            <w:noWrap/>
            <w:vAlign w:val="center"/>
            <w:hideMark/>
          </w:tcPr>
          <w:p w14:paraId="74C727CF" w14:textId="43F59FB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zastavitelné plochy Z</w:t>
            </w:r>
            <w:r w:rsidR="00AA053D"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 xml:space="preserve">09, částečně konflikt s koridorem </w:t>
            </w:r>
            <w:r w:rsidR="00AA053D" w:rsidRPr="006070EA">
              <w:rPr>
                <w:rFonts w:asciiTheme="majorHAnsi" w:eastAsia="Times New Roman" w:hAnsiTheme="majorHAnsi" w:cstheme="majorHAnsi"/>
                <w:color w:val="000000"/>
                <w:sz w:val="18"/>
                <w:szCs w:val="18"/>
                <w:lang w:eastAsia="cs-CZ"/>
              </w:rPr>
              <w:t>CNU.</w:t>
            </w:r>
            <w:r w:rsidRPr="006070EA">
              <w:rPr>
                <w:rFonts w:asciiTheme="majorHAnsi" w:eastAsia="Times New Roman" w:hAnsiTheme="majorHAnsi" w:cstheme="majorHAnsi"/>
                <w:color w:val="000000"/>
                <w:sz w:val="18"/>
                <w:szCs w:val="18"/>
                <w:lang w:eastAsia="cs-CZ"/>
              </w:rPr>
              <w:t>KD</w:t>
            </w:r>
            <w:r w:rsidR="0097451F">
              <w:rPr>
                <w:rFonts w:asciiTheme="majorHAnsi" w:eastAsia="Times New Roman" w:hAnsiTheme="majorHAnsi" w:cstheme="majorHAnsi"/>
                <w:color w:val="000000"/>
                <w:sz w:val="18"/>
                <w:szCs w:val="18"/>
                <w:lang w:eastAsia="cs-CZ"/>
              </w:rPr>
              <w:t>2</w:t>
            </w:r>
          </w:p>
        </w:tc>
      </w:tr>
      <w:tr w:rsidR="00CF1108" w:rsidRPr="006070EA" w14:paraId="01AB06AE" w14:textId="77777777" w:rsidTr="00A13D9A">
        <w:trPr>
          <w:cantSplit/>
          <w:trHeight w:val="300"/>
          <w:jc w:val="center"/>
        </w:trPr>
        <w:tc>
          <w:tcPr>
            <w:tcW w:w="460" w:type="dxa"/>
            <w:vMerge/>
            <w:vAlign w:val="center"/>
            <w:hideMark/>
          </w:tcPr>
          <w:p w14:paraId="5165CF2B"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p>
        </w:tc>
        <w:tc>
          <w:tcPr>
            <w:tcW w:w="958" w:type="dxa"/>
            <w:vMerge/>
            <w:vAlign w:val="center"/>
            <w:hideMark/>
          </w:tcPr>
          <w:p w14:paraId="49C981FB"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p>
        </w:tc>
        <w:tc>
          <w:tcPr>
            <w:tcW w:w="804" w:type="dxa"/>
            <w:noWrap/>
            <w:vAlign w:val="center"/>
            <w:hideMark/>
          </w:tcPr>
          <w:p w14:paraId="528C6076"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952/7</w:t>
            </w:r>
          </w:p>
        </w:tc>
        <w:tc>
          <w:tcPr>
            <w:tcW w:w="953" w:type="dxa"/>
            <w:noWrap/>
            <w:vAlign w:val="center"/>
            <w:hideMark/>
          </w:tcPr>
          <w:p w14:paraId="6E5D6662"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Kostomlaty nad Labem</w:t>
            </w:r>
          </w:p>
        </w:tc>
        <w:tc>
          <w:tcPr>
            <w:tcW w:w="1417" w:type="dxa"/>
            <w:noWrap/>
            <w:vAlign w:val="center"/>
            <w:hideMark/>
          </w:tcPr>
          <w:p w14:paraId="102D9D70" w14:textId="77777777" w:rsidR="00CF1108" w:rsidRPr="006070EA" w:rsidRDefault="00CF1108" w:rsidP="00CF1108">
            <w:pPr>
              <w:spacing w:after="0" w:line="240" w:lineRule="auto"/>
              <w:jc w:val="center"/>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výstavba RD</w:t>
            </w:r>
          </w:p>
        </w:tc>
        <w:tc>
          <w:tcPr>
            <w:tcW w:w="950" w:type="dxa"/>
            <w:noWrap/>
            <w:vAlign w:val="center"/>
            <w:hideMark/>
          </w:tcPr>
          <w:p w14:paraId="40FD917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5AC1D8B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DS</w:t>
            </w:r>
          </w:p>
        </w:tc>
        <w:tc>
          <w:tcPr>
            <w:tcW w:w="2438" w:type="dxa"/>
            <w:noWrap/>
            <w:vAlign w:val="center"/>
            <w:hideMark/>
          </w:tcPr>
          <w:p w14:paraId="59A3F2E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pozemek silnice, stabilizován v DS</w:t>
            </w:r>
          </w:p>
        </w:tc>
      </w:tr>
      <w:tr w:rsidR="00CF1108" w:rsidRPr="006070EA" w14:paraId="1AFD7502" w14:textId="77777777" w:rsidTr="00A13D9A">
        <w:trPr>
          <w:cantSplit/>
          <w:trHeight w:val="495"/>
          <w:jc w:val="center"/>
        </w:trPr>
        <w:tc>
          <w:tcPr>
            <w:tcW w:w="460" w:type="dxa"/>
            <w:noWrap/>
            <w:vAlign w:val="center"/>
            <w:hideMark/>
          </w:tcPr>
          <w:p w14:paraId="192BE48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32</w:t>
            </w:r>
          </w:p>
        </w:tc>
        <w:tc>
          <w:tcPr>
            <w:tcW w:w="958" w:type="dxa"/>
            <w:noWrap/>
            <w:vAlign w:val="center"/>
            <w:hideMark/>
          </w:tcPr>
          <w:p w14:paraId="43E9F18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15.03.2018</w:t>
            </w:r>
          </w:p>
        </w:tc>
        <w:tc>
          <w:tcPr>
            <w:tcW w:w="804" w:type="dxa"/>
            <w:noWrap/>
            <w:vAlign w:val="center"/>
            <w:hideMark/>
          </w:tcPr>
          <w:p w14:paraId="00E459A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836/2</w:t>
            </w:r>
          </w:p>
        </w:tc>
        <w:tc>
          <w:tcPr>
            <w:tcW w:w="953" w:type="dxa"/>
            <w:noWrap/>
            <w:vAlign w:val="center"/>
            <w:hideMark/>
          </w:tcPr>
          <w:p w14:paraId="53514F8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7165271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sad</w:t>
            </w:r>
          </w:p>
        </w:tc>
        <w:tc>
          <w:tcPr>
            <w:tcW w:w="950" w:type="dxa"/>
            <w:noWrap/>
            <w:vAlign w:val="center"/>
            <w:hideMark/>
          </w:tcPr>
          <w:p w14:paraId="509A81D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vAlign w:val="center"/>
            <w:hideMark/>
          </w:tcPr>
          <w:p w14:paraId="5274DEB7" w14:textId="7A162E84"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Z</w:t>
            </w:r>
            <w:r w:rsidR="00AA053D" w:rsidRPr="006070EA">
              <w:rPr>
                <w:rFonts w:asciiTheme="majorHAnsi" w:eastAsia="Times New Roman" w:hAnsiTheme="majorHAnsi" w:cstheme="majorHAnsi"/>
                <w:color w:val="000000"/>
                <w:sz w:val="18"/>
                <w:szCs w:val="18"/>
                <w:lang w:eastAsia="cs-CZ"/>
              </w:rPr>
              <w:t>P</w:t>
            </w:r>
          </w:p>
        </w:tc>
        <w:tc>
          <w:tcPr>
            <w:tcW w:w="2438" w:type="dxa"/>
            <w:noWrap/>
            <w:vAlign w:val="center"/>
            <w:hideMark/>
          </w:tcPr>
          <w:p w14:paraId="6890EDB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w:t>
            </w:r>
          </w:p>
        </w:tc>
      </w:tr>
      <w:tr w:rsidR="00CF1108" w:rsidRPr="006070EA" w14:paraId="38B22F66" w14:textId="77777777" w:rsidTr="00A13D9A">
        <w:trPr>
          <w:cantSplit/>
          <w:trHeight w:val="300"/>
          <w:jc w:val="center"/>
        </w:trPr>
        <w:tc>
          <w:tcPr>
            <w:tcW w:w="460" w:type="dxa"/>
            <w:noWrap/>
            <w:vAlign w:val="center"/>
            <w:hideMark/>
          </w:tcPr>
          <w:p w14:paraId="087E7F2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33</w:t>
            </w:r>
          </w:p>
        </w:tc>
        <w:tc>
          <w:tcPr>
            <w:tcW w:w="958" w:type="dxa"/>
            <w:noWrap/>
            <w:vAlign w:val="center"/>
            <w:hideMark/>
          </w:tcPr>
          <w:p w14:paraId="77E1DD0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01.03.2018</w:t>
            </w:r>
          </w:p>
        </w:tc>
        <w:tc>
          <w:tcPr>
            <w:tcW w:w="804" w:type="dxa"/>
            <w:noWrap/>
            <w:vAlign w:val="center"/>
            <w:hideMark/>
          </w:tcPr>
          <w:p w14:paraId="2EEA37A8" w14:textId="6458103F"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noWrap/>
            <w:vAlign w:val="center"/>
            <w:hideMark/>
          </w:tcPr>
          <w:p w14:paraId="6A65EC4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6326BEE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vybudovat přístupovou komunikaci k pískovně</w:t>
            </w:r>
          </w:p>
        </w:tc>
        <w:tc>
          <w:tcPr>
            <w:tcW w:w="950" w:type="dxa"/>
            <w:noWrap/>
            <w:vAlign w:val="center"/>
            <w:hideMark/>
          </w:tcPr>
          <w:p w14:paraId="6077877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vAlign w:val="center"/>
            <w:hideMark/>
          </w:tcPr>
          <w:p w14:paraId="6494428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vAlign w:val="center"/>
            <w:hideMark/>
          </w:tcPr>
          <w:p w14:paraId="26CA447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zákaz provozu nákl. vozidel po komunikaci dle informace od samosprávy</w:t>
            </w:r>
          </w:p>
        </w:tc>
      </w:tr>
      <w:tr w:rsidR="00CF1108" w:rsidRPr="006070EA" w14:paraId="3E7FD91D" w14:textId="77777777" w:rsidTr="00A13D9A">
        <w:trPr>
          <w:cantSplit/>
          <w:trHeight w:val="1455"/>
          <w:jc w:val="center"/>
        </w:trPr>
        <w:tc>
          <w:tcPr>
            <w:tcW w:w="460" w:type="dxa"/>
            <w:noWrap/>
            <w:vAlign w:val="center"/>
            <w:hideMark/>
          </w:tcPr>
          <w:p w14:paraId="26D13A8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lastRenderedPageBreak/>
              <w:t>34</w:t>
            </w:r>
          </w:p>
        </w:tc>
        <w:tc>
          <w:tcPr>
            <w:tcW w:w="958" w:type="dxa"/>
            <w:noWrap/>
            <w:vAlign w:val="center"/>
            <w:hideMark/>
          </w:tcPr>
          <w:p w14:paraId="43BF9BD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11.12.2017</w:t>
            </w:r>
          </w:p>
        </w:tc>
        <w:tc>
          <w:tcPr>
            <w:tcW w:w="804" w:type="dxa"/>
            <w:noWrap/>
            <w:vAlign w:val="center"/>
            <w:hideMark/>
          </w:tcPr>
          <w:p w14:paraId="28CA93E6" w14:textId="217421D9"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noWrap/>
            <w:vAlign w:val="center"/>
            <w:hideMark/>
          </w:tcPr>
          <w:p w14:paraId="7E989DA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3FE49A8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zrušení obchvatu obce, napojení cyklostezky na lávku přes Labe</w:t>
            </w:r>
          </w:p>
        </w:tc>
        <w:tc>
          <w:tcPr>
            <w:tcW w:w="950" w:type="dxa"/>
            <w:noWrap/>
            <w:vAlign w:val="center"/>
            <w:hideMark/>
          </w:tcPr>
          <w:p w14:paraId="40093A4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vAlign w:val="center"/>
            <w:hideMark/>
          </w:tcPr>
          <w:p w14:paraId="3D0DC50E" w14:textId="31C41766"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územní rezerva DS, koridor </w:t>
            </w:r>
            <w:r w:rsidR="00804E2A" w:rsidRPr="006070EA">
              <w:rPr>
                <w:rFonts w:asciiTheme="majorHAnsi" w:eastAsia="Times New Roman" w:hAnsiTheme="majorHAnsi" w:cstheme="majorHAnsi"/>
                <w:color w:val="000000"/>
                <w:sz w:val="18"/>
                <w:szCs w:val="18"/>
                <w:lang w:eastAsia="cs-CZ"/>
              </w:rPr>
              <w:t>CNU.</w:t>
            </w:r>
            <w:r w:rsidRPr="006070EA">
              <w:rPr>
                <w:rFonts w:asciiTheme="majorHAnsi" w:eastAsia="Times New Roman" w:hAnsiTheme="majorHAnsi" w:cstheme="majorHAnsi"/>
                <w:color w:val="000000"/>
                <w:sz w:val="18"/>
                <w:szCs w:val="18"/>
                <w:lang w:eastAsia="cs-CZ"/>
              </w:rPr>
              <w:t>KDN1 a navržená cyklotrasa</w:t>
            </w:r>
          </w:p>
        </w:tc>
        <w:tc>
          <w:tcPr>
            <w:tcW w:w="2438" w:type="dxa"/>
            <w:noWrap/>
            <w:vAlign w:val="center"/>
            <w:hideMark/>
          </w:tcPr>
          <w:p w14:paraId="544D8F50" w14:textId="076DEE1C"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napojení cyklostezky přes Labe zajištěno v rámci koridoru </w:t>
            </w:r>
            <w:r w:rsidR="00804E2A" w:rsidRPr="006070EA">
              <w:rPr>
                <w:rFonts w:asciiTheme="majorHAnsi" w:eastAsia="Times New Roman" w:hAnsiTheme="majorHAnsi" w:cstheme="majorHAnsi"/>
                <w:color w:val="000000"/>
                <w:sz w:val="18"/>
                <w:szCs w:val="18"/>
                <w:lang w:eastAsia="cs-CZ"/>
              </w:rPr>
              <w:t>CNU.</w:t>
            </w:r>
            <w:r w:rsidRPr="006070EA">
              <w:rPr>
                <w:rFonts w:asciiTheme="majorHAnsi" w:eastAsia="Times New Roman" w:hAnsiTheme="majorHAnsi" w:cstheme="majorHAnsi"/>
                <w:color w:val="000000"/>
                <w:sz w:val="18"/>
                <w:szCs w:val="18"/>
                <w:lang w:eastAsia="cs-CZ"/>
              </w:rPr>
              <w:t>KDN1 a navrženou trasou cyklotrasy; pro prověření možného budoucího využití pro obchvat obce vymezena územní rezerva</w:t>
            </w:r>
          </w:p>
        </w:tc>
      </w:tr>
      <w:tr w:rsidR="00CF1108" w:rsidRPr="006070EA" w14:paraId="0ADD36FB" w14:textId="77777777" w:rsidTr="00A13D9A">
        <w:trPr>
          <w:cantSplit/>
          <w:trHeight w:val="495"/>
          <w:jc w:val="center"/>
        </w:trPr>
        <w:tc>
          <w:tcPr>
            <w:tcW w:w="460" w:type="dxa"/>
            <w:vMerge w:val="restart"/>
            <w:noWrap/>
            <w:vAlign w:val="center"/>
            <w:hideMark/>
          </w:tcPr>
          <w:p w14:paraId="49B8FA5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35</w:t>
            </w:r>
          </w:p>
        </w:tc>
        <w:tc>
          <w:tcPr>
            <w:tcW w:w="958" w:type="dxa"/>
            <w:vMerge w:val="restart"/>
            <w:noWrap/>
            <w:vAlign w:val="center"/>
            <w:hideMark/>
          </w:tcPr>
          <w:p w14:paraId="5868960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31.08.2020</w:t>
            </w:r>
          </w:p>
        </w:tc>
        <w:tc>
          <w:tcPr>
            <w:tcW w:w="804" w:type="dxa"/>
            <w:noWrap/>
            <w:vAlign w:val="center"/>
            <w:hideMark/>
          </w:tcPr>
          <w:p w14:paraId="3F513E4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224/6</w:t>
            </w:r>
          </w:p>
        </w:tc>
        <w:tc>
          <w:tcPr>
            <w:tcW w:w="953" w:type="dxa"/>
            <w:noWrap/>
            <w:vAlign w:val="center"/>
            <w:hideMark/>
          </w:tcPr>
          <w:p w14:paraId="2ACEDD3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5D0891D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2CD0CF2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vAlign w:val="center"/>
            <w:hideMark/>
          </w:tcPr>
          <w:p w14:paraId="61A825BE" w14:textId="714C8F10"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AU</w:t>
            </w:r>
          </w:p>
        </w:tc>
        <w:tc>
          <w:tcPr>
            <w:tcW w:w="2438" w:type="dxa"/>
            <w:noWrap/>
            <w:vAlign w:val="center"/>
            <w:hideMark/>
          </w:tcPr>
          <w:p w14:paraId="0ABCDFA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nežádoucí rozvoj zástavby do volné krajiny, narušení charakteristického urbanistického rázu sídla, požadavek nemá vazbu na řešení ÚPO</w:t>
            </w:r>
          </w:p>
        </w:tc>
      </w:tr>
      <w:tr w:rsidR="00CF1108" w:rsidRPr="006070EA" w14:paraId="079C64C3" w14:textId="77777777" w:rsidTr="00A13D9A">
        <w:trPr>
          <w:cantSplit/>
          <w:trHeight w:val="495"/>
          <w:jc w:val="center"/>
        </w:trPr>
        <w:tc>
          <w:tcPr>
            <w:tcW w:w="460" w:type="dxa"/>
            <w:vMerge/>
            <w:vAlign w:val="center"/>
            <w:hideMark/>
          </w:tcPr>
          <w:p w14:paraId="6392F3D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17A0F22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14763F0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309/37</w:t>
            </w:r>
          </w:p>
        </w:tc>
        <w:tc>
          <w:tcPr>
            <w:tcW w:w="953" w:type="dxa"/>
            <w:noWrap/>
            <w:vAlign w:val="center"/>
            <w:hideMark/>
          </w:tcPr>
          <w:p w14:paraId="175C8AE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5449322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17150C0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vAlign w:val="center"/>
            <w:hideMark/>
          </w:tcPr>
          <w:p w14:paraId="1D7A7169" w14:textId="5BF9163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AU</w:t>
            </w:r>
          </w:p>
        </w:tc>
        <w:tc>
          <w:tcPr>
            <w:tcW w:w="2438" w:type="dxa"/>
            <w:noWrap/>
            <w:vAlign w:val="center"/>
            <w:hideMark/>
          </w:tcPr>
          <w:p w14:paraId="7D5D83F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nežádoucí rozvoj zástavby do volné krajiny, narušení charakteristického urbanistického rázu sídla, požadavek nemá vazbu na řešení ÚPO, sousedství zemědělského areálu</w:t>
            </w:r>
          </w:p>
        </w:tc>
      </w:tr>
      <w:tr w:rsidR="00CF1108" w:rsidRPr="006070EA" w14:paraId="0AE61B4F" w14:textId="77777777" w:rsidTr="00A13D9A">
        <w:trPr>
          <w:cantSplit/>
          <w:trHeight w:val="495"/>
          <w:jc w:val="center"/>
        </w:trPr>
        <w:tc>
          <w:tcPr>
            <w:tcW w:w="460" w:type="dxa"/>
            <w:vMerge/>
            <w:vAlign w:val="center"/>
            <w:hideMark/>
          </w:tcPr>
          <w:p w14:paraId="15D2520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0A0969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6BBD77A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309/38</w:t>
            </w:r>
          </w:p>
        </w:tc>
        <w:tc>
          <w:tcPr>
            <w:tcW w:w="953" w:type="dxa"/>
            <w:noWrap/>
            <w:vAlign w:val="center"/>
            <w:hideMark/>
          </w:tcPr>
          <w:p w14:paraId="5EA4B50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6FC1F2E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7E90A9E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vAlign w:val="center"/>
            <w:hideMark/>
          </w:tcPr>
          <w:p w14:paraId="0ED344C3" w14:textId="1420288C"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AU</w:t>
            </w:r>
          </w:p>
        </w:tc>
        <w:tc>
          <w:tcPr>
            <w:tcW w:w="2438" w:type="dxa"/>
            <w:noWrap/>
            <w:vAlign w:val="center"/>
            <w:hideMark/>
          </w:tcPr>
          <w:p w14:paraId="5A019CB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nežádoucí rozvoj zástavby do volné krajiny, narušení charakteristického urbanistického rázu sídla, požadavek nemá vazbu na řešení ÚPO, sousedství zemědělského areálu</w:t>
            </w:r>
          </w:p>
        </w:tc>
      </w:tr>
      <w:tr w:rsidR="00CF1108" w:rsidRPr="006070EA" w14:paraId="0FF23EC5" w14:textId="77777777" w:rsidTr="00A13D9A">
        <w:trPr>
          <w:cantSplit/>
          <w:trHeight w:val="495"/>
          <w:jc w:val="center"/>
        </w:trPr>
        <w:tc>
          <w:tcPr>
            <w:tcW w:w="460" w:type="dxa"/>
            <w:vMerge/>
            <w:vAlign w:val="center"/>
            <w:hideMark/>
          </w:tcPr>
          <w:p w14:paraId="38B25EB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2DE89B7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4FA0661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309/43</w:t>
            </w:r>
          </w:p>
        </w:tc>
        <w:tc>
          <w:tcPr>
            <w:tcW w:w="953" w:type="dxa"/>
            <w:noWrap/>
            <w:vAlign w:val="center"/>
            <w:hideMark/>
          </w:tcPr>
          <w:p w14:paraId="577A507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0A6E78B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4B1AE6B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vAlign w:val="center"/>
            <w:hideMark/>
          </w:tcPr>
          <w:p w14:paraId="6212D911" w14:textId="78265D21"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r w:rsidR="00804E2A" w:rsidRPr="006070EA">
              <w:rPr>
                <w:rFonts w:asciiTheme="majorHAnsi" w:eastAsia="Times New Roman" w:hAnsiTheme="majorHAnsi" w:cstheme="majorHAnsi"/>
                <w:color w:val="000000"/>
                <w:sz w:val="18"/>
                <w:szCs w:val="18"/>
                <w:lang w:eastAsia="cs-CZ"/>
              </w:rPr>
              <w:t>AU</w:t>
            </w:r>
          </w:p>
        </w:tc>
        <w:tc>
          <w:tcPr>
            <w:tcW w:w="2438" w:type="dxa"/>
            <w:noWrap/>
            <w:vAlign w:val="center"/>
            <w:hideMark/>
          </w:tcPr>
          <w:p w14:paraId="081E5D6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nežádoucí rozvoj zástavby do volné krajiny, narušení charakteristického urbanistického rázu sídla, požadavek nemá vazbu na řešení ÚPO</w:t>
            </w:r>
          </w:p>
        </w:tc>
      </w:tr>
      <w:tr w:rsidR="00CF1108" w:rsidRPr="006070EA" w14:paraId="127EE14D" w14:textId="77777777" w:rsidTr="00A13D9A">
        <w:trPr>
          <w:cantSplit/>
          <w:trHeight w:val="300"/>
          <w:jc w:val="center"/>
        </w:trPr>
        <w:tc>
          <w:tcPr>
            <w:tcW w:w="460" w:type="dxa"/>
            <w:vMerge/>
            <w:vAlign w:val="center"/>
            <w:hideMark/>
          </w:tcPr>
          <w:p w14:paraId="5B5EB2D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5AFF4FB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0FA33F5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317/5</w:t>
            </w:r>
          </w:p>
        </w:tc>
        <w:tc>
          <w:tcPr>
            <w:tcW w:w="953" w:type="dxa"/>
            <w:noWrap/>
            <w:vAlign w:val="center"/>
            <w:hideMark/>
          </w:tcPr>
          <w:p w14:paraId="04C17DC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0E02928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13BC4C7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39CD472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DS</w:t>
            </w:r>
          </w:p>
        </w:tc>
        <w:tc>
          <w:tcPr>
            <w:tcW w:w="2438" w:type="dxa"/>
            <w:noWrap/>
            <w:vAlign w:val="center"/>
            <w:hideMark/>
          </w:tcPr>
          <w:p w14:paraId="132F23D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pozemek silnice, stabilizován v DS</w:t>
            </w:r>
          </w:p>
        </w:tc>
      </w:tr>
      <w:tr w:rsidR="00CF1108" w:rsidRPr="006070EA" w14:paraId="4098C94B" w14:textId="77777777" w:rsidTr="00A13D9A">
        <w:trPr>
          <w:cantSplit/>
          <w:trHeight w:val="300"/>
          <w:jc w:val="center"/>
        </w:trPr>
        <w:tc>
          <w:tcPr>
            <w:tcW w:w="460" w:type="dxa"/>
            <w:vMerge/>
            <w:vAlign w:val="center"/>
            <w:hideMark/>
          </w:tcPr>
          <w:p w14:paraId="2895F38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1BAD6B5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66FC0A3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317/10</w:t>
            </w:r>
          </w:p>
        </w:tc>
        <w:tc>
          <w:tcPr>
            <w:tcW w:w="953" w:type="dxa"/>
            <w:noWrap/>
            <w:vAlign w:val="center"/>
            <w:hideMark/>
          </w:tcPr>
          <w:p w14:paraId="6E21253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089CA5A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7C8B3A2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0442BF2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DS</w:t>
            </w:r>
          </w:p>
        </w:tc>
        <w:tc>
          <w:tcPr>
            <w:tcW w:w="2438" w:type="dxa"/>
            <w:noWrap/>
            <w:vAlign w:val="center"/>
            <w:hideMark/>
          </w:tcPr>
          <w:p w14:paraId="0FAB7AF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pozemek silnice, stabilizován v DS</w:t>
            </w:r>
          </w:p>
        </w:tc>
      </w:tr>
      <w:tr w:rsidR="00CF1108" w:rsidRPr="006070EA" w14:paraId="2B16B17D" w14:textId="77777777" w:rsidTr="00A13D9A">
        <w:trPr>
          <w:cantSplit/>
          <w:trHeight w:val="300"/>
          <w:jc w:val="center"/>
        </w:trPr>
        <w:tc>
          <w:tcPr>
            <w:tcW w:w="460" w:type="dxa"/>
            <w:vMerge/>
            <w:vAlign w:val="center"/>
            <w:hideMark/>
          </w:tcPr>
          <w:p w14:paraId="406F163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00B513C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3DC394A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317/11</w:t>
            </w:r>
          </w:p>
        </w:tc>
        <w:tc>
          <w:tcPr>
            <w:tcW w:w="953" w:type="dxa"/>
            <w:noWrap/>
            <w:vAlign w:val="center"/>
            <w:hideMark/>
          </w:tcPr>
          <w:p w14:paraId="132B883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0815835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3C5C86E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44AF639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DS</w:t>
            </w:r>
          </w:p>
        </w:tc>
        <w:tc>
          <w:tcPr>
            <w:tcW w:w="2438" w:type="dxa"/>
            <w:noWrap/>
            <w:vAlign w:val="center"/>
            <w:hideMark/>
          </w:tcPr>
          <w:p w14:paraId="178D843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pozemek silnice, stabilizován v DS</w:t>
            </w:r>
          </w:p>
        </w:tc>
      </w:tr>
      <w:tr w:rsidR="00CF1108" w:rsidRPr="006070EA" w14:paraId="3451C84A" w14:textId="77777777" w:rsidTr="00A13D9A">
        <w:trPr>
          <w:cantSplit/>
          <w:trHeight w:val="300"/>
          <w:jc w:val="center"/>
        </w:trPr>
        <w:tc>
          <w:tcPr>
            <w:tcW w:w="460" w:type="dxa"/>
            <w:noWrap/>
            <w:vAlign w:val="center"/>
            <w:hideMark/>
          </w:tcPr>
          <w:p w14:paraId="20A3CB0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36</w:t>
            </w:r>
          </w:p>
        </w:tc>
        <w:tc>
          <w:tcPr>
            <w:tcW w:w="958" w:type="dxa"/>
            <w:noWrap/>
            <w:vAlign w:val="center"/>
            <w:hideMark/>
          </w:tcPr>
          <w:p w14:paraId="46B06B0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07.01.2021</w:t>
            </w:r>
          </w:p>
        </w:tc>
        <w:tc>
          <w:tcPr>
            <w:tcW w:w="804" w:type="dxa"/>
            <w:noWrap/>
            <w:vAlign w:val="center"/>
            <w:hideMark/>
          </w:tcPr>
          <w:p w14:paraId="7906370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133/2</w:t>
            </w:r>
          </w:p>
        </w:tc>
        <w:tc>
          <w:tcPr>
            <w:tcW w:w="953" w:type="dxa"/>
            <w:noWrap/>
            <w:vAlign w:val="center"/>
            <w:hideMark/>
          </w:tcPr>
          <w:p w14:paraId="7E7987F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1762F8B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kombinace pro bydlení a pro zemědělskou činnost</w:t>
            </w:r>
          </w:p>
        </w:tc>
        <w:tc>
          <w:tcPr>
            <w:tcW w:w="950" w:type="dxa"/>
            <w:noWrap/>
            <w:vAlign w:val="center"/>
            <w:hideMark/>
          </w:tcPr>
          <w:p w14:paraId="4AEC251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w:t>
            </w:r>
          </w:p>
        </w:tc>
        <w:tc>
          <w:tcPr>
            <w:tcW w:w="1139" w:type="dxa"/>
            <w:noWrap/>
            <w:vAlign w:val="center"/>
            <w:hideMark/>
          </w:tcPr>
          <w:p w14:paraId="6057244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do SV</w:t>
            </w:r>
          </w:p>
        </w:tc>
        <w:tc>
          <w:tcPr>
            <w:tcW w:w="2438" w:type="dxa"/>
            <w:noWrap/>
            <w:vAlign w:val="center"/>
            <w:hideMark/>
          </w:tcPr>
          <w:p w14:paraId="0A1720C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součást stabilizované plochy v ZÚ</w:t>
            </w:r>
          </w:p>
        </w:tc>
      </w:tr>
      <w:tr w:rsidR="00A46281" w:rsidRPr="006070EA" w14:paraId="663604D0" w14:textId="77777777" w:rsidTr="00A13D9A">
        <w:trPr>
          <w:cantSplit/>
          <w:trHeight w:val="300"/>
          <w:jc w:val="center"/>
        </w:trPr>
        <w:tc>
          <w:tcPr>
            <w:tcW w:w="460" w:type="dxa"/>
            <w:vMerge w:val="restart"/>
            <w:noWrap/>
            <w:vAlign w:val="center"/>
            <w:hideMark/>
          </w:tcPr>
          <w:p w14:paraId="407D8FBB"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37</w:t>
            </w:r>
          </w:p>
        </w:tc>
        <w:tc>
          <w:tcPr>
            <w:tcW w:w="958" w:type="dxa"/>
            <w:vMerge w:val="restart"/>
            <w:noWrap/>
            <w:vAlign w:val="center"/>
            <w:hideMark/>
          </w:tcPr>
          <w:p w14:paraId="2BFFD266"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05.11.2020</w:t>
            </w:r>
          </w:p>
        </w:tc>
        <w:tc>
          <w:tcPr>
            <w:tcW w:w="804" w:type="dxa"/>
            <w:noWrap/>
            <w:vAlign w:val="center"/>
            <w:hideMark/>
          </w:tcPr>
          <w:p w14:paraId="10376840"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455/1</w:t>
            </w:r>
          </w:p>
        </w:tc>
        <w:tc>
          <w:tcPr>
            <w:tcW w:w="953" w:type="dxa"/>
            <w:noWrap/>
            <w:vAlign w:val="center"/>
            <w:hideMark/>
          </w:tcPr>
          <w:p w14:paraId="38A726E2"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7F8B7873"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2498D781" w14:textId="4F781AD3" w:rsidR="00A46281" w:rsidRPr="006070EA" w:rsidRDefault="00A13D9A"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16902FEE" w14:textId="7B948804"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00804E2A" w:rsidRPr="006070EA">
              <w:rPr>
                <w:rFonts w:asciiTheme="majorHAnsi" w:eastAsia="Times New Roman" w:hAnsiTheme="majorHAnsi" w:cstheme="majorHAnsi"/>
                <w:color w:val="000000"/>
                <w:sz w:val="18"/>
                <w:szCs w:val="18"/>
                <w:lang w:eastAsia="cs-CZ"/>
              </w:rPr>
              <w:t>MU.zp</w:t>
            </w:r>
            <w:proofErr w:type="gramEnd"/>
          </w:p>
        </w:tc>
        <w:tc>
          <w:tcPr>
            <w:tcW w:w="2438" w:type="dxa"/>
            <w:vMerge w:val="restart"/>
            <w:noWrap/>
            <w:vAlign w:val="center"/>
          </w:tcPr>
          <w:p w14:paraId="348B7C8D" w14:textId="7D0D9D6D" w:rsidR="00A46281" w:rsidRPr="006070EA" w:rsidRDefault="00A13D9A" w:rsidP="00A46281">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sousedství vodního toku Vlkava, blízkost zařízení technické infrastruktury (ČOV), dotčení záplavovým územím Q100 včetně aktivní zóny, stanovených na vodním toku Vlkava, nesouhlas obce s vymezením zastavitelné plochy</w:t>
            </w:r>
          </w:p>
        </w:tc>
      </w:tr>
      <w:tr w:rsidR="00A46281" w:rsidRPr="006070EA" w14:paraId="209F513A" w14:textId="77777777" w:rsidTr="00A13D9A">
        <w:trPr>
          <w:cantSplit/>
          <w:trHeight w:val="300"/>
          <w:jc w:val="center"/>
        </w:trPr>
        <w:tc>
          <w:tcPr>
            <w:tcW w:w="460" w:type="dxa"/>
            <w:vMerge/>
            <w:vAlign w:val="center"/>
            <w:hideMark/>
          </w:tcPr>
          <w:p w14:paraId="4163865D"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22267FB8"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39FE78D5"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455/3</w:t>
            </w:r>
          </w:p>
        </w:tc>
        <w:tc>
          <w:tcPr>
            <w:tcW w:w="953" w:type="dxa"/>
            <w:noWrap/>
            <w:vAlign w:val="center"/>
            <w:hideMark/>
          </w:tcPr>
          <w:p w14:paraId="726E45B0"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0B7467A1"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0BB8342E" w14:textId="1167DC9A" w:rsidR="00A46281" w:rsidRPr="006070EA" w:rsidRDefault="00A13D9A"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34B66E07" w14:textId="5BC312F8"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00804E2A" w:rsidRPr="006070EA">
              <w:rPr>
                <w:rFonts w:asciiTheme="majorHAnsi" w:eastAsia="Times New Roman" w:hAnsiTheme="majorHAnsi" w:cstheme="majorHAnsi"/>
                <w:color w:val="000000"/>
                <w:sz w:val="18"/>
                <w:szCs w:val="18"/>
                <w:lang w:eastAsia="cs-CZ"/>
              </w:rPr>
              <w:t>MU.zp</w:t>
            </w:r>
            <w:proofErr w:type="gramEnd"/>
          </w:p>
        </w:tc>
        <w:tc>
          <w:tcPr>
            <w:tcW w:w="2438" w:type="dxa"/>
            <w:vMerge/>
            <w:noWrap/>
            <w:vAlign w:val="center"/>
          </w:tcPr>
          <w:p w14:paraId="55A7C78D" w14:textId="52DE7FDE"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r>
      <w:tr w:rsidR="00A46281" w:rsidRPr="006070EA" w14:paraId="2E675D9B" w14:textId="77777777" w:rsidTr="00A13D9A">
        <w:trPr>
          <w:cantSplit/>
          <w:trHeight w:val="300"/>
          <w:jc w:val="center"/>
        </w:trPr>
        <w:tc>
          <w:tcPr>
            <w:tcW w:w="460" w:type="dxa"/>
            <w:vMerge/>
            <w:vAlign w:val="center"/>
            <w:hideMark/>
          </w:tcPr>
          <w:p w14:paraId="1AFBF238"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E880125"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52A0C820"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455/4</w:t>
            </w:r>
          </w:p>
        </w:tc>
        <w:tc>
          <w:tcPr>
            <w:tcW w:w="953" w:type="dxa"/>
            <w:noWrap/>
            <w:vAlign w:val="center"/>
            <w:hideMark/>
          </w:tcPr>
          <w:p w14:paraId="7D2A4BBD"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5AA882E0"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0DB1B6E7" w14:textId="6A207A80" w:rsidR="00A46281" w:rsidRPr="006070EA" w:rsidRDefault="00A13D9A"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75C26221" w14:textId="68C4EA09"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00804E2A" w:rsidRPr="006070EA">
              <w:rPr>
                <w:rFonts w:asciiTheme="majorHAnsi" w:eastAsia="Times New Roman" w:hAnsiTheme="majorHAnsi" w:cstheme="majorHAnsi"/>
                <w:color w:val="000000"/>
                <w:sz w:val="18"/>
                <w:szCs w:val="18"/>
                <w:lang w:eastAsia="cs-CZ"/>
              </w:rPr>
              <w:t>MU.zp</w:t>
            </w:r>
            <w:proofErr w:type="gramEnd"/>
          </w:p>
        </w:tc>
        <w:tc>
          <w:tcPr>
            <w:tcW w:w="2438" w:type="dxa"/>
            <w:vMerge/>
            <w:noWrap/>
            <w:vAlign w:val="center"/>
          </w:tcPr>
          <w:p w14:paraId="3D3B7E41" w14:textId="0DEAA175"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r>
      <w:tr w:rsidR="00A46281" w:rsidRPr="006070EA" w14:paraId="0786DC66" w14:textId="77777777" w:rsidTr="00A13D9A">
        <w:trPr>
          <w:cantSplit/>
          <w:trHeight w:val="300"/>
          <w:jc w:val="center"/>
        </w:trPr>
        <w:tc>
          <w:tcPr>
            <w:tcW w:w="460" w:type="dxa"/>
            <w:vMerge/>
            <w:vAlign w:val="center"/>
            <w:hideMark/>
          </w:tcPr>
          <w:p w14:paraId="4E7EBC8E"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6F1464BB"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7C694F45"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840/17</w:t>
            </w:r>
          </w:p>
        </w:tc>
        <w:tc>
          <w:tcPr>
            <w:tcW w:w="953" w:type="dxa"/>
            <w:noWrap/>
            <w:vAlign w:val="center"/>
            <w:hideMark/>
          </w:tcPr>
          <w:p w14:paraId="6F12F549"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4558EF06"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7FD69C9B" w14:textId="03031216" w:rsidR="00A46281" w:rsidRPr="006070EA" w:rsidRDefault="00A13D9A"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6742E7EF" w14:textId="46F504A4"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00804E2A" w:rsidRPr="006070EA">
              <w:rPr>
                <w:rFonts w:asciiTheme="majorHAnsi" w:eastAsia="Times New Roman" w:hAnsiTheme="majorHAnsi" w:cstheme="majorHAnsi"/>
                <w:color w:val="000000"/>
                <w:sz w:val="18"/>
                <w:szCs w:val="18"/>
                <w:lang w:eastAsia="cs-CZ"/>
              </w:rPr>
              <w:t>MU.zp</w:t>
            </w:r>
            <w:proofErr w:type="gramEnd"/>
          </w:p>
        </w:tc>
        <w:tc>
          <w:tcPr>
            <w:tcW w:w="2438" w:type="dxa"/>
            <w:vMerge/>
            <w:noWrap/>
            <w:vAlign w:val="center"/>
          </w:tcPr>
          <w:p w14:paraId="0CC89EF5" w14:textId="3C8385B5"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r>
      <w:tr w:rsidR="00A46281" w:rsidRPr="006070EA" w14:paraId="71562756" w14:textId="77777777" w:rsidTr="00A13D9A">
        <w:trPr>
          <w:cantSplit/>
          <w:trHeight w:val="300"/>
          <w:jc w:val="center"/>
        </w:trPr>
        <w:tc>
          <w:tcPr>
            <w:tcW w:w="460" w:type="dxa"/>
            <w:vMerge/>
            <w:vAlign w:val="center"/>
            <w:hideMark/>
          </w:tcPr>
          <w:p w14:paraId="5BC1DBCB"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3719D110"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7476363D"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701/1</w:t>
            </w:r>
          </w:p>
        </w:tc>
        <w:tc>
          <w:tcPr>
            <w:tcW w:w="953" w:type="dxa"/>
            <w:noWrap/>
            <w:vAlign w:val="center"/>
            <w:hideMark/>
          </w:tcPr>
          <w:p w14:paraId="760BC3C8"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3C62D926" w14:textId="77777777"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37316CA2" w14:textId="5CD1633C" w:rsidR="00A46281" w:rsidRPr="006070EA" w:rsidRDefault="00A13D9A"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7E2156EB" w14:textId="1D9927A3"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00804E2A" w:rsidRPr="006070EA">
              <w:rPr>
                <w:rFonts w:asciiTheme="majorHAnsi" w:eastAsia="Times New Roman" w:hAnsiTheme="majorHAnsi" w:cstheme="majorHAnsi"/>
                <w:color w:val="000000"/>
                <w:sz w:val="18"/>
                <w:szCs w:val="18"/>
                <w:lang w:eastAsia="cs-CZ"/>
              </w:rPr>
              <w:t>MU.zp</w:t>
            </w:r>
            <w:proofErr w:type="gramEnd"/>
          </w:p>
        </w:tc>
        <w:tc>
          <w:tcPr>
            <w:tcW w:w="2438" w:type="dxa"/>
            <w:vMerge/>
            <w:noWrap/>
            <w:vAlign w:val="center"/>
          </w:tcPr>
          <w:p w14:paraId="60106DEE" w14:textId="5AA9076B" w:rsidR="00A46281" w:rsidRPr="006070EA" w:rsidRDefault="00A46281" w:rsidP="00CF1108">
            <w:pPr>
              <w:spacing w:after="0" w:line="240" w:lineRule="auto"/>
              <w:jc w:val="center"/>
              <w:rPr>
                <w:rFonts w:asciiTheme="majorHAnsi" w:eastAsia="Times New Roman" w:hAnsiTheme="majorHAnsi" w:cstheme="majorHAnsi"/>
                <w:color w:val="000000"/>
                <w:sz w:val="18"/>
                <w:szCs w:val="18"/>
                <w:lang w:eastAsia="cs-CZ"/>
              </w:rPr>
            </w:pPr>
          </w:p>
        </w:tc>
      </w:tr>
      <w:tr w:rsidR="00CF1108" w:rsidRPr="006070EA" w14:paraId="5D78E8CA" w14:textId="77777777" w:rsidTr="00A13D9A">
        <w:trPr>
          <w:cantSplit/>
          <w:trHeight w:val="300"/>
          <w:jc w:val="center"/>
        </w:trPr>
        <w:tc>
          <w:tcPr>
            <w:tcW w:w="460" w:type="dxa"/>
            <w:vMerge/>
            <w:vAlign w:val="center"/>
            <w:hideMark/>
          </w:tcPr>
          <w:p w14:paraId="1130135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7C61D4A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5028F14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840/1</w:t>
            </w:r>
          </w:p>
        </w:tc>
        <w:tc>
          <w:tcPr>
            <w:tcW w:w="953" w:type="dxa"/>
            <w:noWrap/>
            <w:vAlign w:val="center"/>
            <w:hideMark/>
          </w:tcPr>
          <w:p w14:paraId="4DBCF12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647C667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1374DD3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05587BD4" w14:textId="66E3C3A1"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00804E2A" w:rsidRPr="006070EA">
              <w:rPr>
                <w:rFonts w:asciiTheme="majorHAnsi" w:eastAsia="Times New Roman" w:hAnsiTheme="majorHAnsi" w:cstheme="majorHAnsi"/>
                <w:color w:val="000000"/>
                <w:sz w:val="18"/>
                <w:szCs w:val="18"/>
                <w:lang w:eastAsia="cs-CZ"/>
              </w:rPr>
              <w:t>MU.zp</w:t>
            </w:r>
            <w:proofErr w:type="gramEnd"/>
          </w:p>
        </w:tc>
        <w:tc>
          <w:tcPr>
            <w:tcW w:w="2438" w:type="dxa"/>
            <w:noWrap/>
            <w:vAlign w:val="center"/>
            <w:hideMark/>
          </w:tcPr>
          <w:p w14:paraId="2E93218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sousedství zařízení technické infrastruktury (ČOV)</w:t>
            </w:r>
          </w:p>
        </w:tc>
      </w:tr>
      <w:tr w:rsidR="00CF1108" w:rsidRPr="006070EA" w14:paraId="3CE1834D" w14:textId="77777777" w:rsidTr="00A13D9A">
        <w:trPr>
          <w:cantSplit/>
          <w:trHeight w:val="300"/>
          <w:jc w:val="center"/>
        </w:trPr>
        <w:tc>
          <w:tcPr>
            <w:tcW w:w="460" w:type="dxa"/>
            <w:vMerge/>
            <w:vAlign w:val="center"/>
            <w:hideMark/>
          </w:tcPr>
          <w:p w14:paraId="02877D8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22E860D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47D7F10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840/8</w:t>
            </w:r>
          </w:p>
        </w:tc>
        <w:tc>
          <w:tcPr>
            <w:tcW w:w="953" w:type="dxa"/>
            <w:noWrap/>
            <w:vAlign w:val="center"/>
            <w:hideMark/>
          </w:tcPr>
          <w:p w14:paraId="42473B2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41B4AF7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4BBD3F5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36334917" w14:textId="63665E8E"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00804E2A" w:rsidRPr="006070EA">
              <w:rPr>
                <w:rFonts w:asciiTheme="majorHAnsi" w:eastAsia="Times New Roman" w:hAnsiTheme="majorHAnsi" w:cstheme="majorHAnsi"/>
                <w:color w:val="000000"/>
                <w:sz w:val="18"/>
                <w:szCs w:val="18"/>
                <w:lang w:eastAsia="cs-CZ"/>
              </w:rPr>
              <w:t>MU.zp</w:t>
            </w:r>
            <w:proofErr w:type="gramEnd"/>
          </w:p>
        </w:tc>
        <w:tc>
          <w:tcPr>
            <w:tcW w:w="2438" w:type="dxa"/>
            <w:noWrap/>
            <w:vAlign w:val="center"/>
            <w:hideMark/>
          </w:tcPr>
          <w:p w14:paraId="6887CD7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nežádoucí rozvoj do volné krajiny bez vazby na zastavěné území a veřejnou infrastrukturu</w:t>
            </w:r>
          </w:p>
        </w:tc>
      </w:tr>
      <w:tr w:rsidR="00CF1108" w:rsidRPr="006070EA" w14:paraId="73932C09" w14:textId="77777777" w:rsidTr="00A13D9A">
        <w:trPr>
          <w:cantSplit/>
          <w:trHeight w:val="300"/>
          <w:jc w:val="center"/>
        </w:trPr>
        <w:tc>
          <w:tcPr>
            <w:tcW w:w="460" w:type="dxa"/>
            <w:vMerge/>
            <w:vAlign w:val="center"/>
            <w:hideMark/>
          </w:tcPr>
          <w:p w14:paraId="3277089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1B91B77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4037261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841/3</w:t>
            </w:r>
          </w:p>
        </w:tc>
        <w:tc>
          <w:tcPr>
            <w:tcW w:w="953" w:type="dxa"/>
            <w:noWrap/>
            <w:vAlign w:val="center"/>
            <w:hideMark/>
          </w:tcPr>
          <w:p w14:paraId="1EBC46F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37FB8E6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4892FE5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4A34A2FA" w14:textId="4945C5BA"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00804E2A" w:rsidRPr="006070EA">
              <w:rPr>
                <w:rFonts w:asciiTheme="majorHAnsi" w:eastAsia="Times New Roman" w:hAnsiTheme="majorHAnsi" w:cstheme="majorHAnsi"/>
                <w:color w:val="000000"/>
                <w:sz w:val="18"/>
                <w:szCs w:val="18"/>
                <w:lang w:eastAsia="cs-CZ"/>
              </w:rPr>
              <w:t>MU.zp</w:t>
            </w:r>
            <w:proofErr w:type="gramEnd"/>
          </w:p>
        </w:tc>
        <w:tc>
          <w:tcPr>
            <w:tcW w:w="2438" w:type="dxa"/>
            <w:noWrap/>
            <w:vAlign w:val="center"/>
            <w:hideMark/>
          </w:tcPr>
          <w:p w14:paraId="605D3A5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nežádoucí rozvoj do volné krajiny bez vazby na zastavěné území a veřejnou infrastrukturu</w:t>
            </w:r>
          </w:p>
        </w:tc>
      </w:tr>
      <w:tr w:rsidR="00A13D9A" w:rsidRPr="006070EA" w14:paraId="07CFF997" w14:textId="77777777" w:rsidTr="00A13D9A">
        <w:trPr>
          <w:cantSplit/>
          <w:trHeight w:val="300"/>
          <w:jc w:val="center"/>
        </w:trPr>
        <w:tc>
          <w:tcPr>
            <w:tcW w:w="460" w:type="dxa"/>
            <w:vMerge/>
            <w:vAlign w:val="center"/>
            <w:hideMark/>
          </w:tcPr>
          <w:p w14:paraId="700D43B6" w14:textId="77777777" w:rsidR="00A13D9A" w:rsidRPr="006070EA" w:rsidRDefault="00A13D9A" w:rsidP="00A13D9A">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7EB936E" w14:textId="77777777" w:rsidR="00A13D9A" w:rsidRPr="006070EA" w:rsidRDefault="00A13D9A" w:rsidP="00A13D9A">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3383B59C" w14:textId="77777777" w:rsidR="00A13D9A" w:rsidRPr="006070EA" w:rsidRDefault="00A13D9A" w:rsidP="00A13D9A">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1366/3</w:t>
            </w:r>
          </w:p>
        </w:tc>
        <w:tc>
          <w:tcPr>
            <w:tcW w:w="953" w:type="dxa"/>
            <w:noWrap/>
            <w:vAlign w:val="center"/>
            <w:hideMark/>
          </w:tcPr>
          <w:p w14:paraId="5EDAE28F" w14:textId="77777777" w:rsidR="00A13D9A" w:rsidRPr="006070EA" w:rsidRDefault="00A13D9A" w:rsidP="00A13D9A">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0E326D55" w14:textId="77777777" w:rsidR="00A13D9A" w:rsidRPr="006070EA" w:rsidRDefault="00A13D9A" w:rsidP="00A13D9A">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3F990024" w14:textId="528C483B" w:rsidR="00A13D9A" w:rsidRPr="006070EA" w:rsidRDefault="00A13D9A" w:rsidP="00A13D9A">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w:t>
            </w:r>
          </w:p>
        </w:tc>
        <w:tc>
          <w:tcPr>
            <w:tcW w:w="1139" w:type="dxa"/>
            <w:noWrap/>
            <w:vAlign w:val="center"/>
            <w:hideMark/>
          </w:tcPr>
          <w:p w14:paraId="6BA729A3" w14:textId="071B2C67" w:rsidR="00A13D9A" w:rsidRPr="006070EA" w:rsidRDefault="00A13D9A" w:rsidP="00A13D9A">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zařazeno do </w:t>
            </w:r>
            <w:proofErr w:type="gramStart"/>
            <w:r w:rsidR="00804E2A" w:rsidRPr="006070EA">
              <w:rPr>
                <w:rFonts w:asciiTheme="majorHAnsi" w:eastAsia="Times New Roman" w:hAnsiTheme="majorHAnsi" w:cstheme="majorHAnsi"/>
                <w:color w:val="000000"/>
                <w:sz w:val="18"/>
                <w:szCs w:val="18"/>
                <w:lang w:eastAsia="cs-CZ"/>
              </w:rPr>
              <w:t>MU.zp</w:t>
            </w:r>
            <w:proofErr w:type="gramEnd"/>
          </w:p>
        </w:tc>
        <w:tc>
          <w:tcPr>
            <w:tcW w:w="2438" w:type="dxa"/>
            <w:noWrap/>
            <w:vAlign w:val="center"/>
            <w:hideMark/>
          </w:tcPr>
          <w:p w14:paraId="06F533C6" w14:textId="6ED403F0" w:rsidR="00A13D9A" w:rsidRPr="006070EA" w:rsidRDefault="00A13D9A" w:rsidP="00A13D9A">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sousedství vodního toku Vlkava, blízkost zařízení technické infrastruktury (ČOV), nesouhlas obce s vymezením zastavitelné plochy</w:t>
            </w:r>
          </w:p>
        </w:tc>
      </w:tr>
      <w:tr w:rsidR="00CF1108" w:rsidRPr="006070EA" w14:paraId="2E54FD88" w14:textId="77777777" w:rsidTr="00A13D9A">
        <w:trPr>
          <w:cantSplit/>
          <w:trHeight w:val="2160"/>
          <w:jc w:val="center"/>
        </w:trPr>
        <w:tc>
          <w:tcPr>
            <w:tcW w:w="460" w:type="dxa"/>
            <w:noWrap/>
            <w:vAlign w:val="center"/>
            <w:hideMark/>
          </w:tcPr>
          <w:p w14:paraId="50A6D45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38</w:t>
            </w:r>
          </w:p>
        </w:tc>
        <w:tc>
          <w:tcPr>
            <w:tcW w:w="958" w:type="dxa"/>
            <w:noWrap/>
            <w:vAlign w:val="center"/>
            <w:hideMark/>
          </w:tcPr>
          <w:p w14:paraId="2B2D208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23.03.2020</w:t>
            </w:r>
          </w:p>
        </w:tc>
        <w:tc>
          <w:tcPr>
            <w:tcW w:w="804" w:type="dxa"/>
            <w:noWrap/>
            <w:vAlign w:val="center"/>
            <w:hideMark/>
          </w:tcPr>
          <w:p w14:paraId="7D462F8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839/24</w:t>
            </w:r>
          </w:p>
        </w:tc>
        <w:tc>
          <w:tcPr>
            <w:tcW w:w="953" w:type="dxa"/>
            <w:noWrap/>
            <w:vAlign w:val="center"/>
            <w:hideMark/>
          </w:tcPr>
          <w:p w14:paraId="089AA01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2EFB8B69"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výstavba RD</w:t>
            </w:r>
          </w:p>
        </w:tc>
        <w:tc>
          <w:tcPr>
            <w:tcW w:w="950" w:type="dxa"/>
            <w:noWrap/>
            <w:vAlign w:val="center"/>
            <w:hideMark/>
          </w:tcPr>
          <w:p w14:paraId="03200FD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ANO, část</w:t>
            </w:r>
          </w:p>
        </w:tc>
        <w:tc>
          <w:tcPr>
            <w:tcW w:w="1139" w:type="dxa"/>
            <w:vAlign w:val="center"/>
            <w:hideMark/>
          </w:tcPr>
          <w:p w14:paraId="000B8225" w14:textId="0403628E"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zařazeno částečně do BI, částečně do Z</w:t>
            </w:r>
            <w:r w:rsidR="00804E2A" w:rsidRPr="006070EA">
              <w:rPr>
                <w:rFonts w:asciiTheme="majorHAnsi" w:eastAsia="Times New Roman" w:hAnsiTheme="majorHAnsi" w:cstheme="majorHAnsi"/>
                <w:color w:val="000000"/>
                <w:sz w:val="18"/>
                <w:szCs w:val="18"/>
                <w:lang w:eastAsia="cs-CZ"/>
              </w:rPr>
              <w:t>P</w:t>
            </w:r>
            <w:r w:rsidRPr="006070EA">
              <w:rPr>
                <w:rFonts w:asciiTheme="majorHAnsi" w:eastAsia="Times New Roman" w:hAnsiTheme="majorHAnsi" w:cstheme="majorHAnsi"/>
                <w:color w:val="000000"/>
                <w:sz w:val="18"/>
                <w:szCs w:val="18"/>
                <w:lang w:eastAsia="cs-CZ"/>
              </w:rPr>
              <w:t xml:space="preserve">, částečně do </w:t>
            </w:r>
            <w:proofErr w:type="gramStart"/>
            <w:r w:rsidR="00804E2A" w:rsidRPr="006070EA">
              <w:rPr>
                <w:rFonts w:asciiTheme="majorHAnsi" w:eastAsia="Times New Roman" w:hAnsiTheme="majorHAnsi" w:cstheme="majorHAnsi"/>
                <w:color w:val="000000"/>
                <w:sz w:val="18"/>
                <w:szCs w:val="18"/>
                <w:lang w:eastAsia="cs-CZ"/>
              </w:rPr>
              <w:t>MU.r</w:t>
            </w:r>
            <w:proofErr w:type="gramEnd"/>
            <w:r w:rsidRPr="006070EA">
              <w:rPr>
                <w:rFonts w:asciiTheme="majorHAnsi" w:eastAsia="Times New Roman" w:hAnsiTheme="majorHAnsi" w:cstheme="majorHAnsi"/>
                <w:color w:val="000000"/>
                <w:sz w:val="18"/>
                <w:szCs w:val="18"/>
                <w:lang w:eastAsia="cs-CZ"/>
              </w:rPr>
              <w:t xml:space="preserve"> a částečně do </w:t>
            </w:r>
            <w:r w:rsidR="00804E2A" w:rsidRPr="006070EA">
              <w:rPr>
                <w:rFonts w:asciiTheme="majorHAnsi" w:eastAsia="Times New Roman" w:hAnsiTheme="majorHAnsi" w:cstheme="majorHAnsi"/>
                <w:color w:val="000000"/>
                <w:sz w:val="18"/>
                <w:szCs w:val="18"/>
                <w:lang w:eastAsia="cs-CZ"/>
              </w:rPr>
              <w:t>AU</w:t>
            </w:r>
          </w:p>
        </w:tc>
        <w:tc>
          <w:tcPr>
            <w:tcW w:w="2438" w:type="dxa"/>
            <w:noWrap/>
            <w:vAlign w:val="center"/>
            <w:hideMark/>
          </w:tcPr>
          <w:p w14:paraId="548C8847" w14:textId="43D23AA2"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částečně součást zastavitelné plochy Z</w:t>
            </w:r>
            <w:r w:rsidR="00804E2A"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07 (Z</w:t>
            </w:r>
            <w:r w:rsidR="00804E2A" w:rsidRPr="006070EA">
              <w:rPr>
                <w:rFonts w:asciiTheme="majorHAnsi" w:eastAsia="Times New Roman" w:hAnsiTheme="majorHAnsi" w:cstheme="majorHAnsi"/>
                <w:color w:val="000000"/>
                <w:sz w:val="18"/>
                <w:szCs w:val="18"/>
                <w:lang w:eastAsia="cs-CZ"/>
              </w:rPr>
              <w:t>P</w:t>
            </w:r>
            <w:r w:rsidRPr="006070EA">
              <w:rPr>
                <w:rFonts w:asciiTheme="majorHAnsi" w:eastAsia="Times New Roman" w:hAnsiTheme="majorHAnsi" w:cstheme="majorHAnsi"/>
                <w:color w:val="000000"/>
                <w:sz w:val="18"/>
                <w:szCs w:val="18"/>
                <w:lang w:eastAsia="cs-CZ"/>
              </w:rPr>
              <w:t>), částečně součástí zastavitelné plochy Z</w:t>
            </w:r>
            <w:r w:rsidR="00804E2A" w:rsidRPr="006070EA">
              <w:rPr>
                <w:rFonts w:asciiTheme="majorHAnsi" w:eastAsia="Times New Roman" w:hAnsiTheme="majorHAnsi" w:cstheme="majorHAnsi"/>
                <w:color w:val="000000"/>
                <w:sz w:val="18"/>
                <w:szCs w:val="18"/>
                <w:lang w:eastAsia="cs-CZ"/>
              </w:rPr>
              <w:t>.</w:t>
            </w:r>
            <w:r w:rsidRPr="006070EA">
              <w:rPr>
                <w:rFonts w:asciiTheme="majorHAnsi" w:eastAsia="Times New Roman" w:hAnsiTheme="majorHAnsi" w:cstheme="majorHAnsi"/>
                <w:color w:val="000000"/>
                <w:sz w:val="18"/>
                <w:szCs w:val="18"/>
                <w:lang w:eastAsia="cs-CZ"/>
              </w:rPr>
              <w:t>08 (Z</w:t>
            </w:r>
            <w:r w:rsidR="00804E2A" w:rsidRPr="006070EA">
              <w:rPr>
                <w:rFonts w:asciiTheme="majorHAnsi" w:eastAsia="Times New Roman" w:hAnsiTheme="majorHAnsi" w:cstheme="majorHAnsi"/>
                <w:color w:val="000000"/>
                <w:sz w:val="18"/>
                <w:szCs w:val="18"/>
                <w:lang w:eastAsia="cs-CZ"/>
              </w:rPr>
              <w:t>P</w:t>
            </w:r>
            <w:r w:rsidRPr="006070EA">
              <w:rPr>
                <w:rFonts w:asciiTheme="majorHAnsi" w:eastAsia="Times New Roman" w:hAnsiTheme="majorHAnsi" w:cstheme="majorHAnsi"/>
                <w:color w:val="000000"/>
                <w:sz w:val="18"/>
                <w:szCs w:val="18"/>
                <w:lang w:eastAsia="cs-CZ"/>
              </w:rPr>
              <w:t>)</w:t>
            </w:r>
          </w:p>
        </w:tc>
      </w:tr>
      <w:tr w:rsidR="00CF1108" w:rsidRPr="006070EA" w14:paraId="2F02CD6B" w14:textId="77777777" w:rsidTr="00A13D9A">
        <w:trPr>
          <w:cantSplit/>
          <w:trHeight w:val="300"/>
          <w:jc w:val="center"/>
        </w:trPr>
        <w:tc>
          <w:tcPr>
            <w:tcW w:w="460" w:type="dxa"/>
            <w:vMerge w:val="restart"/>
            <w:noWrap/>
            <w:vAlign w:val="center"/>
            <w:hideMark/>
          </w:tcPr>
          <w:p w14:paraId="0D8F08F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39</w:t>
            </w:r>
          </w:p>
        </w:tc>
        <w:tc>
          <w:tcPr>
            <w:tcW w:w="958" w:type="dxa"/>
            <w:vMerge w:val="restart"/>
            <w:noWrap/>
            <w:vAlign w:val="center"/>
            <w:hideMark/>
          </w:tcPr>
          <w:p w14:paraId="435805A2" w14:textId="5DBCB2CF"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804" w:type="dxa"/>
            <w:noWrap/>
            <w:vAlign w:val="center"/>
            <w:hideMark/>
          </w:tcPr>
          <w:p w14:paraId="22DCF524" w14:textId="7F4336F4"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noWrap/>
            <w:vAlign w:val="center"/>
            <w:hideMark/>
          </w:tcPr>
          <w:p w14:paraId="11B51F0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6C7404D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zajistit věcná břemena pro přístup k polnostem vzdálenějším od silnice</w:t>
            </w:r>
          </w:p>
        </w:tc>
        <w:tc>
          <w:tcPr>
            <w:tcW w:w="950" w:type="dxa"/>
            <w:noWrap/>
            <w:vAlign w:val="center"/>
            <w:hideMark/>
          </w:tcPr>
          <w:p w14:paraId="39E9A56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vAlign w:val="center"/>
            <w:hideMark/>
          </w:tcPr>
          <w:p w14:paraId="537A8A5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vAlign w:val="center"/>
            <w:hideMark/>
          </w:tcPr>
          <w:p w14:paraId="1F19774F" w14:textId="7F67D558"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není předmětem </w:t>
            </w:r>
            <w:r w:rsidR="00106C28" w:rsidRPr="006070EA">
              <w:rPr>
                <w:rFonts w:asciiTheme="majorHAnsi" w:eastAsia="Times New Roman" w:hAnsiTheme="majorHAnsi" w:cstheme="majorHAnsi"/>
                <w:color w:val="000000"/>
                <w:sz w:val="18"/>
                <w:szCs w:val="18"/>
                <w:lang w:eastAsia="cs-CZ"/>
              </w:rPr>
              <w:t xml:space="preserve">návrhu </w:t>
            </w:r>
            <w:r w:rsidRPr="006070EA">
              <w:rPr>
                <w:rFonts w:asciiTheme="majorHAnsi" w:eastAsia="Times New Roman" w:hAnsiTheme="majorHAnsi" w:cstheme="majorHAnsi"/>
                <w:color w:val="000000"/>
                <w:sz w:val="18"/>
                <w:szCs w:val="18"/>
                <w:lang w:eastAsia="cs-CZ"/>
              </w:rPr>
              <w:t>ÚP</w:t>
            </w:r>
          </w:p>
        </w:tc>
      </w:tr>
      <w:tr w:rsidR="00CF1108" w:rsidRPr="006070EA" w14:paraId="07DFC169" w14:textId="77777777" w:rsidTr="00A13D9A">
        <w:trPr>
          <w:cantSplit/>
          <w:trHeight w:val="300"/>
          <w:jc w:val="center"/>
        </w:trPr>
        <w:tc>
          <w:tcPr>
            <w:tcW w:w="460" w:type="dxa"/>
            <w:vMerge/>
            <w:vAlign w:val="center"/>
            <w:hideMark/>
          </w:tcPr>
          <w:p w14:paraId="198F52C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2A68162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7627B3C8" w14:textId="50A02686"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noWrap/>
            <w:vAlign w:val="center"/>
            <w:hideMark/>
          </w:tcPr>
          <w:p w14:paraId="6C28EE0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79404B7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zachování žel. přejezdu u OÚ, vybudování podchodu pro pěší</w:t>
            </w:r>
          </w:p>
        </w:tc>
        <w:tc>
          <w:tcPr>
            <w:tcW w:w="950" w:type="dxa"/>
            <w:noWrap/>
            <w:vAlign w:val="center"/>
            <w:hideMark/>
          </w:tcPr>
          <w:p w14:paraId="329B4A9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vAlign w:val="center"/>
            <w:hideMark/>
          </w:tcPr>
          <w:p w14:paraId="0A88D47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vAlign w:val="center"/>
            <w:hideMark/>
          </w:tcPr>
          <w:p w14:paraId="3E4C1573" w14:textId="734F39E1"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bude řešeno v rámci koridoru </w:t>
            </w:r>
            <w:r w:rsidR="00DD53D3">
              <w:rPr>
                <w:rFonts w:asciiTheme="majorHAnsi" w:eastAsia="Times New Roman" w:hAnsiTheme="majorHAnsi" w:cstheme="majorHAnsi"/>
                <w:color w:val="000000"/>
                <w:sz w:val="18"/>
                <w:szCs w:val="18"/>
                <w:lang w:eastAsia="cs-CZ"/>
              </w:rPr>
              <w:t>CNZ.D322</w:t>
            </w:r>
          </w:p>
        </w:tc>
      </w:tr>
      <w:tr w:rsidR="00106C28" w:rsidRPr="006070EA" w14:paraId="03B5544A" w14:textId="77777777" w:rsidTr="00A13D9A">
        <w:trPr>
          <w:cantSplit/>
          <w:trHeight w:val="300"/>
          <w:jc w:val="center"/>
        </w:trPr>
        <w:tc>
          <w:tcPr>
            <w:tcW w:w="460" w:type="dxa"/>
            <w:vMerge/>
            <w:vAlign w:val="center"/>
            <w:hideMark/>
          </w:tcPr>
          <w:p w14:paraId="2E0B8A73" w14:textId="77777777" w:rsidR="00106C28" w:rsidRPr="006070EA" w:rsidRDefault="00106C28" w:rsidP="00106C2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0BCB2530" w14:textId="77777777" w:rsidR="00106C28" w:rsidRPr="006070EA" w:rsidRDefault="00106C28" w:rsidP="00106C2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0B5E59E3" w14:textId="2AF2D47F" w:rsidR="00106C28" w:rsidRPr="006070EA" w:rsidRDefault="00106C28" w:rsidP="00106C2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noWrap/>
            <w:vAlign w:val="center"/>
            <w:hideMark/>
          </w:tcPr>
          <w:p w14:paraId="3DAB1CD3" w14:textId="77777777" w:rsidR="00106C28" w:rsidRPr="006070EA" w:rsidRDefault="00106C28" w:rsidP="00106C2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687DAFCE" w14:textId="1F5DA7A2" w:rsidR="00106C28" w:rsidRPr="006070EA" w:rsidRDefault="00106C28" w:rsidP="00106C2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vybudování parkoviště severně za žel. tratí</w:t>
            </w:r>
          </w:p>
        </w:tc>
        <w:tc>
          <w:tcPr>
            <w:tcW w:w="950" w:type="dxa"/>
            <w:noWrap/>
            <w:vAlign w:val="center"/>
            <w:hideMark/>
          </w:tcPr>
          <w:p w14:paraId="38CE53EB" w14:textId="77777777" w:rsidR="00106C28" w:rsidRPr="006070EA" w:rsidRDefault="00106C28" w:rsidP="00106C2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vAlign w:val="center"/>
            <w:hideMark/>
          </w:tcPr>
          <w:p w14:paraId="5E762F4B" w14:textId="77777777" w:rsidR="00106C28" w:rsidRPr="006070EA" w:rsidRDefault="00106C28" w:rsidP="00106C2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vAlign w:val="center"/>
            <w:hideMark/>
          </w:tcPr>
          <w:p w14:paraId="770130AD" w14:textId="4D709837" w:rsidR="00106C28" w:rsidRPr="006070EA" w:rsidRDefault="00106C28" w:rsidP="00106C2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není předmětem návrhu ÚP</w:t>
            </w:r>
          </w:p>
        </w:tc>
      </w:tr>
      <w:tr w:rsidR="00CF1108" w:rsidRPr="006070EA" w14:paraId="5F2D80CB" w14:textId="77777777" w:rsidTr="00A13D9A">
        <w:trPr>
          <w:cantSplit/>
          <w:trHeight w:val="300"/>
          <w:jc w:val="center"/>
        </w:trPr>
        <w:tc>
          <w:tcPr>
            <w:tcW w:w="460" w:type="dxa"/>
            <w:vMerge/>
            <w:vAlign w:val="center"/>
            <w:hideMark/>
          </w:tcPr>
          <w:p w14:paraId="5E6F3CA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6C778F9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41CD60E9" w14:textId="40CEE29B"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noWrap/>
            <w:vAlign w:val="center"/>
            <w:hideMark/>
          </w:tcPr>
          <w:p w14:paraId="7F0BB39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Kostomlaty nad Labem</w:t>
            </w:r>
          </w:p>
        </w:tc>
        <w:tc>
          <w:tcPr>
            <w:tcW w:w="1417" w:type="dxa"/>
            <w:noWrap/>
            <w:vAlign w:val="center"/>
            <w:hideMark/>
          </w:tcPr>
          <w:p w14:paraId="7EF6A09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 xml:space="preserve">vymezit cyklostezku podél </w:t>
            </w:r>
            <w:proofErr w:type="gramStart"/>
            <w:r w:rsidRPr="006070EA">
              <w:rPr>
                <w:rFonts w:asciiTheme="majorHAnsi" w:eastAsia="Times New Roman" w:hAnsiTheme="majorHAnsi" w:cstheme="majorHAnsi"/>
                <w:color w:val="000000"/>
                <w:sz w:val="18"/>
                <w:szCs w:val="18"/>
                <w:lang w:eastAsia="cs-CZ"/>
              </w:rPr>
              <w:t>žel.trati</w:t>
            </w:r>
            <w:proofErr w:type="gramEnd"/>
            <w:r w:rsidRPr="006070EA">
              <w:rPr>
                <w:rFonts w:asciiTheme="majorHAnsi" w:eastAsia="Times New Roman" w:hAnsiTheme="majorHAnsi" w:cstheme="majorHAnsi"/>
                <w:color w:val="000000"/>
                <w:sz w:val="18"/>
                <w:szCs w:val="18"/>
                <w:lang w:eastAsia="cs-CZ"/>
              </w:rPr>
              <w:t xml:space="preserve"> Lysá n. L. - Nymburk</w:t>
            </w:r>
          </w:p>
        </w:tc>
        <w:tc>
          <w:tcPr>
            <w:tcW w:w="950" w:type="dxa"/>
            <w:noWrap/>
            <w:vAlign w:val="center"/>
            <w:hideMark/>
          </w:tcPr>
          <w:p w14:paraId="567BCC2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vAlign w:val="center"/>
            <w:hideMark/>
          </w:tcPr>
          <w:p w14:paraId="66539B0E"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vAlign w:val="center"/>
            <w:hideMark/>
          </w:tcPr>
          <w:p w14:paraId="30704C5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umožněno v rámci podmínek ploch s RZV</w:t>
            </w:r>
          </w:p>
        </w:tc>
      </w:tr>
      <w:tr w:rsidR="00CF1108" w:rsidRPr="006070EA" w14:paraId="0E831A26" w14:textId="77777777" w:rsidTr="00A13D9A">
        <w:trPr>
          <w:cantSplit/>
          <w:trHeight w:val="300"/>
          <w:jc w:val="center"/>
        </w:trPr>
        <w:tc>
          <w:tcPr>
            <w:tcW w:w="460" w:type="dxa"/>
            <w:vMerge/>
            <w:vAlign w:val="center"/>
            <w:hideMark/>
          </w:tcPr>
          <w:p w14:paraId="6FB2C7C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38A6396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5BF56C8D" w14:textId="5BD81F4F"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noWrap/>
            <w:vAlign w:val="center"/>
            <w:hideMark/>
          </w:tcPr>
          <w:p w14:paraId="71523D47"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Lány u Kostomlat</w:t>
            </w:r>
          </w:p>
        </w:tc>
        <w:tc>
          <w:tcPr>
            <w:tcW w:w="1417" w:type="dxa"/>
            <w:noWrap/>
            <w:vAlign w:val="center"/>
            <w:hideMark/>
          </w:tcPr>
          <w:p w14:paraId="7B05C7BF" w14:textId="78E53CEB"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omezení ploch pro výstavbu RD v západní části Lán</w:t>
            </w:r>
          </w:p>
        </w:tc>
        <w:tc>
          <w:tcPr>
            <w:tcW w:w="950" w:type="dxa"/>
            <w:noWrap/>
            <w:vAlign w:val="center"/>
            <w:hideMark/>
          </w:tcPr>
          <w:p w14:paraId="27CCED7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vAlign w:val="center"/>
            <w:hideMark/>
          </w:tcPr>
          <w:p w14:paraId="7BBDAFA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vAlign w:val="center"/>
            <w:hideMark/>
          </w:tcPr>
          <w:p w14:paraId="3709D02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řešeno ve vazbě na stávající ÚPO, požadavky v území a stanovenou urbanistickou koncepci</w:t>
            </w:r>
          </w:p>
        </w:tc>
      </w:tr>
      <w:tr w:rsidR="00CF1108" w:rsidRPr="006070EA" w14:paraId="7ED07323" w14:textId="77777777" w:rsidTr="00A13D9A">
        <w:trPr>
          <w:cantSplit/>
          <w:trHeight w:val="300"/>
          <w:jc w:val="center"/>
        </w:trPr>
        <w:tc>
          <w:tcPr>
            <w:tcW w:w="460" w:type="dxa"/>
            <w:vMerge/>
            <w:vAlign w:val="center"/>
            <w:hideMark/>
          </w:tcPr>
          <w:p w14:paraId="568EDD33"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41C8CC9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4F5E69C4" w14:textId="0D361316"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noWrap/>
            <w:vAlign w:val="center"/>
            <w:hideMark/>
          </w:tcPr>
          <w:p w14:paraId="740C7006"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1C327EA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vnitřní pozemky pro RD</w:t>
            </w:r>
          </w:p>
        </w:tc>
        <w:tc>
          <w:tcPr>
            <w:tcW w:w="950" w:type="dxa"/>
            <w:noWrap/>
            <w:vAlign w:val="center"/>
            <w:hideMark/>
          </w:tcPr>
          <w:p w14:paraId="5830C86B"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noWrap/>
            <w:vAlign w:val="center"/>
            <w:hideMark/>
          </w:tcPr>
          <w:p w14:paraId="62859A3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noWrap/>
            <w:vAlign w:val="center"/>
            <w:hideMark/>
          </w:tcPr>
          <w:p w14:paraId="3A7A3F0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řešeno v rámci urbanistické koncepce ÚP</w:t>
            </w:r>
          </w:p>
        </w:tc>
      </w:tr>
      <w:tr w:rsidR="00CF1108" w:rsidRPr="006070EA" w14:paraId="262C2F41" w14:textId="77777777" w:rsidTr="00A13D9A">
        <w:trPr>
          <w:cantSplit/>
          <w:trHeight w:val="300"/>
          <w:jc w:val="center"/>
        </w:trPr>
        <w:tc>
          <w:tcPr>
            <w:tcW w:w="460" w:type="dxa"/>
            <w:vMerge/>
            <w:vAlign w:val="center"/>
            <w:hideMark/>
          </w:tcPr>
          <w:p w14:paraId="1DDDFB21"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67F7ECBD"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2D420101" w14:textId="6E86F05B"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noWrap/>
            <w:vAlign w:val="center"/>
            <w:hideMark/>
          </w:tcPr>
          <w:p w14:paraId="582D3DE2"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Hronětice</w:t>
            </w:r>
          </w:p>
        </w:tc>
        <w:tc>
          <w:tcPr>
            <w:tcW w:w="1417" w:type="dxa"/>
            <w:noWrap/>
            <w:vAlign w:val="center"/>
            <w:hideMark/>
          </w:tcPr>
          <w:p w14:paraId="5AABDB9F"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vnější pozemky mezi komunikací u křížku a objektem Montamilku k výstavbě RD</w:t>
            </w:r>
          </w:p>
        </w:tc>
        <w:tc>
          <w:tcPr>
            <w:tcW w:w="950" w:type="dxa"/>
            <w:noWrap/>
            <w:vAlign w:val="center"/>
            <w:hideMark/>
          </w:tcPr>
          <w:p w14:paraId="0E153868"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noWrap/>
            <w:vAlign w:val="center"/>
            <w:hideMark/>
          </w:tcPr>
          <w:p w14:paraId="5F21B8D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noWrap/>
            <w:vAlign w:val="center"/>
            <w:hideMark/>
          </w:tcPr>
          <w:p w14:paraId="2BBDA9EA"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řešeno v rámci urbanistické koncepce ÚP</w:t>
            </w:r>
          </w:p>
        </w:tc>
      </w:tr>
      <w:tr w:rsidR="00CF1108" w:rsidRPr="006070EA" w14:paraId="1D26F9BD" w14:textId="77777777" w:rsidTr="00A13D9A">
        <w:trPr>
          <w:cantSplit/>
          <w:trHeight w:val="300"/>
          <w:jc w:val="center"/>
        </w:trPr>
        <w:tc>
          <w:tcPr>
            <w:tcW w:w="460" w:type="dxa"/>
            <w:vMerge/>
            <w:vAlign w:val="center"/>
            <w:hideMark/>
          </w:tcPr>
          <w:p w14:paraId="081DA1C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958" w:type="dxa"/>
            <w:vMerge/>
            <w:vAlign w:val="center"/>
            <w:hideMark/>
          </w:tcPr>
          <w:p w14:paraId="73D384D0"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p>
        </w:tc>
        <w:tc>
          <w:tcPr>
            <w:tcW w:w="804" w:type="dxa"/>
            <w:noWrap/>
            <w:vAlign w:val="center"/>
            <w:hideMark/>
          </w:tcPr>
          <w:p w14:paraId="149B0AA3" w14:textId="49BFCA32" w:rsidR="00CF1108" w:rsidRPr="006070EA" w:rsidRDefault="00112B62"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953" w:type="dxa"/>
            <w:noWrap/>
            <w:vAlign w:val="center"/>
            <w:hideMark/>
          </w:tcPr>
          <w:p w14:paraId="1AF3D86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Vápensko</w:t>
            </w:r>
          </w:p>
        </w:tc>
        <w:tc>
          <w:tcPr>
            <w:tcW w:w="1417" w:type="dxa"/>
            <w:noWrap/>
            <w:vAlign w:val="center"/>
            <w:hideMark/>
          </w:tcPr>
          <w:p w14:paraId="17C26C79" w14:textId="626CBFAF"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pozemek pro výstavbu RD od Hronka k prvnímu domu po pravé straně</w:t>
            </w:r>
          </w:p>
        </w:tc>
        <w:tc>
          <w:tcPr>
            <w:tcW w:w="950" w:type="dxa"/>
            <w:noWrap/>
            <w:vAlign w:val="center"/>
            <w:hideMark/>
          </w:tcPr>
          <w:p w14:paraId="18C80B24"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1139" w:type="dxa"/>
            <w:noWrap/>
            <w:vAlign w:val="center"/>
            <w:hideMark/>
          </w:tcPr>
          <w:p w14:paraId="4D602BDC"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w:t>
            </w:r>
          </w:p>
        </w:tc>
        <w:tc>
          <w:tcPr>
            <w:tcW w:w="2438" w:type="dxa"/>
            <w:noWrap/>
            <w:vAlign w:val="center"/>
            <w:hideMark/>
          </w:tcPr>
          <w:p w14:paraId="7D7F7135" w14:textId="77777777" w:rsidR="00CF1108" w:rsidRPr="006070EA" w:rsidRDefault="00CF1108" w:rsidP="00CF1108">
            <w:pPr>
              <w:spacing w:after="0" w:line="240" w:lineRule="auto"/>
              <w:jc w:val="center"/>
              <w:rPr>
                <w:rFonts w:asciiTheme="majorHAnsi" w:eastAsia="Times New Roman" w:hAnsiTheme="majorHAnsi" w:cstheme="majorHAnsi"/>
                <w:color w:val="000000"/>
                <w:sz w:val="18"/>
                <w:szCs w:val="18"/>
                <w:lang w:eastAsia="cs-CZ"/>
              </w:rPr>
            </w:pPr>
            <w:r w:rsidRPr="006070EA">
              <w:rPr>
                <w:rFonts w:asciiTheme="majorHAnsi" w:eastAsia="Times New Roman" w:hAnsiTheme="majorHAnsi" w:cstheme="majorHAnsi"/>
                <w:color w:val="000000"/>
                <w:sz w:val="18"/>
                <w:szCs w:val="18"/>
                <w:lang w:eastAsia="cs-CZ"/>
              </w:rPr>
              <w:t>řešeno v rámci urbanistické koncepce ÚP</w:t>
            </w:r>
          </w:p>
        </w:tc>
      </w:tr>
    </w:tbl>
    <w:p w14:paraId="3A409B07" w14:textId="3A629228" w:rsidR="00B651C8" w:rsidRPr="006070EA" w:rsidRDefault="00B651C8" w:rsidP="003A4B1E">
      <w:pPr>
        <w:pStyle w:val="Odstavecseseznamem"/>
        <w:keepNext/>
        <w:numPr>
          <w:ilvl w:val="1"/>
          <w:numId w:val="29"/>
        </w:numPr>
        <w:spacing w:before="160" w:after="120" w:line="240" w:lineRule="auto"/>
        <w:ind w:left="709" w:hanging="709"/>
        <w:contextualSpacing w:val="0"/>
        <w:outlineLvl w:val="1"/>
        <w:rPr>
          <w:rFonts w:asciiTheme="majorHAnsi" w:hAnsiTheme="majorHAnsi" w:cstheme="majorHAnsi"/>
          <w:b/>
          <w:sz w:val="24"/>
          <w:szCs w:val="20"/>
        </w:rPr>
      </w:pPr>
      <w:bookmarkStart w:id="190" w:name="_Toc204678184"/>
      <w:r w:rsidRPr="006070EA">
        <w:rPr>
          <w:rFonts w:asciiTheme="majorHAnsi" w:hAnsiTheme="majorHAnsi" w:cstheme="majorHAnsi"/>
          <w:b/>
          <w:sz w:val="24"/>
          <w:szCs w:val="20"/>
        </w:rPr>
        <w:lastRenderedPageBreak/>
        <w:t>Vyhodnocení potřeby vymezení zastavitelných ploch</w:t>
      </w:r>
      <w:bookmarkEnd w:id="185"/>
      <w:bookmarkEnd w:id="190"/>
      <w:r w:rsidR="009E67BC" w:rsidRPr="006070EA">
        <w:rPr>
          <w:rFonts w:asciiTheme="majorHAnsi" w:hAnsiTheme="majorHAnsi" w:cstheme="majorHAnsi"/>
          <w:b/>
          <w:sz w:val="24"/>
          <w:szCs w:val="20"/>
        </w:rPr>
        <w:t xml:space="preserve"> </w:t>
      </w:r>
    </w:p>
    <w:p w14:paraId="5B883814" w14:textId="77777777" w:rsidR="00BA6341" w:rsidRPr="006070EA" w:rsidRDefault="00BA6341" w:rsidP="002118D2">
      <w:pPr>
        <w:keepNext/>
        <w:keepLines/>
        <w:suppressAutoHyphens/>
        <w:spacing w:before="120" w:after="120" w:line="240" w:lineRule="auto"/>
        <w:jc w:val="both"/>
        <w:rPr>
          <w:rFonts w:asciiTheme="majorHAnsi" w:eastAsia="Calibri" w:hAnsiTheme="majorHAnsi" w:cstheme="majorHAnsi"/>
          <w:b/>
          <w:snapToGrid w:val="0"/>
          <w:sz w:val="20"/>
          <w:szCs w:val="18"/>
          <w:lang w:eastAsia="ar-SA"/>
        </w:rPr>
      </w:pPr>
      <w:r w:rsidRPr="006070EA">
        <w:rPr>
          <w:rFonts w:asciiTheme="majorHAnsi" w:eastAsia="Calibri" w:hAnsiTheme="majorHAnsi" w:cstheme="majorHAnsi"/>
          <w:b/>
          <w:snapToGrid w:val="0"/>
          <w:sz w:val="20"/>
          <w:szCs w:val="18"/>
          <w:lang w:eastAsia="ar-SA"/>
        </w:rPr>
        <w:t xml:space="preserve">Vyhodnocení potřeby vymezení zastavitelných ploch pro bydlení </w:t>
      </w:r>
    </w:p>
    <w:p w14:paraId="13DC3D9F" w14:textId="4CD22D99" w:rsidR="001A3F17" w:rsidRPr="006070EA" w:rsidRDefault="001A3F17" w:rsidP="00417560">
      <w:pPr>
        <w:pStyle w:val="Atext"/>
        <w:keepNext/>
        <w:rPr>
          <w:rFonts w:asciiTheme="majorHAnsi" w:hAnsiTheme="majorHAnsi" w:cstheme="majorHAnsi"/>
          <w:szCs w:val="18"/>
        </w:rPr>
      </w:pPr>
      <w:r w:rsidRPr="006070EA">
        <w:rPr>
          <w:rFonts w:asciiTheme="majorHAnsi" w:hAnsiTheme="majorHAnsi" w:cstheme="majorHAnsi"/>
          <w:szCs w:val="18"/>
        </w:rPr>
        <w:t xml:space="preserve">Předpoklad budoucího rozvoje obce </w:t>
      </w:r>
      <w:r w:rsidR="00417560" w:rsidRPr="006070EA">
        <w:rPr>
          <w:rFonts w:asciiTheme="majorHAnsi" w:hAnsiTheme="majorHAnsi" w:cstheme="majorHAnsi"/>
          <w:szCs w:val="18"/>
        </w:rPr>
        <w:t>–</w:t>
      </w:r>
      <w:r w:rsidRPr="006070EA">
        <w:rPr>
          <w:rFonts w:asciiTheme="majorHAnsi" w:hAnsiTheme="majorHAnsi" w:cstheme="majorHAnsi"/>
          <w:szCs w:val="18"/>
        </w:rPr>
        <w:t xml:space="preserve"> vývoje počtu obyvatel v řešeném území a rozvoje bytového fondu vychází z historického vývoje, výše popsaných dlouhodobých trendů vývoje počtu obyvatel, domů a bytů, dále z požadavků nadřazených dokumentací a podkladů, a také z principů udržitelného rozvoje území. </w:t>
      </w:r>
    </w:p>
    <w:p w14:paraId="0334B4E3" w14:textId="77777777" w:rsidR="001A3F17" w:rsidRPr="006070EA" w:rsidRDefault="001A3F17" w:rsidP="00417560">
      <w:pPr>
        <w:pStyle w:val="Atext"/>
        <w:keepNext/>
        <w:keepLines/>
        <w:rPr>
          <w:rFonts w:asciiTheme="majorHAnsi" w:hAnsiTheme="majorHAnsi" w:cstheme="majorHAnsi"/>
          <w:szCs w:val="18"/>
        </w:rPr>
      </w:pPr>
      <w:r w:rsidRPr="006070EA">
        <w:rPr>
          <w:rFonts w:asciiTheme="majorHAnsi" w:hAnsiTheme="majorHAnsi" w:cstheme="majorHAnsi"/>
          <w:szCs w:val="18"/>
        </w:rPr>
        <w:t xml:space="preserve">Obecnými požadavky na rozvoj sídel z pohledu demografického a sociálního jsou zlepšování kvality bydlení (snižování míry nechtěného soužití, snižování počtu lidí v jedné domácnosti, trend zvětšování obytné plochy apod.), vytvoření minimální nabídky pro novou obytnou výstavbu a vytvoření podmínek pro stabilizaci počtu obyvatel v sídlech (umožnění výstavby pro další generace a pro potenciální nově příchozí obyvatele). </w:t>
      </w:r>
    </w:p>
    <w:p w14:paraId="180C1DD1" w14:textId="14FAC9B9" w:rsidR="001A3F17" w:rsidRPr="006070EA" w:rsidRDefault="001A3F17" w:rsidP="00417560">
      <w:pPr>
        <w:pStyle w:val="Atext"/>
        <w:rPr>
          <w:rFonts w:asciiTheme="majorHAnsi" w:hAnsiTheme="majorHAnsi" w:cstheme="majorHAnsi"/>
          <w:i/>
          <w:szCs w:val="18"/>
        </w:rPr>
      </w:pPr>
      <w:r w:rsidRPr="006070EA">
        <w:rPr>
          <w:rFonts w:asciiTheme="majorHAnsi" w:hAnsiTheme="majorHAnsi" w:cstheme="majorHAnsi"/>
          <w:szCs w:val="18"/>
        </w:rPr>
        <w:t>Z pohledu urbanistického je pak nezbytné zajistit stabilizaci a kontinuální vývoj sídelní a urbanistické struktury, a to zejména v kontextu dosavadní absence zastavitelných ploch pro rozvoj bydlení jako dominantní funkční složky obce. Kromě toho je zohledněna také rozvojová strategie místní samosprávy a požadavky obce a</w:t>
      </w:r>
      <w:r w:rsidR="00BA5A12" w:rsidRPr="006070EA">
        <w:rPr>
          <w:rFonts w:asciiTheme="majorHAnsi" w:hAnsiTheme="majorHAnsi" w:cstheme="majorHAnsi"/>
          <w:szCs w:val="18"/>
        </w:rPr>
        <w:t> </w:t>
      </w:r>
      <w:r w:rsidRPr="006070EA">
        <w:rPr>
          <w:rFonts w:asciiTheme="majorHAnsi" w:hAnsiTheme="majorHAnsi" w:cstheme="majorHAnsi"/>
          <w:szCs w:val="18"/>
        </w:rPr>
        <w:t>soukromých vlastníků na rozvoj území</w:t>
      </w:r>
      <w:r w:rsidR="00417560" w:rsidRPr="006070EA">
        <w:rPr>
          <w:rFonts w:asciiTheme="majorHAnsi" w:hAnsiTheme="majorHAnsi" w:cstheme="majorHAnsi"/>
          <w:szCs w:val="18"/>
        </w:rPr>
        <w:t xml:space="preserve"> (viz kapitola 10.5)</w:t>
      </w:r>
      <w:r w:rsidRPr="006070EA">
        <w:rPr>
          <w:rFonts w:asciiTheme="majorHAnsi" w:hAnsiTheme="majorHAnsi" w:cstheme="majorHAnsi"/>
          <w:szCs w:val="18"/>
        </w:rPr>
        <w:t>.</w:t>
      </w:r>
    </w:p>
    <w:p w14:paraId="23E09AFE" w14:textId="77777777" w:rsidR="00F855CD" w:rsidRPr="006070EA" w:rsidRDefault="00F855CD" w:rsidP="009E07E1">
      <w:pPr>
        <w:pStyle w:val="Mra2-reakceern"/>
        <w:keepNext/>
        <w:pBdr>
          <w:left w:val="none" w:sz="0" w:space="0" w:color="auto"/>
        </w:pBdr>
        <w:spacing w:after="60"/>
        <w:ind w:left="0"/>
        <w:rPr>
          <w:rFonts w:asciiTheme="majorHAnsi" w:hAnsiTheme="majorHAnsi" w:cstheme="majorHAnsi"/>
          <w:b/>
          <w:color w:val="auto"/>
        </w:rPr>
      </w:pPr>
      <w:r w:rsidRPr="006070EA">
        <w:rPr>
          <w:rFonts w:asciiTheme="majorHAnsi" w:hAnsiTheme="majorHAnsi" w:cstheme="majorHAnsi"/>
          <w:b/>
          <w:color w:val="auto"/>
          <w:u w:val="single"/>
        </w:rPr>
        <w:t>Rozsah vymezených zastavitelných ploch pro bydlení vychází zejména z následujících východisek</w:t>
      </w:r>
      <w:r w:rsidRPr="006070EA">
        <w:rPr>
          <w:rFonts w:asciiTheme="majorHAnsi" w:hAnsiTheme="majorHAnsi" w:cstheme="majorHAnsi"/>
          <w:b/>
          <w:color w:val="auto"/>
        </w:rPr>
        <w:t>:</w:t>
      </w:r>
    </w:p>
    <w:p w14:paraId="7AA6D85D" w14:textId="77777777" w:rsidR="00F855CD" w:rsidRPr="006070EA" w:rsidRDefault="00F855CD" w:rsidP="0036779E">
      <w:pPr>
        <w:pStyle w:val="Mra2-reakceern"/>
        <w:keepNext/>
        <w:numPr>
          <w:ilvl w:val="0"/>
          <w:numId w:val="23"/>
        </w:numPr>
        <w:pBdr>
          <w:left w:val="none" w:sz="0" w:space="0" w:color="auto"/>
        </w:pBdr>
        <w:spacing w:before="120" w:after="60"/>
        <w:ind w:left="1066" w:hanging="357"/>
        <w:rPr>
          <w:rFonts w:asciiTheme="majorHAnsi" w:hAnsiTheme="majorHAnsi" w:cstheme="majorHAnsi"/>
          <w:b/>
          <w:color w:val="auto"/>
        </w:rPr>
      </w:pPr>
      <w:r w:rsidRPr="006070EA">
        <w:rPr>
          <w:rFonts w:asciiTheme="majorHAnsi" w:hAnsiTheme="majorHAnsi" w:cstheme="majorHAnsi"/>
          <w:b/>
          <w:color w:val="auto"/>
        </w:rPr>
        <w:t>odborný odhad budoucího demografického vývoje</w:t>
      </w:r>
    </w:p>
    <w:tbl>
      <w:tblPr>
        <w:tblStyle w:val="Mkatabulky"/>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4535"/>
        <w:gridCol w:w="2268"/>
      </w:tblGrid>
      <w:tr w:rsidR="0028473C" w:rsidRPr="006070EA" w14:paraId="3A65861B" w14:textId="77777777" w:rsidTr="009D4634">
        <w:trPr>
          <w:jc w:val="center"/>
        </w:trPr>
        <w:tc>
          <w:tcPr>
            <w:tcW w:w="4535" w:type="dxa"/>
            <w:vAlign w:val="center"/>
          </w:tcPr>
          <w:p w14:paraId="6DC75CAC" w14:textId="3A13A2BE" w:rsidR="00DF5372" w:rsidRPr="006070EA" w:rsidRDefault="00DF5372" w:rsidP="0045067B">
            <w:pPr>
              <w:pStyle w:val="Mra2-reakceern"/>
              <w:pBdr>
                <w:left w:val="none" w:sz="0" w:space="0" w:color="auto"/>
              </w:pBdr>
              <w:ind w:left="0"/>
              <w:jc w:val="left"/>
              <w:rPr>
                <w:rFonts w:asciiTheme="majorHAnsi" w:hAnsiTheme="majorHAnsi" w:cstheme="majorHAnsi"/>
                <w:color w:val="auto"/>
              </w:rPr>
            </w:pPr>
            <w:r w:rsidRPr="006070EA">
              <w:rPr>
                <w:rFonts w:asciiTheme="majorHAnsi" w:hAnsiTheme="majorHAnsi" w:cstheme="majorHAnsi"/>
                <w:color w:val="auto"/>
              </w:rPr>
              <w:t>počet obyvatel v roce 200</w:t>
            </w:r>
            <w:r w:rsidR="00417560" w:rsidRPr="006070EA">
              <w:rPr>
                <w:rFonts w:asciiTheme="majorHAnsi" w:hAnsiTheme="majorHAnsi" w:cstheme="majorHAnsi"/>
                <w:color w:val="auto"/>
              </w:rPr>
              <w:t>6</w:t>
            </w:r>
            <w:r w:rsidRPr="006070EA">
              <w:rPr>
                <w:rFonts w:asciiTheme="majorHAnsi" w:hAnsiTheme="majorHAnsi" w:cstheme="majorHAnsi"/>
                <w:color w:val="auto"/>
              </w:rPr>
              <w:t xml:space="preserve"> (k </w:t>
            </w:r>
            <w:r w:rsidR="00417560" w:rsidRPr="006070EA">
              <w:rPr>
                <w:rFonts w:asciiTheme="majorHAnsi" w:hAnsiTheme="majorHAnsi" w:cstheme="majorHAnsi"/>
                <w:color w:val="auto"/>
              </w:rPr>
              <w:t>3</w:t>
            </w:r>
            <w:r w:rsidRPr="006070EA">
              <w:rPr>
                <w:rFonts w:asciiTheme="majorHAnsi" w:hAnsiTheme="majorHAnsi" w:cstheme="majorHAnsi"/>
                <w:color w:val="auto"/>
              </w:rPr>
              <w:t>1. 1</w:t>
            </w:r>
            <w:r w:rsidR="00417560" w:rsidRPr="006070EA">
              <w:rPr>
                <w:rFonts w:asciiTheme="majorHAnsi" w:hAnsiTheme="majorHAnsi" w:cstheme="majorHAnsi"/>
                <w:color w:val="auto"/>
              </w:rPr>
              <w:t>2</w:t>
            </w:r>
            <w:r w:rsidRPr="006070EA">
              <w:rPr>
                <w:rFonts w:asciiTheme="majorHAnsi" w:hAnsiTheme="majorHAnsi" w:cstheme="majorHAnsi"/>
                <w:color w:val="auto"/>
              </w:rPr>
              <w:t>. dle ČSÚ)</w:t>
            </w:r>
          </w:p>
        </w:tc>
        <w:tc>
          <w:tcPr>
            <w:tcW w:w="2268" w:type="dxa"/>
            <w:vAlign w:val="center"/>
          </w:tcPr>
          <w:p w14:paraId="143B1A1D" w14:textId="0301AB71" w:rsidR="00DF5372" w:rsidRPr="006070EA" w:rsidRDefault="00417560" w:rsidP="009E07E1">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1 652</w:t>
            </w:r>
          </w:p>
        </w:tc>
      </w:tr>
      <w:tr w:rsidR="0028473C" w:rsidRPr="006070EA" w14:paraId="2945DF8F" w14:textId="77777777" w:rsidTr="009D4634">
        <w:trPr>
          <w:jc w:val="center"/>
        </w:trPr>
        <w:tc>
          <w:tcPr>
            <w:tcW w:w="4535" w:type="dxa"/>
            <w:vAlign w:val="center"/>
          </w:tcPr>
          <w:p w14:paraId="63D67CCB" w14:textId="0EF407E5" w:rsidR="0045067B" w:rsidRPr="006070EA" w:rsidRDefault="0045067B" w:rsidP="0045067B">
            <w:pPr>
              <w:pStyle w:val="Mra2-reakceern"/>
              <w:pBdr>
                <w:left w:val="none" w:sz="0" w:space="0" w:color="auto"/>
              </w:pBdr>
              <w:ind w:left="0"/>
              <w:jc w:val="left"/>
              <w:rPr>
                <w:rFonts w:asciiTheme="majorHAnsi" w:hAnsiTheme="majorHAnsi" w:cstheme="majorHAnsi"/>
                <w:color w:val="auto"/>
              </w:rPr>
            </w:pPr>
            <w:r w:rsidRPr="006070EA">
              <w:rPr>
                <w:rFonts w:asciiTheme="majorHAnsi" w:hAnsiTheme="majorHAnsi" w:cstheme="majorHAnsi"/>
                <w:color w:val="auto"/>
              </w:rPr>
              <w:t>počet obyvatel v roce 201</w:t>
            </w:r>
            <w:r w:rsidR="00417560" w:rsidRPr="006070EA">
              <w:rPr>
                <w:rFonts w:asciiTheme="majorHAnsi" w:hAnsiTheme="majorHAnsi" w:cstheme="majorHAnsi"/>
                <w:color w:val="auto"/>
              </w:rPr>
              <w:t>1</w:t>
            </w:r>
            <w:r w:rsidRPr="006070EA">
              <w:rPr>
                <w:rFonts w:asciiTheme="majorHAnsi" w:hAnsiTheme="majorHAnsi" w:cstheme="majorHAnsi"/>
                <w:color w:val="auto"/>
              </w:rPr>
              <w:t xml:space="preserve"> (k </w:t>
            </w:r>
            <w:r w:rsidR="00417560" w:rsidRPr="006070EA">
              <w:rPr>
                <w:rFonts w:asciiTheme="majorHAnsi" w:hAnsiTheme="majorHAnsi" w:cstheme="majorHAnsi"/>
                <w:color w:val="auto"/>
              </w:rPr>
              <w:t>3</w:t>
            </w:r>
            <w:r w:rsidRPr="006070EA">
              <w:rPr>
                <w:rFonts w:asciiTheme="majorHAnsi" w:hAnsiTheme="majorHAnsi" w:cstheme="majorHAnsi"/>
                <w:color w:val="auto"/>
              </w:rPr>
              <w:t>1. 1</w:t>
            </w:r>
            <w:r w:rsidR="00417560" w:rsidRPr="006070EA">
              <w:rPr>
                <w:rFonts w:asciiTheme="majorHAnsi" w:hAnsiTheme="majorHAnsi" w:cstheme="majorHAnsi"/>
                <w:color w:val="auto"/>
              </w:rPr>
              <w:t>2</w:t>
            </w:r>
            <w:r w:rsidRPr="006070EA">
              <w:rPr>
                <w:rFonts w:asciiTheme="majorHAnsi" w:hAnsiTheme="majorHAnsi" w:cstheme="majorHAnsi"/>
                <w:color w:val="auto"/>
              </w:rPr>
              <w:t>. dle ČSÚ)</w:t>
            </w:r>
          </w:p>
        </w:tc>
        <w:tc>
          <w:tcPr>
            <w:tcW w:w="2268" w:type="dxa"/>
            <w:vAlign w:val="center"/>
          </w:tcPr>
          <w:p w14:paraId="367E606C" w14:textId="3C352738" w:rsidR="0045067B" w:rsidRPr="006070EA" w:rsidRDefault="00417560" w:rsidP="0045067B">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1 777</w:t>
            </w:r>
          </w:p>
        </w:tc>
      </w:tr>
      <w:tr w:rsidR="0028473C" w:rsidRPr="006070EA" w14:paraId="1E6ED75F" w14:textId="77777777" w:rsidTr="009D4634">
        <w:trPr>
          <w:jc w:val="center"/>
        </w:trPr>
        <w:tc>
          <w:tcPr>
            <w:tcW w:w="4535" w:type="dxa"/>
            <w:vAlign w:val="center"/>
          </w:tcPr>
          <w:p w14:paraId="789E3FFF" w14:textId="52F32121" w:rsidR="0045067B" w:rsidRPr="006070EA" w:rsidRDefault="0045067B" w:rsidP="0045067B">
            <w:pPr>
              <w:pStyle w:val="Mra2-reakceern"/>
              <w:pBdr>
                <w:left w:val="none" w:sz="0" w:space="0" w:color="auto"/>
              </w:pBdr>
              <w:ind w:left="0"/>
              <w:jc w:val="left"/>
              <w:rPr>
                <w:rFonts w:asciiTheme="majorHAnsi" w:hAnsiTheme="majorHAnsi" w:cstheme="majorHAnsi"/>
                <w:color w:val="auto"/>
              </w:rPr>
            </w:pPr>
            <w:r w:rsidRPr="006070EA">
              <w:rPr>
                <w:rFonts w:asciiTheme="majorHAnsi" w:hAnsiTheme="majorHAnsi" w:cstheme="majorHAnsi"/>
                <w:color w:val="auto"/>
              </w:rPr>
              <w:t>počet obyvatel v roce 201</w:t>
            </w:r>
            <w:r w:rsidR="00417560" w:rsidRPr="006070EA">
              <w:rPr>
                <w:rFonts w:asciiTheme="majorHAnsi" w:hAnsiTheme="majorHAnsi" w:cstheme="majorHAnsi"/>
                <w:color w:val="auto"/>
              </w:rPr>
              <w:t>6</w:t>
            </w:r>
            <w:r w:rsidRPr="006070EA">
              <w:rPr>
                <w:rFonts w:asciiTheme="majorHAnsi" w:hAnsiTheme="majorHAnsi" w:cstheme="majorHAnsi"/>
                <w:color w:val="auto"/>
              </w:rPr>
              <w:t xml:space="preserve"> (k </w:t>
            </w:r>
            <w:r w:rsidR="00417560" w:rsidRPr="006070EA">
              <w:rPr>
                <w:rFonts w:asciiTheme="majorHAnsi" w:hAnsiTheme="majorHAnsi" w:cstheme="majorHAnsi"/>
                <w:color w:val="auto"/>
              </w:rPr>
              <w:t>3</w:t>
            </w:r>
            <w:r w:rsidRPr="006070EA">
              <w:rPr>
                <w:rFonts w:asciiTheme="majorHAnsi" w:hAnsiTheme="majorHAnsi" w:cstheme="majorHAnsi"/>
                <w:color w:val="auto"/>
              </w:rPr>
              <w:t>1. 1</w:t>
            </w:r>
            <w:r w:rsidR="00417560" w:rsidRPr="006070EA">
              <w:rPr>
                <w:rFonts w:asciiTheme="majorHAnsi" w:hAnsiTheme="majorHAnsi" w:cstheme="majorHAnsi"/>
                <w:color w:val="auto"/>
              </w:rPr>
              <w:t>2</w:t>
            </w:r>
            <w:r w:rsidRPr="006070EA">
              <w:rPr>
                <w:rFonts w:asciiTheme="majorHAnsi" w:hAnsiTheme="majorHAnsi" w:cstheme="majorHAnsi"/>
                <w:color w:val="auto"/>
              </w:rPr>
              <w:t>. dle ČSÚ)</w:t>
            </w:r>
          </w:p>
        </w:tc>
        <w:tc>
          <w:tcPr>
            <w:tcW w:w="2268" w:type="dxa"/>
            <w:vAlign w:val="center"/>
          </w:tcPr>
          <w:p w14:paraId="6A0A0BAD" w14:textId="619D193B" w:rsidR="0045067B" w:rsidRPr="006070EA" w:rsidRDefault="00417560" w:rsidP="0045067B">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1 838</w:t>
            </w:r>
          </w:p>
        </w:tc>
      </w:tr>
      <w:tr w:rsidR="00417560" w:rsidRPr="006070EA" w14:paraId="76C86090" w14:textId="77777777" w:rsidTr="009D4634">
        <w:trPr>
          <w:jc w:val="center"/>
        </w:trPr>
        <w:tc>
          <w:tcPr>
            <w:tcW w:w="4535" w:type="dxa"/>
            <w:vAlign w:val="center"/>
          </w:tcPr>
          <w:p w14:paraId="09195D54" w14:textId="66E8B754" w:rsidR="00417560" w:rsidRPr="006070EA" w:rsidRDefault="00417560" w:rsidP="0045067B">
            <w:pPr>
              <w:pStyle w:val="Mra2-reakceern"/>
              <w:pBdr>
                <w:left w:val="none" w:sz="0" w:space="0" w:color="auto"/>
              </w:pBdr>
              <w:ind w:left="0"/>
              <w:jc w:val="left"/>
              <w:rPr>
                <w:rFonts w:asciiTheme="majorHAnsi" w:hAnsiTheme="majorHAnsi" w:cstheme="majorHAnsi"/>
                <w:color w:val="auto"/>
              </w:rPr>
            </w:pPr>
            <w:r w:rsidRPr="006070EA">
              <w:rPr>
                <w:rFonts w:asciiTheme="majorHAnsi" w:hAnsiTheme="majorHAnsi" w:cstheme="majorHAnsi"/>
                <w:color w:val="auto"/>
              </w:rPr>
              <w:t>počet obyvatel v roce 2021 (k 31. 12. dle ČSÚ)</w:t>
            </w:r>
          </w:p>
        </w:tc>
        <w:tc>
          <w:tcPr>
            <w:tcW w:w="2268" w:type="dxa"/>
            <w:vAlign w:val="center"/>
          </w:tcPr>
          <w:p w14:paraId="2D1E1996" w14:textId="2C83A08F" w:rsidR="00417560" w:rsidRPr="006070EA" w:rsidRDefault="00417560" w:rsidP="0045067B">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1 885</w:t>
            </w:r>
          </w:p>
        </w:tc>
      </w:tr>
      <w:tr w:rsidR="0028473C" w:rsidRPr="006070EA" w14:paraId="333287E4" w14:textId="77777777" w:rsidTr="009D4634">
        <w:trPr>
          <w:jc w:val="center"/>
        </w:trPr>
        <w:tc>
          <w:tcPr>
            <w:tcW w:w="4535" w:type="dxa"/>
            <w:vAlign w:val="center"/>
          </w:tcPr>
          <w:p w14:paraId="1D492417" w14:textId="323B7550" w:rsidR="0045067B" w:rsidRPr="006070EA" w:rsidRDefault="0045067B" w:rsidP="0045067B">
            <w:pPr>
              <w:pStyle w:val="Mra2-reakceern"/>
              <w:pBdr>
                <w:left w:val="none" w:sz="0" w:space="0" w:color="auto"/>
              </w:pBdr>
              <w:ind w:left="0"/>
              <w:jc w:val="left"/>
              <w:rPr>
                <w:rFonts w:asciiTheme="majorHAnsi" w:hAnsiTheme="majorHAnsi" w:cstheme="majorHAnsi"/>
                <w:b/>
                <w:color w:val="auto"/>
              </w:rPr>
            </w:pPr>
            <w:r w:rsidRPr="006070EA">
              <w:rPr>
                <w:rFonts w:asciiTheme="majorHAnsi" w:hAnsiTheme="majorHAnsi" w:cstheme="majorHAnsi"/>
                <w:b/>
                <w:color w:val="auto"/>
              </w:rPr>
              <w:t>průměrný roční přírůstek mezi lety 200</w:t>
            </w:r>
            <w:r w:rsidR="00417560" w:rsidRPr="006070EA">
              <w:rPr>
                <w:rFonts w:asciiTheme="majorHAnsi" w:hAnsiTheme="majorHAnsi" w:cstheme="majorHAnsi"/>
                <w:b/>
                <w:color w:val="auto"/>
              </w:rPr>
              <w:t>6</w:t>
            </w:r>
            <w:r w:rsidRPr="006070EA">
              <w:rPr>
                <w:rFonts w:asciiTheme="majorHAnsi" w:hAnsiTheme="majorHAnsi" w:cstheme="majorHAnsi"/>
                <w:b/>
                <w:color w:val="auto"/>
              </w:rPr>
              <w:t>–201</w:t>
            </w:r>
            <w:r w:rsidR="00417560" w:rsidRPr="006070EA">
              <w:rPr>
                <w:rFonts w:asciiTheme="majorHAnsi" w:hAnsiTheme="majorHAnsi" w:cstheme="majorHAnsi"/>
                <w:b/>
                <w:color w:val="auto"/>
              </w:rPr>
              <w:t>1</w:t>
            </w:r>
          </w:p>
        </w:tc>
        <w:tc>
          <w:tcPr>
            <w:tcW w:w="2268" w:type="dxa"/>
            <w:vAlign w:val="center"/>
          </w:tcPr>
          <w:p w14:paraId="19FA5243" w14:textId="5FB0701B" w:rsidR="0045067B" w:rsidRPr="006070EA" w:rsidRDefault="00417560" w:rsidP="0045067B">
            <w:pPr>
              <w:pStyle w:val="Mra2-reakceern"/>
              <w:pBdr>
                <w:left w:val="none" w:sz="0" w:space="0" w:color="auto"/>
              </w:pBdr>
              <w:ind w:left="0"/>
              <w:jc w:val="center"/>
              <w:rPr>
                <w:rFonts w:asciiTheme="majorHAnsi" w:hAnsiTheme="majorHAnsi" w:cstheme="majorHAnsi"/>
                <w:b/>
                <w:color w:val="auto"/>
              </w:rPr>
            </w:pPr>
            <w:r w:rsidRPr="006070EA">
              <w:rPr>
                <w:rFonts w:asciiTheme="majorHAnsi" w:hAnsiTheme="majorHAnsi" w:cstheme="majorHAnsi"/>
                <w:b/>
                <w:color w:val="auto"/>
              </w:rPr>
              <w:t>25</w:t>
            </w:r>
          </w:p>
        </w:tc>
      </w:tr>
      <w:tr w:rsidR="00417560" w:rsidRPr="006070EA" w14:paraId="72D21D93" w14:textId="77777777" w:rsidTr="009D4634">
        <w:trPr>
          <w:jc w:val="center"/>
        </w:trPr>
        <w:tc>
          <w:tcPr>
            <w:tcW w:w="4535" w:type="dxa"/>
            <w:vAlign w:val="center"/>
          </w:tcPr>
          <w:p w14:paraId="2607408D" w14:textId="4441D9F6" w:rsidR="00417560" w:rsidRPr="006070EA" w:rsidRDefault="00417560" w:rsidP="0045067B">
            <w:pPr>
              <w:pStyle w:val="Mra2-reakceern"/>
              <w:pBdr>
                <w:left w:val="none" w:sz="0" w:space="0" w:color="auto"/>
              </w:pBdr>
              <w:ind w:left="0"/>
              <w:jc w:val="left"/>
              <w:rPr>
                <w:rFonts w:asciiTheme="majorHAnsi" w:hAnsiTheme="majorHAnsi" w:cstheme="majorHAnsi"/>
                <w:b/>
                <w:color w:val="auto"/>
              </w:rPr>
            </w:pPr>
            <w:r w:rsidRPr="006070EA">
              <w:rPr>
                <w:rFonts w:asciiTheme="majorHAnsi" w:hAnsiTheme="majorHAnsi" w:cstheme="majorHAnsi"/>
                <w:b/>
                <w:color w:val="auto"/>
              </w:rPr>
              <w:t>průměrný roční přírůstek mezi lety 2011–2016</w:t>
            </w:r>
          </w:p>
        </w:tc>
        <w:tc>
          <w:tcPr>
            <w:tcW w:w="2268" w:type="dxa"/>
            <w:vAlign w:val="center"/>
          </w:tcPr>
          <w:p w14:paraId="7F441B24" w14:textId="735CB31C" w:rsidR="00417560" w:rsidRPr="006070EA" w:rsidRDefault="00417560" w:rsidP="0045067B">
            <w:pPr>
              <w:pStyle w:val="Mra2-reakceern"/>
              <w:pBdr>
                <w:left w:val="none" w:sz="0" w:space="0" w:color="auto"/>
              </w:pBdr>
              <w:ind w:left="0"/>
              <w:jc w:val="center"/>
              <w:rPr>
                <w:rFonts w:asciiTheme="majorHAnsi" w:hAnsiTheme="majorHAnsi" w:cstheme="majorHAnsi"/>
                <w:b/>
                <w:color w:val="auto"/>
              </w:rPr>
            </w:pPr>
            <w:r w:rsidRPr="006070EA">
              <w:rPr>
                <w:rFonts w:asciiTheme="majorHAnsi" w:hAnsiTheme="majorHAnsi" w:cstheme="majorHAnsi"/>
                <w:b/>
                <w:color w:val="auto"/>
              </w:rPr>
              <w:t>13</w:t>
            </w:r>
          </w:p>
        </w:tc>
      </w:tr>
      <w:tr w:rsidR="0028473C" w:rsidRPr="006070EA" w14:paraId="10D47AE3" w14:textId="77777777" w:rsidTr="009D4634">
        <w:trPr>
          <w:jc w:val="center"/>
        </w:trPr>
        <w:tc>
          <w:tcPr>
            <w:tcW w:w="4535" w:type="dxa"/>
            <w:vAlign w:val="center"/>
          </w:tcPr>
          <w:p w14:paraId="34940E78" w14:textId="37653EC7" w:rsidR="0045067B" w:rsidRPr="006070EA" w:rsidRDefault="0045067B" w:rsidP="0045067B">
            <w:pPr>
              <w:pStyle w:val="Mra2-reakceern"/>
              <w:pBdr>
                <w:left w:val="none" w:sz="0" w:space="0" w:color="auto"/>
              </w:pBdr>
              <w:ind w:left="0"/>
              <w:jc w:val="left"/>
              <w:rPr>
                <w:rFonts w:asciiTheme="majorHAnsi" w:hAnsiTheme="majorHAnsi" w:cstheme="majorHAnsi"/>
                <w:b/>
                <w:color w:val="auto"/>
              </w:rPr>
            </w:pPr>
            <w:r w:rsidRPr="006070EA">
              <w:rPr>
                <w:rFonts w:asciiTheme="majorHAnsi" w:hAnsiTheme="majorHAnsi" w:cstheme="majorHAnsi"/>
                <w:b/>
                <w:color w:val="auto"/>
              </w:rPr>
              <w:t>průměrný roční přírůstek mezi lety 201</w:t>
            </w:r>
            <w:r w:rsidR="00417560" w:rsidRPr="006070EA">
              <w:rPr>
                <w:rFonts w:asciiTheme="majorHAnsi" w:hAnsiTheme="majorHAnsi" w:cstheme="majorHAnsi"/>
                <w:b/>
                <w:color w:val="auto"/>
              </w:rPr>
              <w:t>6</w:t>
            </w:r>
            <w:r w:rsidRPr="006070EA">
              <w:rPr>
                <w:rFonts w:asciiTheme="majorHAnsi" w:hAnsiTheme="majorHAnsi" w:cstheme="majorHAnsi"/>
                <w:b/>
                <w:color w:val="auto"/>
              </w:rPr>
              <w:t>–20</w:t>
            </w:r>
            <w:r w:rsidR="00417560" w:rsidRPr="006070EA">
              <w:rPr>
                <w:rFonts w:asciiTheme="majorHAnsi" w:hAnsiTheme="majorHAnsi" w:cstheme="majorHAnsi"/>
                <w:b/>
                <w:color w:val="auto"/>
              </w:rPr>
              <w:t>21</w:t>
            </w:r>
          </w:p>
        </w:tc>
        <w:tc>
          <w:tcPr>
            <w:tcW w:w="2268" w:type="dxa"/>
            <w:vAlign w:val="center"/>
          </w:tcPr>
          <w:p w14:paraId="2EFBE6DD" w14:textId="4CEF9BF7" w:rsidR="0045067B" w:rsidRPr="006070EA" w:rsidRDefault="00417560" w:rsidP="0045067B">
            <w:pPr>
              <w:pStyle w:val="Mra2-reakceern"/>
              <w:pBdr>
                <w:left w:val="none" w:sz="0" w:space="0" w:color="auto"/>
              </w:pBdr>
              <w:ind w:left="0"/>
              <w:jc w:val="center"/>
              <w:rPr>
                <w:rFonts w:asciiTheme="majorHAnsi" w:hAnsiTheme="majorHAnsi" w:cstheme="majorHAnsi"/>
                <w:b/>
                <w:color w:val="auto"/>
              </w:rPr>
            </w:pPr>
            <w:r w:rsidRPr="006070EA">
              <w:rPr>
                <w:rFonts w:asciiTheme="majorHAnsi" w:hAnsiTheme="majorHAnsi" w:cstheme="majorHAnsi"/>
                <w:b/>
                <w:color w:val="auto"/>
              </w:rPr>
              <w:t>10</w:t>
            </w:r>
          </w:p>
        </w:tc>
      </w:tr>
    </w:tbl>
    <w:p w14:paraId="427B1EB2" w14:textId="5B0A6660" w:rsidR="00DF5372" w:rsidRPr="006070EA" w:rsidRDefault="00DF5372" w:rsidP="009E07E1">
      <w:pPr>
        <w:pStyle w:val="Mra2-reakceern"/>
        <w:pBdr>
          <w:left w:val="none" w:sz="0" w:space="0" w:color="auto"/>
        </w:pBdr>
        <w:spacing w:before="60" w:after="60"/>
        <w:rPr>
          <w:rFonts w:asciiTheme="majorHAnsi" w:hAnsiTheme="majorHAnsi" w:cstheme="majorHAnsi"/>
          <w:i/>
          <w:color w:val="auto"/>
        </w:rPr>
      </w:pPr>
      <w:r w:rsidRPr="006070EA">
        <w:rPr>
          <w:rFonts w:asciiTheme="majorHAnsi" w:hAnsiTheme="majorHAnsi" w:cstheme="majorHAnsi"/>
          <w:i/>
          <w:color w:val="auto"/>
        </w:rPr>
        <w:t>Za předpokladu setrvání pozitivního demografického vývoje a s ohledem na současný trend návratu obyvatel do menších nestřediskových obcí se základní občanskou vybaveností, dobrou dopravní dostupností, umístěných v dojezdové vzdálenosti spádových center, územní plán očekává do roku 203</w:t>
      </w:r>
      <w:r w:rsidR="0045067B" w:rsidRPr="006070EA">
        <w:rPr>
          <w:rFonts w:asciiTheme="majorHAnsi" w:hAnsiTheme="majorHAnsi" w:cstheme="majorHAnsi"/>
          <w:i/>
          <w:color w:val="auto"/>
        </w:rPr>
        <w:t>5</w:t>
      </w:r>
      <w:r w:rsidRPr="006070EA">
        <w:rPr>
          <w:rFonts w:asciiTheme="majorHAnsi" w:hAnsiTheme="majorHAnsi" w:cstheme="majorHAnsi"/>
          <w:i/>
          <w:color w:val="auto"/>
        </w:rPr>
        <w:t xml:space="preserve"> demografický nárůst o cca </w:t>
      </w:r>
      <w:r w:rsidR="0045067B" w:rsidRPr="006070EA">
        <w:rPr>
          <w:rFonts w:asciiTheme="majorHAnsi" w:hAnsiTheme="majorHAnsi" w:cstheme="majorHAnsi"/>
          <w:i/>
          <w:color w:val="auto"/>
        </w:rPr>
        <w:t>1</w:t>
      </w:r>
      <w:r w:rsidR="0028473C" w:rsidRPr="006070EA">
        <w:rPr>
          <w:rFonts w:asciiTheme="majorHAnsi" w:hAnsiTheme="majorHAnsi" w:cstheme="majorHAnsi"/>
          <w:i/>
          <w:color w:val="auto"/>
        </w:rPr>
        <w:t>50</w:t>
      </w:r>
      <w:r w:rsidRPr="006070EA">
        <w:rPr>
          <w:rFonts w:asciiTheme="majorHAnsi" w:hAnsiTheme="majorHAnsi" w:cstheme="majorHAnsi"/>
          <w:i/>
          <w:color w:val="auto"/>
        </w:rPr>
        <w:t xml:space="preserve"> obyvatel.</w:t>
      </w:r>
    </w:p>
    <w:tbl>
      <w:tblPr>
        <w:tblStyle w:val="Mkatabulky"/>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701"/>
        <w:gridCol w:w="3402"/>
        <w:gridCol w:w="1134"/>
      </w:tblGrid>
      <w:tr w:rsidR="0028473C" w:rsidRPr="006070EA" w14:paraId="62706CA9" w14:textId="77777777" w:rsidTr="00DF5372">
        <w:trPr>
          <w:jc w:val="center"/>
        </w:trPr>
        <w:tc>
          <w:tcPr>
            <w:tcW w:w="1701" w:type="dxa"/>
            <w:vMerge w:val="restart"/>
            <w:vAlign w:val="center"/>
          </w:tcPr>
          <w:p w14:paraId="08557067" w14:textId="77777777" w:rsidR="00DF5372" w:rsidRPr="006070EA" w:rsidRDefault="00DF5372" w:rsidP="0045067B">
            <w:pPr>
              <w:pStyle w:val="Mra2-reakceern"/>
              <w:pBdr>
                <w:left w:val="none" w:sz="0" w:space="0" w:color="auto"/>
              </w:pBdr>
              <w:ind w:left="0"/>
              <w:jc w:val="left"/>
              <w:rPr>
                <w:rFonts w:asciiTheme="majorHAnsi" w:hAnsiTheme="majorHAnsi" w:cstheme="majorHAnsi"/>
                <w:b/>
                <w:color w:val="auto"/>
              </w:rPr>
            </w:pPr>
            <w:r w:rsidRPr="006070EA">
              <w:rPr>
                <w:rFonts w:asciiTheme="majorHAnsi" w:hAnsiTheme="majorHAnsi" w:cstheme="majorHAnsi"/>
                <w:b/>
                <w:color w:val="auto"/>
              </w:rPr>
              <w:t>k roku 203</w:t>
            </w:r>
            <w:r w:rsidR="0045067B" w:rsidRPr="006070EA">
              <w:rPr>
                <w:rFonts w:asciiTheme="majorHAnsi" w:hAnsiTheme="majorHAnsi" w:cstheme="majorHAnsi"/>
                <w:b/>
                <w:color w:val="auto"/>
              </w:rPr>
              <w:t>5</w:t>
            </w:r>
          </w:p>
        </w:tc>
        <w:tc>
          <w:tcPr>
            <w:tcW w:w="3402" w:type="dxa"/>
            <w:vAlign w:val="center"/>
          </w:tcPr>
          <w:p w14:paraId="50C5DBCF" w14:textId="77777777" w:rsidR="00DF5372" w:rsidRPr="006070EA" w:rsidRDefault="00DF5372" w:rsidP="009E07E1">
            <w:pPr>
              <w:pStyle w:val="Mra2-reakceern"/>
              <w:pBdr>
                <w:left w:val="none" w:sz="0" w:space="0" w:color="auto"/>
              </w:pBdr>
              <w:ind w:left="0"/>
              <w:jc w:val="left"/>
              <w:rPr>
                <w:rFonts w:asciiTheme="majorHAnsi" w:hAnsiTheme="majorHAnsi" w:cstheme="majorHAnsi"/>
                <w:color w:val="auto"/>
              </w:rPr>
            </w:pPr>
            <w:r w:rsidRPr="006070EA">
              <w:rPr>
                <w:rFonts w:asciiTheme="majorHAnsi" w:hAnsiTheme="majorHAnsi" w:cstheme="majorHAnsi"/>
                <w:color w:val="auto"/>
              </w:rPr>
              <w:t>Celkový přírůstek obyvatel</w:t>
            </w:r>
          </w:p>
        </w:tc>
        <w:tc>
          <w:tcPr>
            <w:tcW w:w="1134" w:type="dxa"/>
            <w:vAlign w:val="center"/>
          </w:tcPr>
          <w:p w14:paraId="518E7D79" w14:textId="5940FE82" w:rsidR="00DF5372" w:rsidRPr="006070EA" w:rsidRDefault="0028473C" w:rsidP="009E07E1">
            <w:pPr>
              <w:pStyle w:val="Mra2-reakceern"/>
              <w:pBdr>
                <w:left w:val="none" w:sz="0" w:space="0" w:color="auto"/>
              </w:pBdr>
              <w:ind w:left="0"/>
              <w:jc w:val="center"/>
              <w:rPr>
                <w:rFonts w:asciiTheme="majorHAnsi" w:hAnsiTheme="majorHAnsi" w:cstheme="majorHAnsi"/>
                <w:color w:val="auto"/>
              </w:rPr>
            </w:pPr>
            <w:r w:rsidRPr="006070EA">
              <w:rPr>
                <w:rFonts w:asciiTheme="majorHAnsi" w:hAnsiTheme="majorHAnsi" w:cstheme="majorHAnsi"/>
                <w:color w:val="auto"/>
              </w:rPr>
              <w:t>154</w:t>
            </w:r>
          </w:p>
        </w:tc>
      </w:tr>
      <w:tr w:rsidR="0028473C" w:rsidRPr="006070EA" w14:paraId="0E1D02FE" w14:textId="77777777" w:rsidTr="00DF5372">
        <w:trPr>
          <w:jc w:val="center"/>
        </w:trPr>
        <w:tc>
          <w:tcPr>
            <w:tcW w:w="1701" w:type="dxa"/>
            <w:vMerge/>
            <w:vAlign w:val="center"/>
          </w:tcPr>
          <w:p w14:paraId="0E058A35" w14:textId="77777777" w:rsidR="00DF5372" w:rsidRPr="006070EA" w:rsidRDefault="00DF5372" w:rsidP="009E07E1">
            <w:pPr>
              <w:pStyle w:val="Mra2-reakceern"/>
              <w:pBdr>
                <w:left w:val="none" w:sz="0" w:space="0" w:color="auto"/>
              </w:pBdr>
              <w:ind w:left="0"/>
              <w:jc w:val="left"/>
              <w:rPr>
                <w:rFonts w:asciiTheme="majorHAnsi" w:hAnsiTheme="majorHAnsi" w:cstheme="majorHAnsi"/>
                <w:color w:val="auto"/>
              </w:rPr>
            </w:pPr>
          </w:p>
        </w:tc>
        <w:tc>
          <w:tcPr>
            <w:tcW w:w="3402" w:type="dxa"/>
            <w:vAlign w:val="center"/>
          </w:tcPr>
          <w:p w14:paraId="0593BB92" w14:textId="77777777" w:rsidR="00DF5372" w:rsidRPr="006070EA" w:rsidRDefault="00DF5372" w:rsidP="009E07E1">
            <w:pPr>
              <w:pStyle w:val="Mra2-reakceern"/>
              <w:pBdr>
                <w:left w:val="none" w:sz="0" w:space="0" w:color="auto"/>
              </w:pBdr>
              <w:ind w:left="0"/>
              <w:jc w:val="left"/>
              <w:rPr>
                <w:rFonts w:asciiTheme="majorHAnsi" w:hAnsiTheme="majorHAnsi" w:cstheme="majorHAnsi"/>
                <w:b/>
                <w:color w:val="auto"/>
              </w:rPr>
            </w:pPr>
            <w:r w:rsidRPr="006070EA">
              <w:rPr>
                <w:rFonts w:asciiTheme="majorHAnsi" w:hAnsiTheme="majorHAnsi" w:cstheme="majorHAnsi"/>
                <w:b/>
                <w:color w:val="auto"/>
              </w:rPr>
              <w:t>Odhadovaný počet obyvatel celkem</w:t>
            </w:r>
          </w:p>
        </w:tc>
        <w:tc>
          <w:tcPr>
            <w:tcW w:w="1134" w:type="dxa"/>
            <w:vAlign w:val="center"/>
          </w:tcPr>
          <w:p w14:paraId="0F8F78E1" w14:textId="53E95352" w:rsidR="00DF5372" w:rsidRPr="006070EA" w:rsidRDefault="0028473C" w:rsidP="009E07E1">
            <w:pPr>
              <w:pStyle w:val="Mra2-reakceern"/>
              <w:pBdr>
                <w:left w:val="none" w:sz="0" w:space="0" w:color="auto"/>
              </w:pBdr>
              <w:ind w:left="0"/>
              <w:jc w:val="center"/>
              <w:rPr>
                <w:rFonts w:asciiTheme="majorHAnsi" w:hAnsiTheme="majorHAnsi" w:cstheme="majorHAnsi"/>
                <w:b/>
                <w:color w:val="auto"/>
              </w:rPr>
            </w:pPr>
            <w:r w:rsidRPr="006070EA">
              <w:rPr>
                <w:rFonts w:asciiTheme="majorHAnsi" w:hAnsiTheme="majorHAnsi" w:cstheme="majorHAnsi"/>
                <w:b/>
                <w:color w:val="auto"/>
              </w:rPr>
              <w:t>2 039</w:t>
            </w:r>
          </w:p>
        </w:tc>
      </w:tr>
    </w:tbl>
    <w:p w14:paraId="0A08870B" w14:textId="77777777" w:rsidR="00ED3617" w:rsidRPr="006070EA" w:rsidRDefault="00F11053" w:rsidP="0036779E">
      <w:pPr>
        <w:pStyle w:val="Mra2-reakceern"/>
        <w:keepNext/>
        <w:numPr>
          <w:ilvl w:val="0"/>
          <w:numId w:val="23"/>
        </w:numPr>
        <w:pBdr>
          <w:left w:val="none" w:sz="0" w:space="0" w:color="auto"/>
        </w:pBdr>
        <w:spacing w:before="120" w:after="60"/>
        <w:ind w:left="1066" w:hanging="357"/>
        <w:rPr>
          <w:rFonts w:asciiTheme="majorHAnsi" w:hAnsiTheme="majorHAnsi" w:cstheme="majorHAnsi"/>
          <w:b/>
          <w:color w:val="auto"/>
        </w:rPr>
      </w:pPr>
      <w:r w:rsidRPr="006070EA">
        <w:rPr>
          <w:rFonts w:asciiTheme="majorHAnsi" w:hAnsiTheme="majorHAnsi" w:cstheme="majorHAnsi"/>
          <w:b/>
          <w:color w:val="auto"/>
        </w:rPr>
        <w:t>pol</w:t>
      </w:r>
      <w:r w:rsidR="00891241" w:rsidRPr="006070EA">
        <w:rPr>
          <w:rFonts w:asciiTheme="majorHAnsi" w:hAnsiTheme="majorHAnsi" w:cstheme="majorHAnsi"/>
          <w:b/>
          <w:color w:val="auto"/>
        </w:rPr>
        <w:t>oha a pozice v systému osídlení</w:t>
      </w:r>
    </w:p>
    <w:p w14:paraId="04317064" w14:textId="77777777" w:rsidR="00AE01CB" w:rsidRPr="006070EA" w:rsidRDefault="00994060" w:rsidP="0036779E">
      <w:pPr>
        <w:pStyle w:val="Mra2-reakceern"/>
        <w:keepNext/>
        <w:numPr>
          <w:ilvl w:val="1"/>
          <w:numId w:val="4"/>
        </w:numPr>
        <w:pBdr>
          <w:left w:val="none" w:sz="0" w:space="0" w:color="auto"/>
        </w:pBdr>
        <w:rPr>
          <w:rFonts w:asciiTheme="majorHAnsi" w:hAnsiTheme="majorHAnsi" w:cstheme="majorHAnsi"/>
          <w:color w:val="auto"/>
        </w:rPr>
      </w:pPr>
      <w:r w:rsidRPr="006070EA">
        <w:rPr>
          <w:rFonts w:asciiTheme="majorHAnsi" w:hAnsiTheme="majorHAnsi" w:cstheme="majorHAnsi"/>
          <w:color w:val="auto"/>
        </w:rPr>
        <w:t>poloha v</w:t>
      </w:r>
      <w:r w:rsidR="00891241" w:rsidRPr="006070EA">
        <w:rPr>
          <w:rFonts w:asciiTheme="majorHAnsi" w:hAnsiTheme="majorHAnsi" w:cstheme="majorHAnsi"/>
          <w:color w:val="auto"/>
        </w:rPr>
        <w:t> dostupnosti vyšších spádových center</w:t>
      </w:r>
    </w:p>
    <w:p w14:paraId="77B15310" w14:textId="3225D97F" w:rsidR="00994060" w:rsidRPr="006070EA" w:rsidRDefault="0028473C" w:rsidP="0036779E">
      <w:pPr>
        <w:pStyle w:val="Mra2-reakceern"/>
        <w:keepNext/>
        <w:numPr>
          <w:ilvl w:val="1"/>
          <w:numId w:val="4"/>
        </w:numPr>
        <w:pBdr>
          <w:left w:val="none" w:sz="0" w:space="0" w:color="auto"/>
        </w:pBdr>
        <w:rPr>
          <w:rFonts w:asciiTheme="majorHAnsi" w:hAnsiTheme="majorHAnsi" w:cstheme="majorHAnsi"/>
          <w:color w:val="auto"/>
        </w:rPr>
      </w:pPr>
      <w:r w:rsidRPr="006070EA">
        <w:rPr>
          <w:rFonts w:asciiTheme="majorHAnsi" w:hAnsiTheme="majorHAnsi" w:cstheme="majorHAnsi"/>
          <w:color w:val="auto"/>
        </w:rPr>
        <w:t>blízkost metropolitní oblasti Praha a dostupnost hlavního města</w:t>
      </w:r>
    </w:p>
    <w:p w14:paraId="68CC897E" w14:textId="5078FE02" w:rsidR="00EB7975" w:rsidRPr="006070EA" w:rsidRDefault="00EB7975" w:rsidP="0036779E">
      <w:pPr>
        <w:pStyle w:val="Mra2-reakceern"/>
        <w:keepNext/>
        <w:numPr>
          <w:ilvl w:val="1"/>
          <w:numId w:val="4"/>
        </w:numPr>
        <w:pBdr>
          <w:left w:val="none" w:sz="0" w:space="0" w:color="auto"/>
        </w:pBdr>
        <w:rPr>
          <w:rFonts w:asciiTheme="majorHAnsi" w:hAnsiTheme="majorHAnsi" w:cstheme="majorHAnsi"/>
          <w:color w:val="auto"/>
        </w:rPr>
      </w:pPr>
      <w:r w:rsidRPr="006070EA">
        <w:rPr>
          <w:rFonts w:asciiTheme="majorHAnsi" w:hAnsiTheme="majorHAnsi" w:cstheme="majorHAnsi"/>
          <w:color w:val="auto"/>
        </w:rPr>
        <w:t xml:space="preserve">poloha na železniční trati č. </w:t>
      </w:r>
      <w:r w:rsidR="0028473C" w:rsidRPr="006070EA">
        <w:rPr>
          <w:rFonts w:asciiTheme="majorHAnsi" w:hAnsiTheme="majorHAnsi" w:cstheme="majorHAnsi"/>
          <w:color w:val="auto"/>
        </w:rPr>
        <w:t>231</w:t>
      </w:r>
    </w:p>
    <w:p w14:paraId="4CB57807" w14:textId="19B265F0" w:rsidR="0028473C" w:rsidRPr="006070EA" w:rsidRDefault="0028473C" w:rsidP="0036779E">
      <w:pPr>
        <w:pStyle w:val="Mra2-reakceern"/>
        <w:keepNext/>
        <w:numPr>
          <w:ilvl w:val="1"/>
          <w:numId w:val="4"/>
        </w:numPr>
        <w:pBdr>
          <w:left w:val="none" w:sz="0" w:space="0" w:color="auto"/>
        </w:pBdr>
        <w:rPr>
          <w:rFonts w:asciiTheme="majorHAnsi" w:hAnsiTheme="majorHAnsi" w:cstheme="majorHAnsi"/>
          <w:color w:val="auto"/>
        </w:rPr>
      </w:pPr>
      <w:r w:rsidRPr="006070EA">
        <w:rPr>
          <w:rFonts w:asciiTheme="majorHAnsi" w:hAnsiTheme="majorHAnsi" w:cstheme="majorHAnsi"/>
          <w:color w:val="auto"/>
        </w:rPr>
        <w:t>blízkost dálnice D11</w:t>
      </w:r>
    </w:p>
    <w:p w14:paraId="705B3B58" w14:textId="77777777" w:rsidR="00AE01CB" w:rsidRPr="006070EA" w:rsidRDefault="00AE01CB" w:rsidP="0036779E">
      <w:pPr>
        <w:pStyle w:val="Mra2-reakceern"/>
        <w:keepNext/>
        <w:numPr>
          <w:ilvl w:val="0"/>
          <w:numId w:val="23"/>
        </w:numPr>
        <w:pBdr>
          <w:left w:val="none" w:sz="0" w:space="0" w:color="auto"/>
        </w:pBdr>
        <w:spacing w:before="120" w:after="60"/>
        <w:ind w:left="1066" w:hanging="357"/>
        <w:rPr>
          <w:rFonts w:asciiTheme="majorHAnsi" w:hAnsiTheme="majorHAnsi" w:cstheme="majorHAnsi"/>
          <w:b/>
          <w:color w:val="auto"/>
        </w:rPr>
      </w:pPr>
      <w:r w:rsidRPr="006070EA">
        <w:rPr>
          <w:rFonts w:asciiTheme="majorHAnsi" w:hAnsiTheme="majorHAnsi" w:cstheme="majorHAnsi"/>
          <w:b/>
          <w:color w:val="auto"/>
        </w:rPr>
        <w:t xml:space="preserve">rozvojová </w:t>
      </w:r>
      <w:r w:rsidR="00DF5372" w:rsidRPr="006070EA">
        <w:rPr>
          <w:rFonts w:asciiTheme="majorHAnsi" w:hAnsiTheme="majorHAnsi" w:cstheme="majorHAnsi"/>
          <w:b/>
          <w:color w:val="auto"/>
        </w:rPr>
        <w:t>strategie místní samosprávy a potřeby obce</w:t>
      </w:r>
    </w:p>
    <w:p w14:paraId="7700A384" w14:textId="616F42E0" w:rsidR="00DF5372" w:rsidRPr="006070EA" w:rsidRDefault="00DF5372" w:rsidP="0036779E">
      <w:pPr>
        <w:pStyle w:val="Mra2-reakceern"/>
        <w:keepNext/>
        <w:numPr>
          <w:ilvl w:val="1"/>
          <w:numId w:val="23"/>
        </w:numPr>
        <w:pBdr>
          <w:left w:val="none" w:sz="0" w:space="0" w:color="auto"/>
        </w:pBdr>
        <w:ind w:left="1786" w:hanging="357"/>
        <w:rPr>
          <w:rFonts w:asciiTheme="majorHAnsi" w:hAnsiTheme="majorHAnsi" w:cstheme="majorHAnsi"/>
          <w:color w:val="auto"/>
        </w:rPr>
      </w:pPr>
      <w:r w:rsidRPr="006070EA">
        <w:rPr>
          <w:rFonts w:asciiTheme="majorHAnsi" w:hAnsiTheme="majorHAnsi" w:cstheme="majorHAnsi"/>
          <w:color w:val="auto"/>
        </w:rPr>
        <w:t>potřeba vymezení zastavitelných ploch dle aktuálních požadavků</w:t>
      </w:r>
      <w:r w:rsidR="0028473C" w:rsidRPr="006070EA">
        <w:rPr>
          <w:rFonts w:asciiTheme="majorHAnsi" w:hAnsiTheme="majorHAnsi" w:cstheme="majorHAnsi"/>
          <w:color w:val="auto"/>
        </w:rPr>
        <w:t xml:space="preserve"> a jejích občanů</w:t>
      </w:r>
    </w:p>
    <w:p w14:paraId="6E8DE53A" w14:textId="77777777" w:rsidR="00D16253" w:rsidRPr="006070EA" w:rsidRDefault="00D16253" w:rsidP="0036779E">
      <w:pPr>
        <w:pStyle w:val="Mra2-reakceern"/>
        <w:keepNext/>
        <w:numPr>
          <w:ilvl w:val="1"/>
          <w:numId w:val="23"/>
        </w:numPr>
        <w:pBdr>
          <w:left w:val="none" w:sz="0" w:space="0" w:color="auto"/>
        </w:pBdr>
        <w:spacing w:after="60"/>
        <w:ind w:left="1786" w:hanging="357"/>
        <w:rPr>
          <w:rFonts w:asciiTheme="majorHAnsi" w:hAnsiTheme="majorHAnsi" w:cstheme="majorHAnsi"/>
          <w:color w:val="auto"/>
        </w:rPr>
      </w:pPr>
      <w:r w:rsidRPr="006070EA">
        <w:rPr>
          <w:rFonts w:asciiTheme="majorHAnsi" w:hAnsiTheme="majorHAnsi" w:cstheme="majorHAnsi"/>
          <w:color w:val="auto"/>
        </w:rPr>
        <w:t>respektovat zastavitelné plochy ze stávající platné ÚPD obce</w:t>
      </w:r>
    </w:p>
    <w:p w14:paraId="549FE006" w14:textId="77777777" w:rsidR="00AE01CB" w:rsidRPr="006070EA" w:rsidRDefault="00AE01CB" w:rsidP="0036779E">
      <w:pPr>
        <w:pStyle w:val="Mra2-reakceern"/>
        <w:keepNext/>
        <w:numPr>
          <w:ilvl w:val="0"/>
          <w:numId w:val="23"/>
        </w:numPr>
        <w:pBdr>
          <w:left w:val="none" w:sz="0" w:space="0" w:color="auto"/>
        </w:pBdr>
        <w:spacing w:before="120" w:after="60"/>
        <w:ind w:left="1066" w:hanging="357"/>
        <w:rPr>
          <w:rFonts w:asciiTheme="majorHAnsi" w:hAnsiTheme="majorHAnsi" w:cstheme="majorHAnsi"/>
          <w:b/>
          <w:color w:val="auto"/>
        </w:rPr>
      </w:pPr>
      <w:r w:rsidRPr="006070EA">
        <w:rPr>
          <w:rFonts w:asciiTheme="majorHAnsi" w:hAnsiTheme="majorHAnsi" w:cstheme="majorHAnsi"/>
          <w:b/>
          <w:color w:val="auto"/>
        </w:rPr>
        <w:t>rezerva zastavěného území</w:t>
      </w:r>
    </w:p>
    <w:p w14:paraId="14622D0F" w14:textId="79521185" w:rsidR="00DF5372" w:rsidRPr="006070EA" w:rsidRDefault="00DF5372" w:rsidP="0036779E">
      <w:pPr>
        <w:pStyle w:val="Mra2-reakceern"/>
        <w:keepNext/>
        <w:numPr>
          <w:ilvl w:val="1"/>
          <w:numId w:val="23"/>
        </w:numPr>
        <w:pBdr>
          <w:left w:val="none" w:sz="0" w:space="0" w:color="auto"/>
        </w:pBdr>
        <w:spacing w:after="60"/>
        <w:ind w:left="1786" w:hanging="357"/>
        <w:rPr>
          <w:rFonts w:asciiTheme="majorHAnsi" w:hAnsiTheme="majorHAnsi" w:cstheme="majorHAnsi"/>
          <w:b/>
          <w:color w:val="auto"/>
        </w:rPr>
      </w:pPr>
      <w:r w:rsidRPr="006070EA">
        <w:rPr>
          <w:rFonts w:asciiTheme="majorHAnsi" w:hAnsiTheme="majorHAnsi" w:cstheme="majorHAnsi"/>
          <w:color w:val="auto"/>
        </w:rPr>
        <w:t xml:space="preserve">cca </w:t>
      </w:r>
      <w:r w:rsidR="0045067B" w:rsidRPr="006070EA">
        <w:rPr>
          <w:rFonts w:asciiTheme="majorHAnsi" w:hAnsiTheme="majorHAnsi" w:cstheme="majorHAnsi"/>
          <w:color w:val="auto"/>
        </w:rPr>
        <w:t>3</w:t>
      </w:r>
      <w:r w:rsidR="0028473C" w:rsidRPr="006070EA">
        <w:rPr>
          <w:rFonts w:asciiTheme="majorHAnsi" w:hAnsiTheme="majorHAnsi" w:cstheme="majorHAnsi"/>
          <w:color w:val="auto"/>
        </w:rPr>
        <w:t>9</w:t>
      </w:r>
      <w:r w:rsidRPr="006070EA">
        <w:rPr>
          <w:rFonts w:asciiTheme="majorHAnsi" w:hAnsiTheme="majorHAnsi" w:cstheme="majorHAnsi"/>
          <w:color w:val="auto"/>
        </w:rPr>
        <w:t xml:space="preserve"> RD</w:t>
      </w:r>
      <w:r w:rsidR="0028473C" w:rsidRPr="006070EA">
        <w:rPr>
          <w:rFonts w:asciiTheme="majorHAnsi" w:hAnsiTheme="majorHAnsi" w:cstheme="majorHAnsi"/>
          <w:color w:val="auto"/>
        </w:rPr>
        <w:t>, viz kapitola 10.1</w:t>
      </w:r>
    </w:p>
    <w:p w14:paraId="15675AFD" w14:textId="77777777" w:rsidR="00994060" w:rsidRPr="006070EA" w:rsidRDefault="00994060" w:rsidP="0036779E">
      <w:pPr>
        <w:pStyle w:val="Mra2-reakceern"/>
        <w:keepNext/>
        <w:numPr>
          <w:ilvl w:val="0"/>
          <w:numId w:val="23"/>
        </w:numPr>
        <w:pBdr>
          <w:left w:val="none" w:sz="0" w:space="0" w:color="auto"/>
        </w:pBdr>
        <w:spacing w:before="120" w:after="60"/>
        <w:ind w:left="1066" w:hanging="357"/>
        <w:rPr>
          <w:rFonts w:asciiTheme="majorHAnsi" w:hAnsiTheme="majorHAnsi" w:cstheme="majorHAnsi"/>
          <w:b/>
          <w:color w:val="auto"/>
        </w:rPr>
      </w:pPr>
      <w:r w:rsidRPr="006070EA">
        <w:rPr>
          <w:rFonts w:asciiTheme="majorHAnsi" w:hAnsiTheme="majorHAnsi" w:cstheme="majorHAnsi"/>
          <w:b/>
          <w:color w:val="auto"/>
        </w:rPr>
        <w:t>koncepc</w:t>
      </w:r>
      <w:r w:rsidR="00891241" w:rsidRPr="006070EA">
        <w:rPr>
          <w:rFonts w:asciiTheme="majorHAnsi" w:hAnsiTheme="majorHAnsi" w:cstheme="majorHAnsi"/>
          <w:b/>
          <w:color w:val="auto"/>
        </w:rPr>
        <w:t>e stanovená v předcházející ÚPD</w:t>
      </w:r>
    </w:p>
    <w:p w14:paraId="391A5AC7" w14:textId="77777777" w:rsidR="008473EB" w:rsidRPr="006070EA" w:rsidRDefault="008473EB" w:rsidP="009E07E1">
      <w:pPr>
        <w:pStyle w:val="Mra2-reakceern"/>
        <w:pBdr>
          <w:left w:val="none" w:sz="0" w:space="0" w:color="auto"/>
        </w:pBdr>
        <w:spacing w:before="120" w:after="60"/>
        <w:ind w:left="0" w:firstLine="709"/>
        <w:rPr>
          <w:rFonts w:asciiTheme="majorHAnsi" w:hAnsiTheme="majorHAnsi" w:cstheme="majorHAnsi"/>
          <w:b/>
          <w:color w:val="auto"/>
        </w:rPr>
      </w:pPr>
      <w:r w:rsidRPr="006070EA">
        <w:rPr>
          <w:rFonts w:asciiTheme="majorHAnsi" w:hAnsiTheme="majorHAnsi" w:cstheme="majorHAnsi"/>
          <w:b/>
          <w:color w:val="auto"/>
        </w:rPr>
        <w:t>Situování zastavitelných ploch vychází zejména z následujících principů:</w:t>
      </w:r>
    </w:p>
    <w:p w14:paraId="431946FB" w14:textId="77777777" w:rsidR="008473EB" w:rsidRPr="006070EA" w:rsidRDefault="008473EB" w:rsidP="0036779E">
      <w:pPr>
        <w:pStyle w:val="Mra2-reakceern"/>
        <w:numPr>
          <w:ilvl w:val="0"/>
          <w:numId w:val="4"/>
        </w:numPr>
        <w:pBdr>
          <w:left w:val="none" w:sz="0" w:space="0" w:color="auto"/>
        </w:pBdr>
        <w:ind w:left="1066" w:hanging="357"/>
        <w:rPr>
          <w:rFonts w:asciiTheme="majorHAnsi" w:hAnsiTheme="majorHAnsi" w:cstheme="majorHAnsi"/>
          <w:color w:val="auto"/>
        </w:rPr>
      </w:pPr>
      <w:r w:rsidRPr="006070EA">
        <w:rPr>
          <w:rFonts w:asciiTheme="majorHAnsi" w:hAnsiTheme="majorHAnsi" w:cstheme="majorHAnsi"/>
          <w:color w:val="auto"/>
        </w:rPr>
        <w:t>plošná a prostorová vazba stabilizovaných a zastavitelných ploch s rozdílným způsobem využití;</w:t>
      </w:r>
    </w:p>
    <w:p w14:paraId="3BC4D7FC" w14:textId="77777777" w:rsidR="008473EB" w:rsidRPr="006070EA" w:rsidRDefault="008473EB" w:rsidP="0036779E">
      <w:pPr>
        <w:pStyle w:val="Mra2-reakceern"/>
        <w:numPr>
          <w:ilvl w:val="0"/>
          <w:numId w:val="4"/>
        </w:numPr>
        <w:pBdr>
          <w:left w:val="none" w:sz="0" w:space="0" w:color="auto"/>
        </w:pBdr>
        <w:ind w:left="1066" w:hanging="357"/>
        <w:rPr>
          <w:rFonts w:asciiTheme="majorHAnsi" w:hAnsiTheme="majorHAnsi" w:cstheme="majorHAnsi"/>
          <w:color w:val="auto"/>
        </w:rPr>
      </w:pPr>
      <w:r w:rsidRPr="006070EA">
        <w:rPr>
          <w:rFonts w:asciiTheme="majorHAnsi" w:hAnsiTheme="majorHAnsi" w:cstheme="majorHAnsi"/>
          <w:color w:val="auto"/>
        </w:rPr>
        <w:t>vhodné doplnění stávající zástavby, respektování historicky vytvořené urbanistické struktury sídla;</w:t>
      </w:r>
    </w:p>
    <w:p w14:paraId="099EBF5C" w14:textId="77777777" w:rsidR="008473EB" w:rsidRPr="006070EA" w:rsidRDefault="008473EB" w:rsidP="0036779E">
      <w:pPr>
        <w:pStyle w:val="Mra2-reakceern"/>
        <w:numPr>
          <w:ilvl w:val="0"/>
          <w:numId w:val="4"/>
        </w:numPr>
        <w:pBdr>
          <w:left w:val="none" w:sz="0" w:space="0" w:color="auto"/>
        </w:pBdr>
        <w:ind w:left="1066" w:hanging="357"/>
        <w:rPr>
          <w:rFonts w:asciiTheme="majorHAnsi" w:hAnsiTheme="majorHAnsi" w:cstheme="majorHAnsi"/>
          <w:color w:val="auto"/>
        </w:rPr>
      </w:pPr>
      <w:r w:rsidRPr="006070EA">
        <w:rPr>
          <w:rFonts w:asciiTheme="majorHAnsi" w:hAnsiTheme="majorHAnsi" w:cstheme="majorHAnsi"/>
          <w:color w:val="auto"/>
        </w:rPr>
        <w:t>ochrana urbanistických a krajinných hodnot;</w:t>
      </w:r>
    </w:p>
    <w:p w14:paraId="2A1FD39C" w14:textId="77777777" w:rsidR="008473EB" w:rsidRPr="006070EA" w:rsidRDefault="008473EB" w:rsidP="0036779E">
      <w:pPr>
        <w:pStyle w:val="Mra2-reakceern"/>
        <w:numPr>
          <w:ilvl w:val="0"/>
          <w:numId w:val="4"/>
        </w:numPr>
        <w:pBdr>
          <w:left w:val="none" w:sz="0" w:space="0" w:color="auto"/>
        </w:pBdr>
        <w:ind w:left="1066" w:hanging="357"/>
        <w:rPr>
          <w:rFonts w:asciiTheme="majorHAnsi" w:hAnsiTheme="majorHAnsi" w:cstheme="majorHAnsi"/>
          <w:color w:val="auto"/>
        </w:rPr>
      </w:pPr>
      <w:r w:rsidRPr="006070EA">
        <w:rPr>
          <w:rFonts w:asciiTheme="majorHAnsi" w:hAnsiTheme="majorHAnsi" w:cstheme="majorHAnsi"/>
          <w:color w:val="auto"/>
        </w:rPr>
        <w:t>respektování všech složek limitů v území;</w:t>
      </w:r>
    </w:p>
    <w:p w14:paraId="2205E170" w14:textId="77777777" w:rsidR="008473EB" w:rsidRPr="006070EA" w:rsidRDefault="008473EB" w:rsidP="0036779E">
      <w:pPr>
        <w:pStyle w:val="Mra2-reakceern"/>
        <w:numPr>
          <w:ilvl w:val="0"/>
          <w:numId w:val="4"/>
        </w:numPr>
        <w:pBdr>
          <w:left w:val="none" w:sz="0" w:space="0" w:color="auto"/>
        </w:pBdr>
        <w:ind w:left="1066" w:hanging="357"/>
        <w:rPr>
          <w:rFonts w:asciiTheme="majorHAnsi" w:hAnsiTheme="majorHAnsi" w:cstheme="majorHAnsi"/>
          <w:color w:val="auto"/>
        </w:rPr>
      </w:pPr>
      <w:r w:rsidRPr="006070EA">
        <w:rPr>
          <w:rFonts w:asciiTheme="majorHAnsi" w:hAnsiTheme="majorHAnsi" w:cstheme="majorHAnsi"/>
          <w:color w:val="auto"/>
        </w:rPr>
        <w:t>ochrana přírody a krajiny především s ohledem na skladebné části ÚSES;</w:t>
      </w:r>
    </w:p>
    <w:p w14:paraId="56A65064" w14:textId="77777777" w:rsidR="008473EB" w:rsidRPr="006070EA" w:rsidRDefault="008473EB" w:rsidP="0036779E">
      <w:pPr>
        <w:pStyle w:val="Mra2-reakceern"/>
        <w:numPr>
          <w:ilvl w:val="0"/>
          <w:numId w:val="4"/>
        </w:numPr>
        <w:pBdr>
          <w:left w:val="none" w:sz="0" w:space="0" w:color="auto"/>
        </w:pBdr>
        <w:spacing w:after="120"/>
        <w:rPr>
          <w:rFonts w:asciiTheme="majorHAnsi" w:hAnsiTheme="majorHAnsi" w:cstheme="majorHAnsi"/>
          <w:color w:val="auto"/>
        </w:rPr>
      </w:pPr>
      <w:r w:rsidRPr="006070EA">
        <w:rPr>
          <w:rFonts w:asciiTheme="majorHAnsi" w:hAnsiTheme="majorHAnsi" w:cstheme="majorHAnsi"/>
          <w:color w:val="auto"/>
        </w:rPr>
        <w:t>vazby na dopravní a technickou infrastrukturu.</w:t>
      </w:r>
    </w:p>
    <w:p w14:paraId="4566E9D7" w14:textId="77777777" w:rsidR="00DF5372" w:rsidRPr="006070EA" w:rsidRDefault="00DF5372" w:rsidP="009E07E1">
      <w:pPr>
        <w:pStyle w:val="Atext"/>
        <w:spacing w:after="60"/>
        <w:rPr>
          <w:rFonts w:asciiTheme="majorHAnsi" w:hAnsiTheme="majorHAnsi" w:cstheme="majorHAnsi"/>
          <w:szCs w:val="18"/>
        </w:rPr>
      </w:pPr>
      <w:r w:rsidRPr="006070EA">
        <w:rPr>
          <w:rFonts w:asciiTheme="majorHAnsi" w:hAnsiTheme="majorHAnsi" w:cstheme="majorHAnsi"/>
          <w:szCs w:val="18"/>
        </w:rPr>
        <w:t xml:space="preserve">Potřebnost vymezení zastavitelných ploch byla identifikována ve výše uvedených částech textu a je shrnuta v následující tabulce: </w:t>
      </w:r>
    </w:p>
    <w:tbl>
      <w:tblPr>
        <w:tblW w:w="9072" w:type="dxa"/>
        <w:tblInd w:w="108" w:type="dxa"/>
        <w:tblBorders>
          <w:insideH w:val="single" w:sz="4" w:space="0" w:color="auto"/>
          <w:insideV w:val="single" w:sz="4" w:space="0" w:color="auto"/>
        </w:tblBorders>
        <w:tblLook w:val="04A0" w:firstRow="1" w:lastRow="0" w:firstColumn="1" w:lastColumn="0" w:noHBand="0" w:noVBand="1"/>
      </w:tblPr>
      <w:tblGrid>
        <w:gridCol w:w="2764"/>
        <w:gridCol w:w="1914"/>
        <w:gridCol w:w="4394"/>
      </w:tblGrid>
      <w:tr w:rsidR="00D204CA" w:rsidRPr="006070EA" w14:paraId="579ABDF5" w14:textId="77777777" w:rsidTr="009D4634">
        <w:trPr>
          <w:cantSplit/>
          <w:trHeight w:val="283"/>
          <w:tblHeader/>
        </w:trPr>
        <w:tc>
          <w:tcPr>
            <w:tcW w:w="2764" w:type="dxa"/>
            <w:tcBorders>
              <w:top w:val="nil"/>
              <w:left w:val="nil"/>
              <w:bottom w:val="single" w:sz="12" w:space="0" w:color="auto"/>
              <w:right w:val="single" w:sz="12" w:space="0" w:color="auto"/>
            </w:tcBorders>
            <w:vAlign w:val="center"/>
          </w:tcPr>
          <w:p w14:paraId="1825AAF5" w14:textId="77777777" w:rsidR="00DF5372" w:rsidRPr="006070EA" w:rsidRDefault="00DF5372" w:rsidP="0028473C">
            <w:pPr>
              <w:pStyle w:val="Zkladntext2"/>
              <w:keepNext/>
              <w:spacing w:after="0" w:line="240" w:lineRule="auto"/>
              <w:rPr>
                <w:rFonts w:asciiTheme="majorHAnsi" w:hAnsiTheme="majorHAnsi" w:cstheme="majorHAnsi"/>
                <w:b/>
                <w:i/>
                <w:sz w:val="18"/>
                <w:szCs w:val="18"/>
              </w:rPr>
            </w:pPr>
            <w:r w:rsidRPr="006070EA">
              <w:rPr>
                <w:rFonts w:asciiTheme="majorHAnsi" w:hAnsiTheme="majorHAnsi" w:cstheme="majorHAnsi"/>
                <w:b/>
                <w:i/>
                <w:sz w:val="18"/>
                <w:szCs w:val="18"/>
              </w:rPr>
              <w:lastRenderedPageBreak/>
              <w:t>hledisko</w:t>
            </w:r>
          </w:p>
        </w:tc>
        <w:tc>
          <w:tcPr>
            <w:tcW w:w="1914" w:type="dxa"/>
            <w:tcBorders>
              <w:top w:val="nil"/>
              <w:left w:val="single" w:sz="12" w:space="0" w:color="auto"/>
              <w:bottom w:val="single" w:sz="12" w:space="0" w:color="auto"/>
              <w:right w:val="single" w:sz="12" w:space="0" w:color="auto"/>
            </w:tcBorders>
            <w:vAlign w:val="center"/>
          </w:tcPr>
          <w:p w14:paraId="781C4846" w14:textId="77777777" w:rsidR="00DF5372" w:rsidRPr="006070EA" w:rsidRDefault="00DF5372" w:rsidP="0028473C">
            <w:pPr>
              <w:keepNext/>
              <w:spacing w:after="0" w:line="240" w:lineRule="auto"/>
              <w:ind w:left="-89" w:right="-80"/>
              <w:jc w:val="center"/>
              <w:rPr>
                <w:rFonts w:asciiTheme="majorHAnsi" w:hAnsiTheme="majorHAnsi" w:cstheme="majorHAnsi"/>
                <w:b/>
                <w:snapToGrid w:val="0"/>
                <w:sz w:val="18"/>
                <w:szCs w:val="18"/>
              </w:rPr>
            </w:pPr>
            <w:r w:rsidRPr="006070EA">
              <w:rPr>
                <w:rFonts w:asciiTheme="majorHAnsi" w:hAnsiTheme="majorHAnsi" w:cstheme="majorHAnsi"/>
                <w:b/>
                <w:snapToGrid w:val="0"/>
                <w:sz w:val="18"/>
                <w:szCs w:val="18"/>
              </w:rPr>
              <w:t>vyhodnocení potřeby nových bytů</w:t>
            </w:r>
            <w:r w:rsidR="0033322E" w:rsidRPr="006070EA">
              <w:rPr>
                <w:rFonts w:asciiTheme="majorHAnsi" w:hAnsiTheme="majorHAnsi" w:cstheme="majorHAnsi"/>
                <w:b/>
                <w:snapToGrid w:val="0"/>
                <w:sz w:val="18"/>
                <w:szCs w:val="18"/>
              </w:rPr>
              <w:t xml:space="preserve"> (RD)</w:t>
            </w:r>
          </w:p>
        </w:tc>
        <w:tc>
          <w:tcPr>
            <w:tcW w:w="4394" w:type="dxa"/>
            <w:tcBorders>
              <w:top w:val="nil"/>
              <w:left w:val="single" w:sz="12" w:space="0" w:color="auto"/>
              <w:bottom w:val="single" w:sz="12" w:space="0" w:color="auto"/>
            </w:tcBorders>
            <w:vAlign w:val="center"/>
          </w:tcPr>
          <w:p w14:paraId="700DAC5F" w14:textId="77777777" w:rsidR="00DF5372" w:rsidRPr="006070EA" w:rsidRDefault="00DF5372" w:rsidP="0028473C">
            <w:pPr>
              <w:keepNext/>
              <w:spacing w:after="0" w:line="240" w:lineRule="auto"/>
              <w:jc w:val="center"/>
              <w:rPr>
                <w:rFonts w:asciiTheme="majorHAnsi" w:hAnsiTheme="majorHAnsi" w:cstheme="majorHAnsi"/>
                <w:b/>
                <w:snapToGrid w:val="0"/>
                <w:sz w:val="18"/>
                <w:szCs w:val="18"/>
              </w:rPr>
            </w:pPr>
            <w:r w:rsidRPr="006070EA">
              <w:rPr>
                <w:rFonts w:asciiTheme="majorHAnsi" w:hAnsiTheme="majorHAnsi" w:cstheme="majorHAnsi"/>
                <w:b/>
                <w:snapToGrid w:val="0"/>
                <w:sz w:val="18"/>
                <w:szCs w:val="18"/>
              </w:rPr>
              <w:t>poznámka</w:t>
            </w:r>
          </w:p>
        </w:tc>
      </w:tr>
      <w:tr w:rsidR="00D204CA" w:rsidRPr="006070EA" w14:paraId="539DF122" w14:textId="77777777" w:rsidTr="009D4634">
        <w:trPr>
          <w:trHeight w:val="283"/>
        </w:trPr>
        <w:tc>
          <w:tcPr>
            <w:tcW w:w="2764" w:type="dxa"/>
            <w:tcBorders>
              <w:top w:val="single" w:sz="12" w:space="0" w:color="auto"/>
            </w:tcBorders>
            <w:vAlign w:val="center"/>
          </w:tcPr>
          <w:p w14:paraId="66764D2C" w14:textId="77777777" w:rsidR="00DF5372" w:rsidRPr="006070EA" w:rsidRDefault="00DF5372" w:rsidP="0028473C">
            <w:pPr>
              <w:pStyle w:val="Zkladntext2"/>
              <w:keepNext/>
              <w:spacing w:after="0" w:line="240" w:lineRule="auto"/>
              <w:rPr>
                <w:rFonts w:asciiTheme="majorHAnsi" w:hAnsiTheme="majorHAnsi" w:cstheme="majorHAnsi"/>
                <w:i/>
                <w:sz w:val="18"/>
                <w:szCs w:val="18"/>
              </w:rPr>
            </w:pPr>
            <w:r w:rsidRPr="006070EA">
              <w:rPr>
                <w:rFonts w:asciiTheme="majorHAnsi" w:hAnsiTheme="majorHAnsi" w:cstheme="majorHAnsi"/>
                <w:i/>
                <w:sz w:val="18"/>
                <w:szCs w:val="18"/>
              </w:rPr>
              <w:t>rezerva v zastavěném území</w:t>
            </w:r>
          </w:p>
        </w:tc>
        <w:tc>
          <w:tcPr>
            <w:tcW w:w="1914" w:type="dxa"/>
            <w:tcBorders>
              <w:top w:val="single" w:sz="12" w:space="0" w:color="auto"/>
            </w:tcBorders>
            <w:vAlign w:val="center"/>
          </w:tcPr>
          <w:p w14:paraId="637B83C6" w14:textId="013AE654" w:rsidR="00DF5372" w:rsidRPr="006070EA" w:rsidRDefault="00DF5372" w:rsidP="0028473C">
            <w:pPr>
              <w:keepNext/>
              <w:spacing w:after="0" w:line="240" w:lineRule="auto"/>
              <w:jc w:val="center"/>
              <w:rPr>
                <w:rFonts w:asciiTheme="majorHAnsi" w:hAnsiTheme="majorHAnsi" w:cstheme="majorHAnsi"/>
                <w:snapToGrid w:val="0"/>
                <w:sz w:val="18"/>
                <w:szCs w:val="18"/>
              </w:rPr>
            </w:pPr>
            <w:r w:rsidRPr="006070EA">
              <w:rPr>
                <w:rFonts w:asciiTheme="majorHAnsi" w:hAnsiTheme="majorHAnsi" w:cstheme="majorHAnsi"/>
                <w:snapToGrid w:val="0"/>
                <w:sz w:val="18"/>
                <w:szCs w:val="18"/>
              </w:rPr>
              <w:t>-</w:t>
            </w:r>
            <w:r w:rsidR="0045067B" w:rsidRPr="006070EA">
              <w:rPr>
                <w:rFonts w:asciiTheme="majorHAnsi" w:hAnsiTheme="majorHAnsi" w:cstheme="majorHAnsi"/>
                <w:snapToGrid w:val="0"/>
                <w:sz w:val="18"/>
                <w:szCs w:val="18"/>
              </w:rPr>
              <w:t>3</w:t>
            </w:r>
            <w:r w:rsidR="00D204CA" w:rsidRPr="006070EA">
              <w:rPr>
                <w:rFonts w:asciiTheme="majorHAnsi" w:hAnsiTheme="majorHAnsi" w:cstheme="majorHAnsi"/>
                <w:snapToGrid w:val="0"/>
                <w:sz w:val="18"/>
                <w:szCs w:val="18"/>
              </w:rPr>
              <w:t>9</w:t>
            </w:r>
          </w:p>
        </w:tc>
        <w:tc>
          <w:tcPr>
            <w:tcW w:w="4394" w:type="dxa"/>
            <w:tcBorders>
              <w:top w:val="single" w:sz="12" w:space="0" w:color="auto"/>
            </w:tcBorders>
            <w:vAlign w:val="center"/>
          </w:tcPr>
          <w:p w14:paraId="147B2743" w14:textId="4C2FEA32" w:rsidR="00DF5372" w:rsidRPr="006070EA" w:rsidRDefault="008449DE" w:rsidP="0028473C">
            <w:pPr>
              <w:keepNext/>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stanoveno odhadem v souvislosti s dostupností pozemků pro bydlení ve vymezeném zastavěném území</w:t>
            </w:r>
            <w:r w:rsidR="00D204CA" w:rsidRPr="006070EA">
              <w:rPr>
                <w:rFonts w:asciiTheme="majorHAnsi" w:hAnsiTheme="majorHAnsi" w:cstheme="majorHAnsi"/>
                <w:snapToGrid w:val="0"/>
                <w:sz w:val="18"/>
                <w:szCs w:val="18"/>
              </w:rPr>
              <w:t>, viz kapitola 10.1</w:t>
            </w:r>
          </w:p>
        </w:tc>
      </w:tr>
      <w:tr w:rsidR="00101173" w:rsidRPr="006070EA" w14:paraId="70EAFD41" w14:textId="77777777" w:rsidTr="009D4634">
        <w:trPr>
          <w:trHeight w:val="283"/>
        </w:trPr>
        <w:tc>
          <w:tcPr>
            <w:tcW w:w="2764" w:type="dxa"/>
            <w:vAlign w:val="center"/>
          </w:tcPr>
          <w:p w14:paraId="6D387D3D" w14:textId="77777777" w:rsidR="00DF5372" w:rsidRPr="006070EA" w:rsidRDefault="00DF5372" w:rsidP="009E07E1">
            <w:pPr>
              <w:pStyle w:val="Zkladntext2"/>
              <w:spacing w:after="0" w:line="240" w:lineRule="auto"/>
              <w:rPr>
                <w:rFonts w:asciiTheme="majorHAnsi" w:hAnsiTheme="majorHAnsi" w:cstheme="majorHAnsi"/>
                <w:i/>
                <w:sz w:val="18"/>
                <w:szCs w:val="18"/>
              </w:rPr>
            </w:pPr>
            <w:r w:rsidRPr="006070EA">
              <w:rPr>
                <w:rFonts w:asciiTheme="majorHAnsi" w:hAnsiTheme="majorHAnsi" w:cstheme="majorHAnsi"/>
                <w:i/>
                <w:sz w:val="18"/>
                <w:szCs w:val="18"/>
              </w:rPr>
              <w:t>nárůst počtu obyvatel</w:t>
            </w:r>
          </w:p>
        </w:tc>
        <w:tc>
          <w:tcPr>
            <w:tcW w:w="1914" w:type="dxa"/>
            <w:vAlign w:val="center"/>
          </w:tcPr>
          <w:p w14:paraId="2B298FD6" w14:textId="09F78F93" w:rsidR="00DF5372" w:rsidRPr="006070EA" w:rsidRDefault="00101173" w:rsidP="009E07E1">
            <w:pPr>
              <w:spacing w:after="0" w:line="240" w:lineRule="auto"/>
              <w:jc w:val="center"/>
              <w:rPr>
                <w:rFonts w:asciiTheme="majorHAnsi" w:hAnsiTheme="majorHAnsi" w:cstheme="majorHAnsi"/>
                <w:snapToGrid w:val="0"/>
                <w:sz w:val="18"/>
                <w:szCs w:val="18"/>
              </w:rPr>
            </w:pPr>
            <w:r w:rsidRPr="006070EA">
              <w:rPr>
                <w:rFonts w:asciiTheme="majorHAnsi" w:hAnsiTheme="majorHAnsi" w:cstheme="majorHAnsi"/>
                <w:snapToGrid w:val="0"/>
                <w:sz w:val="18"/>
                <w:szCs w:val="18"/>
              </w:rPr>
              <w:t>70</w:t>
            </w:r>
          </w:p>
        </w:tc>
        <w:tc>
          <w:tcPr>
            <w:tcW w:w="4394" w:type="dxa"/>
            <w:vAlign w:val="center"/>
          </w:tcPr>
          <w:p w14:paraId="6720E4FF" w14:textId="60F929F1" w:rsidR="0057541B" w:rsidRPr="006070EA" w:rsidRDefault="00DF5372" w:rsidP="008449DE">
            <w:pPr>
              <w:spacing w:after="0" w:line="240" w:lineRule="auto"/>
              <w:rPr>
                <w:rFonts w:asciiTheme="majorHAnsi" w:hAnsiTheme="majorHAnsi" w:cstheme="majorHAnsi"/>
                <w:i/>
                <w:sz w:val="18"/>
                <w:szCs w:val="18"/>
              </w:rPr>
            </w:pPr>
            <w:r w:rsidRPr="006070EA">
              <w:rPr>
                <w:rFonts w:asciiTheme="majorHAnsi" w:hAnsiTheme="majorHAnsi" w:cstheme="majorHAnsi"/>
                <w:snapToGrid w:val="0"/>
                <w:sz w:val="18"/>
                <w:szCs w:val="18"/>
              </w:rPr>
              <w:t xml:space="preserve">viz </w:t>
            </w:r>
            <w:r w:rsidRPr="006070EA">
              <w:rPr>
                <w:rFonts w:asciiTheme="majorHAnsi" w:hAnsiTheme="majorHAnsi" w:cstheme="majorHAnsi"/>
                <w:i/>
                <w:snapToGrid w:val="0"/>
                <w:sz w:val="18"/>
                <w:szCs w:val="18"/>
              </w:rPr>
              <w:t>Vývoj počtu obyvatel, domů a bytů</w:t>
            </w:r>
            <w:r w:rsidRPr="006070EA">
              <w:rPr>
                <w:rFonts w:asciiTheme="majorHAnsi" w:hAnsiTheme="majorHAnsi" w:cstheme="majorHAnsi"/>
                <w:snapToGrid w:val="0"/>
                <w:sz w:val="18"/>
                <w:szCs w:val="18"/>
              </w:rPr>
              <w:t xml:space="preserve"> </w:t>
            </w:r>
            <w:r w:rsidR="0057541B" w:rsidRPr="006070EA">
              <w:rPr>
                <w:rFonts w:asciiTheme="majorHAnsi" w:hAnsiTheme="majorHAnsi" w:cstheme="majorHAnsi"/>
                <w:i/>
                <w:sz w:val="18"/>
                <w:szCs w:val="18"/>
              </w:rPr>
              <w:t>při cílové obydlenosti 2,</w:t>
            </w:r>
            <w:r w:rsidR="008449DE" w:rsidRPr="006070EA">
              <w:rPr>
                <w:rFonts w:asciiTheme="majorHAnsi" w:hAnsiTheme="majorHAnsi" w:cstheme="majorHAnsi"/>
                <w:i/>
                <w:sz w:val="18"/>
                <w:szCs w:val="18"/>
              </w:rPr>
              <w:t>2</w:t>
            </w:r>
            <w:r w:rsidR="0057541B" w:rsidRPr="006070EA">
              <w:rPr>
                <w:rFonts w:asciiTheme="majorHAnsi" w:hAnsiTheme="majorHAnsi" w:cstheme="majorHAnsi"/>
                <w:i/>
                <w:sz w:val="18"/>
                <w:szCs w:val="18"/>
              </w:rPr>
              <w:t xml:space="preserve"> obyv./byt</w:t>
            </w:r>
          </w:p>
          <w:p w14:paraId="6748DA48" w14:textId="39F84B2B" w:rsidR="00101173" w:rsidRPr="006070EA" w:rsidRDefault="00101173" w:rsidP="008449DE">
            <w:pPr>
              <w:spacing w:after="0" w:line="240" w:lineRule="auto"/>
              <w:rPr>
                <w:rFonts w:asciiTheme="majorHAnsi" w:hAnsiTheme="majorHAnsi" w:cstheme="majorHAnsi"/>
                <w:iCs/>
                <w:snapToGrid w:val="0"/>
                <w:sz w:val="18"/>
                <w:szCs w:val="18"/>
              </w:rPr>
            </w:pPr>
            <w:r w:rsidRPr="006070EA">
              <w:rPr>
                <w:rFonts w:asciiTheme="majorHAnsi" w:hAnsiTheme="majorHAnsi" w:cstheme="majorHAnsi"/>
                <w:iCs/>
                <w:snapToGrid w:val="0"/>
                <w:sz w:val="18"/>
                <w:szCs w:val="18"/>
              </w:rPr>
              <w:t>cílová hodnota k r. 2035</w:t>
            </w:r>
            <w:r w:rsidR="00A10CD0" w:rsidRPr="006070EA">
              <w:rPr>
                <w:rFonts w:asciiTheme="majorHAnsi" w:hAnsiTheme="majorHAnsi" w:cstheme="majorHAnsi"/>
                <w:iCs/>
                <w:snapToGrid w:val="0"/>
                <w:sz w:val="18"/>
                <w:szCs w:val="18"/>
              </w:rPr>
              <w:t xml:space="preserve"> (při zachování stávajícího demografického vývoje z uplynulých 20 let)</w:t>
            </w:r>
            <w:r w:rsidRPr="006070EA">
              <w:rPr>
                <w:rFonts w:asciiTheme="majorHAnsi" w:hAnsiTheme="majorHAnsi" w:cstheme="majorHAnsi"/>
                <w:iCs/>
                <w:snapToGrid w:val="0"/>
                <w:sz w:val="18"/>
                <w:szCs w:val="18"/>
              </w:rPr>
              <w:t xml:space="preserve"> </w:t>
            </w:r>
            <w:r w:rsidR="00A10CD0" w:rsidRPr="006070EA">
              <w:rPr>
                <w:rFonts w:asciiTheme="majorHAnsi" w:hAnsiTheme="majorHAnsi" w:cstheme="majorHAnsi"/>
                <w:iCs/>
                <w:snapToGrid w:val="0"/>
                <w:sz w:val="18"/>
                <w:szCs w:val="18"/>
              </w:rPr>
              <w:t>–</w:t>
            </w:r>
            <w:r w:rsidRPr="006070EA">
              <w:rPr>
                <w:rFonts w:asciiTheme="majorHAnsi" w:hAnsiTheme="majorHAnsi" w:cstheme="majorHAnsi"/>
                <w:iCs/>
                <w:snapToGrid w:val="0"/>
                <w:sz w:val="18"/>
                <w:szCs w:val="18"/>
              </w:rPr>
              <w:t xml:space="preserve"> počet</w:t>
            </w:r>
            <w:r w:rsidR="00A10CD0" w:rsidRPr="006070EA">
              <w:rPr>
                <w:rFonts w:asciiTheme="majorHAnsi" w:hAnsiTheme="majorHAnsi" w:cstheme="majorHAnsi"/>
                <w:iCs/>
                <w:snapToGrid w:val="0"/>
                <w:sz w:val="18"/>
                <w:szCs w:val="18"/>
              </w:rPr>
              <w:t> </w:t>
            </w:r>
            <w:r w:rsidRPr="006070EA">
              <w:rPr>
                <w:rFonts w:asciiTheme="majorHAnsi" w:hAnsiTheme="majorHAnsi" w:cstheme="majorHAnsi"/>
                <w:iCs/>
                <w:snapToGrid w:val="0"/>
                <w:sz w:val="18"/>
                <w:szCs w:val="18"/>
              </w:rPr>
              <w:t xml:space="preserve">obyvatel </w:t>
            </w:r>
            <w:r w:rsidR="00A10CD0" w:rsidRPr="006070EA">
              <w:rPr>
                <w:rFonts w:asciiTheme="majorHAnsi" w:hAnsiTheme="majorHAnsi" w:cstheme="majorHAnsi"/>
                <w:iCs/>
                <w:snapToGrid w:val="0"/>
                <w:sz w:val="18"/>
                <w:szCs w:val="18"/>
              </w:rPr>
              <w:t xml:space="preserve">= </w:t>
            </w:r>
            <w:r w:rsidRPr="006070EA">
              <w:rPr>
                <w:rFonts w:asciiTheme="majorHAnsi" w:hAnsiTheme="majorHAnsi" w:cstheme="majorHAnsi"/>
                <w:iCs/>
                <w:snapToGrid w:val="0"/>
                <w:sz w:val="18"/>
                <w:szCs w:val="18"/>
              </w:rPr>
              <w:t>2 039</w:t>
            </w:r>
          </w:p>
        </w:tc>
      </w:tr>
      <w:tr w:rsidR="00D204CA" w:rsidRPr="006070EA" w14:paraId="614C5D05" w14:textId="77777777" w:rsidTr="009D4634">
        <w:trPr>
          <w:trHeight w:val="283"/>
        </w:trPr>
        <w:tc>
          <w:tcPr>
            <w:tcW w:w="2764" w:type="dxa"/>
            <w:vAlign w:val="center"/>
          </w:tcPr>
          <w:p w14:paraId="0202A58C" w14:textId="77777777" w:rsidR="0033322E" w:rsidRPr="006070EA" w:rsidRDefault="0033322E" w:rsidP="00891241">
            <w:pPr>
              <w:pStyle w:val="Zkladntext2"/>
              <w:spacing w:after="0" w:line="240" w:lineRule="auto"/>
              <w:rPr>
                <w:rFonts w:asciiTheme="majorHAnsi" w:hAnsiTheme="majorHAnsi" w:cstheme="majorHAnsi"/>
                <w:i/>
                <w:sz w:val="18"/>
                <w:szCs w:val="18"/>
              </w:rPr>
            </w:pPr>
            <w:r w:rsidRPr="006070EA">
              <w:rPr>
                <w:rFonts w:asciiTheme="majorHAnsi" w:hAnsiTheme="majorHAnsi" w:cstheme="majorHAnsi"/>
                <w:i/>
                <w:sz w:val="18"/>
                <w:szCs w:val="18"/>
              </w:rPr>
              <w:t>pozice obce v systému osídlení</w:t>
            </w:r>
          </w:p>
        </w:tc>
        <w:tc>
          <w:tcPr>
            <w:tcW w:w="1914" w:type="dxa"/>
            <w:vAlign w:val="center"/>
          </w:tcPr>
          <w:p w14:paraId="3A9593F2" w14:textId="1EC768FB" w:rsidR="0033322E" w:rsidRPr="006070EA" w:rsidRDefault="00D204CA" w:rsidP="009E07E1">
            <w:pPr>
              <w:spacing w:after="0" w:line="240" w:lineRule="auto"/>
              <w:jc w:val="center"/>
              <w:rPr>
                <w:rFonts w:asciiTheme="majorHAnsi" w:hAnsiTheme="majorHAnsi" w:cstheme="majorHAnsi"/>
                <w:snapToGrid w:val="0"/>
                <w:sz w:val="18"/>
                <w:szCs w:val="18"/>
              </w:rPr>
            </w:pPr>
            <w:r w:rsidRPr="006070EA">
              <w:rPr>
                <w:rFonts w:asciiTheme="majorHAnsi" w:hAnsiTheme="majorHAnsi" w:cstheme="majorHAnsi"/>
                <w:snapToGrid w:val="0"/>
                <w:sz w:val="18"/>
                <w:szCs w:val="18"/>
              </w:rPr>
              <w:t>30</w:t>
            </w:r>
          </w:p>
        </w:tc>
        <w:tc>
          <w:tcPr>
            <w:tcW w:w="4394" w:type="dxa"/>
            <w:vAlign w:val="center"/>
          </w:tcPr>
          <w:p w14:paraId="17598B94" w14:textId="367D5591" w:rsidR="0033322E" w:rsidRPr="006070EA" w:rsidRDefault="00D204CA" w:rsidP="009E07E1">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stanoveno odborným odhadem s přihlédnutím ke kvalitě veřejné infrastruktury v řešeném území, spádovosti (vyjížďka a dojížďka), ekonomické struktuře a dalším východiskům, ovlivňující pozici obce v sídelní struktuře</w:t>
            </w:r>
          </w:p>
        </w:tc>
      </w:tr>
      <w:tr w:rsidR="00140D2A" w:rsidRPr="006070EA" w14:paraId="2423A673" w14:textId="77777777" w:rsidTr="009D4634">
        <w:trPr>
          <w:trHeight w:val="283"/>
        </w:trPr>
        <w:tc>
          <w:tcPr>
            <w:tcW w:w="2764" w:type="dxa"/>
            <w:vAlign w:val="center"/>
          </w:tcPr>
          <w:p w14:paraId="499961C2" w14:textId="1B7D7F1B" w:rsidR="00891241" w:rsidRPr="006070EA" w:rsidRDefault="00891241" w:rsidP="00F50E2C">
            <w:pPr>
              <w:pStyle w:val="Zkladntext2"/>
              <w:spacing w:after="0" w:line="240" w:lineRule="auto"/>
              <w:rPr>
                <w:rFonts w:asciiTheme="majorHAnsi" w:hAnsiTheme="majorHAnsi" w:cstheme="majorHAnsi"/>
                <w:i/>
                <w:sz w:val="18"/>
                <w:szCs w:val="18"/>
              </w:rPr>
            </w:pPr>
            <w:r w:rsidRPr="006070EA">
              <w:rPr>
                <w:rFonts w:asciiTheme="majorHAnsi" w:hAnsiTheme="majorHAnsi" w:cstheme="majorHAnsi"/>
                <w:i/>
                <w:sz w:val="18"/>
                <w:szCs w:val="18"/>
              </w:rPr>
              <w:t>zvýšené požadavky v souvislosti s</w:t>
            </w:r>
            <w:r w:rsidR="00140D2A" w:rsidRPr="006070EA">
              <w:rPr>
                <w:rFonts w:asciiTheme="majorHAnsi" w:hAnsiTheme="majorHAnsi" w:cstheme="majorHAnsi"/>
                <w:i/>
                <w:sz w:val="18"/>
                <w:szCs w:val="18"/>
              </w:rPr>
              <w:t xml:space="preserve"> blízkostí metropolitní oblasti a dostupností nadřazených správní center </w:t>
            </w:r>
          </w:p>
        </w:tc>
        <w:tc>
          <w:tcPr>
            <w:tcW w:w="1914" w:type="dxa"/>
            <w:vAlign w:val="center"/>
          </w:tcPr>
          <w:p w14:paraId="1C481A42" w14:textId="7BF7CD39" w:rsidR="00891241" w:rsidRPr="006070EA" w:rsidRDefault="00140D2A" w:rsidP="009E07E1">
            <w:pPr>
              <w:spacing w:after="0" w:line="240" w:lineRule="auto"/>
              <w:jc w:val="center"/>
              <w:rPr>
                <w:rFonts w:asciiTheme="majorHAnsi" w:hAnsiTheme="majorHAnsi" w:cstheme="majorHAnsi"/>
                <w:snapToGrid w:val="0"/>
                <w:sz w:val="18"/>
                <w:szCs w:val="18"/>
              </w:rPr>
            </w:pPr>
            <w:r w:rsidRPr="006070EA">
              <w:rPr>
                <w:rFonts w:asciiTheme="majorHAnsi" w:hAnsiTheme="majorHAnsi" w:cstheme="majorHAnsi"/>
                <w:snapToGrid w:val="0"/>
                <w:sz w:val="18"/>
                <w:szCs w:val="18"/>
              </w:rPr>
              <w:t>20</w:t>
            </w:r>
          </w:p>
        </w:tc>
        <w:tc>
          <w:tcPr>
            <w:tcW w:w="4394" w:type="dxa"/>
            <w:vAlign w:val="center"/>
          </w:tcPr>
          <w:p w14:paraId="31463A16" w14:textId="77777777" w:rsidR="00891241" w:rsidRPr="006070EA" w:rsidRDefault="00F50E2C" w:rsidP="00F50E2C">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Obec se nachází v</w:t>
            </w:r>
            <w:r w:rsidR="00140D2A" w:rsidRPr="006070EA">
              <w:rPr>
                <w:rFonts w:asciiTheme="majorHAnsi" w:hAnsiTheme="majorHAnsi" w:cstheme="majorHAnsi"/>
                <w:snapToGrid w:val="0"/>
                <w:sz w:val="18"/>
                <w:szCs w:val="18"/>
              </w:rPr>
              <w:t> dostupnosti hlavního města a v sousedství nadřazených center – sídlo ORP Nymburk, města Lysá nad Labem, Poděbrady, Milovice ad.</w:t>
            </w:r>
          </w:p>
          <w:p w14:paraId="15241418" w14:textId="3EC2A4E8" w:rsidR="00140D2A" w:rsidRPr="006070EA" w:rsidRDefault="00140D2A" w:rsidP="00F50E2C">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Blízkost dopravní tepny nadregionálního významu D11</w:t>
            </w:r>
          </w:p>
        </w:tc>
      </w:tr>
      <w:tr w:rsidR="00140D2A" w:rsidRPr="006070EA" w14:paraId="703B022F" w14:textId="77777777" w:rsidTr="009D4634">
        <w:trPr>
          <w:trHeight w:val="283"/>
        </w:trPr>
        <w:tc>
          <w:tcPr>
            <w:tcW w:w="2764" w:type="dxa"/>
            <w:vAlign w:val="center"/>
          </w:tcPr>
          <w:p w14:paraId="06B5596E" w14:textId="77777777" w:rsidR="00DF5372" w:rsidRPr="006070EA" w:rsidRDefault="00DF5372" w:rsidP="009E07E1">
            <w:pPr>
              <w:pStyle w:val="Zkladntext2"/>
              <w:spacing w:after="0" w:line="240" w:lineRule="auto"/>
              <w:rPr>
                <w:rFonts w:asciiTheme="majorHAnsi" w:hAnsiTheme="majorHAnsi" w:cstheme="majorHAnsi"/>
                <w:i/>
                <w:sz w:val="18"/>
                <w:szCs w:val="18"/>
              </w:rPr>
            </w:pPr>
            <w:r w:rsidRPr="006070EA">
              <w:rPr>
                <w:rFonts w:asciiTheme="majorHAnsi" w:hAnsiTheme="majorHAnsi" w:cstheme="majorHAnsi"/>
                <w:i/>
                <w:sz w:val="18"/>
                <w:szCs w:val="18"/>
              </w:rPr>
              <w:t>odpad bytů</w:t>
            </w:r>
            <w:r w:rsidR="0033322E" w:rsidRPr="006070EA">
              <w:rPr>
                <w:rFonts w:asciiTheme="majorHAnsi" w:hAnsiTheme="majorHAnsi" w:cstheme="majorHAnsi"/>
                <w:i/>
                <w:sz w:val="18"/>
                <w:szCs w:val="18"/>
              </w:rPr>
              <w:t>, nechtěné soužití, zvýšení kvality bydlení</w:t>
            </w:r>
          </w:p>
        </w:tc>
        <w:tc>
          <w:tcPr>
            <w:tcW w:w="1914" w:type="dxa"/>
            <w:vAlign w:val="center"/>
          </w:tcPr>
          <w:p w14:paraId="763487A8" w14:textId="293E770F" w:rsidR="00DF5372" w:rsidRPr="006070EA" w:rsidRDefault="00A10CD0" w:rsidP="009E07E1">
            <w:pPr>
              <w:spacing w:after="0" w:line="240" w:lineRule="auto"/>
              <w:jc w:val="center"/>
              <w:rPr>
                <w:rFonts w:asciiTheme="majorHAnsi" w:hAnsiTheme="majorHAnsi" w:cstheme="majorHAnsi"/>
                <w:snapToGrid w:val="0"/>
                <w:sz w:val="18"/>
                <w:szCs w:val="18"/>
              </w:rPr>
            </w:pPr>
            <w:r w:rsidRPr="006070EA">
              <w:rPr>
                <w:rFonts w:asciiTheme="majorHAnsi" w:hAnsiTheme="majorHAnsi" w:cstheme="majorHAnsi"/>
                <w:snapToGrid w:val="0"/>
                <w:sz w:val="18"/>
                <w:szCs w:val="18"/>
              </w:rPr>
              <w:t>17</w:t>
            </w:r>
          </w:p>
        </w:tc>
        <w:tc>
          <w:tcPr>
            <w:tcW w:w="4394" w:type="dxa"/>
            <w:vAlign w:val="center"/>
          </w:tcPr>
          <w:p w14:paraId="584528CC" w14:textId="2844824F" w:rsidR="00DF5372" w:rsidRPr="006070EA" w:rsidRDefault="00A10CD0" w:rsidP="009E07E1">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20</w:t>
            </w:r>
            <w:r w:rsidR="00140D2A" w:rsidRPr="006070EA">
              <w:rPr>
                <w:rFonts w:asciiTheme="majorHAnsi" w:hAnsiTheme="majorHAnsi" w:cstheme="majorHAnsi"/>
                <w:snapToGrid w:val="0"/>
                <w:sz w:val="18"/>
                <w:szCs w:val="18"/>
              </w:rPr>
              <w:t xml:space="preserve"> % z celkové potřeby</w:t>
            </w:r>
          </w:p>
        </w:tc>
      </w:tr>
      <w:tr w:rsidR="00F75D8C" w:rsidRPr="006070EA" w14:paraId="23DC1532" w14:textId="77777777" w:rsidTr="009D4634">
        <w:trPr>
          <w:trHeight w:val="283"/>
        </w:trPr>
        <w:tc>
          <w:tcPr>
            <w:tcW w:w="2764" w:type="dxa"/>
            <w:vAlign w:val="center"/>
          </w:tcPr>
          <w:p w14:paraId="22CFAA61" w14:textId="77777777" w:rsidR="00DF5372" w:rsidRPr="006070EA" w:rsidRDefault="00DF5372" w:rsidP="009E07E1">
            <w:pPr>
              <w:pStyle w:val="Zkladntext2"/>
              <w:spacing w:after="0" w:line="240" w:lineRule="auto"/>
              <w:rPr>
                <w:rFonts w:asciiTheme="majorHAnsi" w:hAnsiTheme="majorHAnsi" w:cstheme="majorHAnsi"/>
                <w:b/>
                <w:i/>
                <w:sz w:val="18"/>
                <w:szCs w:val="18"/>
              </w:rPr>
            </w:pPr>
            <w:r w:rsidRPr="006070EA">
              <w:rPr>
                <w:rFonts w:asciiTheme="majorHAnsi" w:hAnsiTheme="majorHAnsi" w:cstheme="majorHAnsi"/>
                <w:b/>
                <w:i/>
                <w:sz w:val="18"/>
                <w:szCs w:val="18"/>
              </w:rPr>
              <w:t>analyzovaná potřeba nových bytů</w:t>
            </w:r>
          </w:p>
        </w:tc>
        <w:tc>
          <w:tcPr>
            <w:tcW w:w="1914" w:type="dxa"/>
            <w:vAlign w:val="center"/>
          </w:tcPr>
          <w:p w14:paraId="13C814E5" w14:textId="3F63596A" w:rsidR="00DF5372" w:rsidRPr="006070EA" w:rsidRDefault="00066294" w:rsidP="009E07E1">
            <w:pPr>
              <w:spacing w:after="0" w:line="240" w:lineRule="auto"/>
              <w:jc w:val="center"/>
              <w:rPr>
                <w:rFonts w:asciiTheme="majorHAnsi" w:hAnsiTheme="majorHAnsi" w:cstheme="majorHAnsi"/>
                <w:b/>
                <w:snapToGrid w:val="0"/>
                <w:sz w:val="18"/>
                <w:szCs w:val="18"/>
              </w:rPr>
            </w:pPr>
            <w:r w:rsidRPr="006070EA">
              <w:rPr>
                <w:rFonts w:asciiTheme="majorHAnsi" w:hAnsiTheme="majorHAnsi" w:cstheme="majorHAnsi"/>
                <w:b/>
                <w:snapToGrid w:val="0"/>
                <w:sz w:val="18"/>
                <w:szCs w:val="18"/>
              </w:rPr>
              <w:t>98</w:t>
            </w:r>
          </w:p>
        </w:tc>
        <w:tc>
          <w:tcPr>
            <w:tcW w:w="4394" w:type="dxa"/>
            <w:vAlign w:val="center"/>
          </w:tcPr>
          <w:p w14:paraId="7DD65DDE" w14:textId="77777777" w:rsidR="00DF5372" w:rsidRPr="006070EA" w:rsidRDefault="00DF5372" w:rsidP="009E07E1">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w:t>
            </w:r>
          </w:p>
        </w:tc>
      </w:tr>
      <w:tr w:rsidR="00F75D8C" w:rsidRPr="006070EA" w14:paraId="15AD160B" w14:textId="77777777" w:rsidTr="009D4634">
        <w:trPr>
          <w:trHeight w:val="283"/>
        </w:trPr>
        <w:tc>
          <w:tcPr>
            <w:tcW w:w="2764" w:type="dxa"/>
            <w:vAlign w:val="center"/>
          </w:tcPr>
          <w:p w14:paraId="4D25E945" w14:textId="1D364265" w:rsidR="00DF5372" w:rsidRPr="006070EA" w:rsidRDefault="005E10B5" w:rsidP="009E07E1">
            <w:pPr>
              <w:pStyle w:val="Zkladntext2"/>
              <w:spacing w:after="0" w:line="240" w:lineRule="auto"/>
              <w:rPr>
                <w:rFonts w:asciiTheme="majorHAnsi" w:hAnsiTheme="majorHAnsi" w:cstheme="majorHAnsi"/>
                <w:i/>
                <w:sz w:val="18"/>
                <w:szCs w:val="18"/>
              </w:rPr>
            </w:pPr>
            <w:r w:rsidRPr="006070EA">
              <w:rPr>
                <w:rFonts w:asciiTheme="majorHAnsi" w:hAnsiTheme="majorHAnsi" w:cstheme="majorHAnsi"/>
                <w:i/>
                <w:sz w:val="18"/>
                <w:szCs w:val="18"/>
              </w:rPr>
              <w:t>2</w:t>
            </w:r>
            <w:r w:rsidR="00EB7975" w:rsidRPr="006070EA">
              <w:rPr>
                <w:rFonts w:asciiTheme="majorHAnsi" w:hAnsiTheme="majorHAnsi" w:cstheme="majorHAnsi"/>
                <w:i/>
                <w:sz w:val="18"/>
                <w:szCs w:val="18"/>
              </w:rPr>
              <w:t>0</w:t>
            </w:r>
            <w:r w:rsidR="0033322E" w:rsidRPr="006070EA">
              <w:rPr>
                <w:rFonts w:asciiTheme="majorHAnsi" w:hAnsiTheme="majorHAnsi" w:cstheme="majorHAnsi"/>
                <w:i/>
                <w:sz w:val="18"/>
                <w:szCs w:val="18"/>
              </w:rPr>
              <w:t>% rezerva</w:t>
            </w:r>
          </w:p>
        </w:tc>
        <w:tc>
          <w:tcPr>
            <w:tcW w:w="1914" w:type="dxa"/>
            <w:vAlign w:val="center"/>
          </w:tcPr>
          <w:p w14:paraId="4272C832" w14:textId="613E0DE0" w:rsidR="00DF5372" w:rsidRPr="006070EA" w:rsidRDefault="005E10B5" w:rsidP="00452D5C">
            <w:pPr>
              <w:spacing w:after="0" w:line="240" w:lineRule="auto"/>
              <w:jc w:val="center"/>
              <w:rPr>
                <w:rFonts w:asciiTheme="majorHAnsi" w:hAnsiTheme="majorHAnsi" w:cstheme="majorHAnsi"/>
                <w:snapToGrid w:val="0"/>
                <w:sz w:val="18"/>
                <w:szCs w:val="18"/>
              </w:rPr>
            </w:pPr>
            <w:r w:rsidRPr="006070EA">
              <w:rPr>
                <w:rFonts w:asciiTheme="majorHAnsi" w:hAnsiTheme="majorHAnsi" w:cstheme="majorHAnsi"/>
                <w:snapToGrid w:val="0"/>
                <w:sz w:val="18"/>
                <w:szCs w:val="18"/>
              </w:rPr>
              <w:t>20</w:t>
            </w:r>
          </w:p>
        </w:tc>
        <w:tc>
          <w:tcPr>
            <w:tcW w:w="4394" w:type="dxa"/>
            <w:vAlign w:val="center"/>
          </w:tcPr>
          <w:p w14:paraId="4876EE9F" w14:textId="77777777" w:rsidR="00DF5372" w:rsidRPr="006070EA" w:rsidRDefault="0033322E" w:rsidP="009E07E1">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rezerva je stanovena v souvislosti s možnou vlastnickou nedostupností pozemků, např. vlivem nezájmu vlastníků využít případně nabídnout pozemky pro obytnou výstavbu, vlivem dědických nebo jiných řízení při majetkoprávních změnách</w:t>
            </w:r>
          </w:p>
        </w:tc>
      </w:tr>
      <w:tr w:rsidR="00F75D8C" w:rsidRPr="006070EA" w14:paraId="7C890FA2" w14:textId="77777777" w:rsidTr="009D4634">
        <w:trPr>
          <w:trHeight w:val="283"/>
        </w:trPr>
        <w:tc>
          <w:tcPr>
            <w:tcW w:w="2764" w:type="dxa"/>
            <w:vAlign w:val="center"/>
          </w:tcPr>
          <w:p w14:paraId="2C335407" w14:textId="77777777" w:rsidR="00DF5372" w:rsidRPr="006070EA" w:rsidRDefault="00DF5372" w:rsidP="009E07E1">
            <w:pPr>
              <w:pStyle w:val="Zkladntext2"/>
              <w:spacing w:after="0" w:line="240" w:lineRule="auto"/>
              <w:rPr>
                <w:rFonts w:asciiTheme="majorHAnsi" w:hAnsiTheme="majorHAnsi" w:cstheme="majorHAnsi"/>
                <w:b/>
                <w:i/>
                <w:sz w:val="18"/>
                <w:szCs w:val="18"/>
              </w:rPr>
            </w:pPr>
            <w:r w:rsidRPr="006070EA">
              <w:rPr>
                <w:rFonts w:asciiTheme="majorHAnsi" w:hAnsiTheme="majorHAnsi" w:cstheme="majorHAnsi"/>
                <w:b/>
                <w:i/>
                <w:sz w:val="18"/>
                <w:szCs w:val="18"/>
              </w:rPr>
              <w:t>celková potřeba nových bytů</w:t>
            </w:r>
          </w:p>
        </w:tc>
        <w:tc>
          <w:tcPr>
            <w:tcW w:w="1914" w:type="dxa"/>
            <w:vAlign w:val="center"/>
          </w:tcPr>
          <w:p w14:paraId="482B5494" w14:textId="3ED3F93C" w:rsidR="00DF5372" w:rsidRPr="006070EA" w:rsidRDefault="00066294" w:rsidP="008449DE">
            <w:pPr>
              <w:spacing w:after="0" w:line="240" w:lineRule="auto"/>
              <w:jc w:val="center"/>
              <w:rPr>
                <w:rFonts w:asciiTheme="majorHAnsi" w:hAnsiTheme="majorHAnsi" w:cstheme="majorHAnsi"/>
                <w:b/>
                <w:snapToGrid w:val="0"/>
                <w:sz w:val="18"/>
                <w:szCs w:val="18"/>
              </w:rPr>
            </w:pPr>
            <w:r w:rsidRPr="006070EA">
              <w:rPr>
                <w:rFonts w:asciiTheme="majorHAnsi" w:hAnsiTheme="majorHAnsi" w:cstheme="majorHAnsi"/>
                <w:b/>
                <w:snapToGrid w:val="0"/>
                <w:sz w:val="18"/>
                <w:szCs w:val="18"/>
              </w:rPr>
              <w:t>1</w:t>
            </w:r>
            <w:r w:rsidR="005E10B5" w:rsidRPr="006070EA">
              <w:rPr>
                <w:rFonts w:asciiTheme="majorHAnsi" w:hAnsiTheme="majorHAnsi" w:cstheme="majorHAnsi"/>
                <w:b/>
                <w:snapToGrid w:val="0"/>
                <w:sz w:val="18"/>
                <w:szCs w:val="18"/>
              </w:rPr>
              <w:t>1</w:t>
            </w:r>
            <w:r w:rsidRPr="006070EA">
              <w:rPr>
                <w:rFonts w:asciiTheme="majorHAnsi" w:hAnsiTheme="majorHAnsi" w:cstheme="majorHAnsi"/>
                <w:b/>
                <w:snapToGrid w:val="0"/>
                <w:sz w:val="18"/>
                <w:szCs w:val="18"/>
              </w:rPr>
              <w:t>8</w:t>
            </w:r>
          </w:p>
        </w:tc>
        <w:tc>
          <w:tcPr>
            <w:tcW w:w="4394" w:type="dxa"/>
            <w:vAlign w:val="center"/>
          </w:tcPr>
          <w:p w14:paraId="415888E8" w14:textId="77777777" w:rsidR="009F1979" w:rsidRPr="006070EA" w:rsidRDefault="008449DE" w:rsidP="009E07E1">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w:t>
            </w:r>
          </w:p>
        </w:tc>
      </w:tr>
    </w:tbl>
    <w:p w14:paraId="3129B483" w14:textId="5A96AC11" w:rsidR="00DF5372" w:rsidRPr="006070EA" w:rsidRDefault="00DF5372" w:rsidP="00654835">
      <w:pPr>
        <w:pStyle w:val="Atext"/>
        <w:keepNext/>
        <w:rPr>
          <w:rFonts w:asciiTheme="majorHAnsi" w:hAnsiTheme="majorHAnsi" w:cstheme="majorHAnsi"/>
          <w:szCs w:val="18"/>
        </w:rPr>
      </w:pPr>
      <w:r w:rsidRPr="006070EA">
        <w:rPr>
          <w:rFonts w:asciiTheme="majorHAnsi" w:hAnsiTheme="majorHAnsi" w:cstheme="majorHAnsi"/>
          <w:szCs w:val="18"/>
        </w:rPr>
        <w:t>V následujícím přehledu je konfrontována vyhodnocená potřeba vymezení zastavitelných ploch a</w:t>
      </w:r>
      <w:r w:rsidR="0033322E" w:rsidRPr="006070EA">
        <w:rPr>
          <w:rFonts w:asciiTheme="majorHAnsi" w:hAnsiTheme="majorHAnsi" w:cstheme="majorHAnsi"/>
          <w:szCs w:val="18"/>
        </w:rPr>
        <w:t> </w:t>
      </w:r>
      <w:r w:rsidRPr="006070EA">
        <w:rPr>
          <w:rFonts w:asciiTheme="majorHAnsi" w:hAnsiTheme="majorHAnsi" w:cstheme="majorHAnsi"/>
          <w:szCs w:val="18"/>
        </w:rPr>
        <w:t xml:space="preserve">rozsah zastavitelných ploch bydlení v ÚP </w:t>
      </w:r>
      <w:r w:rsidR="00F75D8C" w:rsidRPr="006070EA">
        <w:rPr>
          <w:rFonts w:asciiTheme="majorHAnsi" w:hAnsiTheme="majorHAnsi" w:cstheme="majorHAnsi"/>
          <w:szCs w:val="18"/>
        </w:rPr>
        <w:t>Kostomlaty nad Labem</w:t>
      </w:r>
      <w:r w:rsidRPr="006070EA">
        <w:rPr>
          <w:rFonts w:asciiTheme="majorHAnsi" w:hAnsiTheme="majorHAnsi" w:cstheme="majorHAnsi"/>
          <w:szCs w:val="18"/>
        </w:rPr>
        <w:t xml:space="preserve">: </w:t>
      </w:r>
    </w:p>
    <w:tbl>
      <w:tblPr>
        <w:tblW w:w="9072" w:type="dxa"/>
        <w:tblInd w:w="108" w:type="dxa"/>
        <w:tblBorders>
          <w:insideH w:val="single" w:sz="4" w:space="0" w:color="auto"/>
          <w:insideV w:val="single" w:sz="4" w:space="0" w:color="auto"/>
        </w:tblBorders>
        <w:tblLook w:val="04A0" w:firstRow="1" w:lastRow="0" w:firstColumn="1" w:lastColumn="0" w:noHBand="0" w:noVBand="1"/>
      </w:tblPr>
      <w:tblGrid>
        <w:gridCol w:w="7938"/>
        <w:gridCol w:w="1134"/>
      </w:tblGrid>
      <w:tr w:rsidR="00A10CD0" w:rsidRPr="00A76411" w14:paraId="3ECEE51A" w14:textId="77777777" w:rsidTr="001610B6">
        <w:trPr>
          <w:cantSplit/>
          <w:trHeight w:val="283"/>
        </w:trPr>
        <w:tc>
          <w:tcPr>
            <w:tcW w:w="7938" w:type="dxa"/>
            <w:tcBorders>
              <w:top w:val="nil"/>
              <w:left w:val="nil"/>
              <w:bottom w:val="single" w:sz="12" w:space="0" w:color="auto"/>
              <w:right w:val="single" w:sz="12" w:space="0" w:color="auto"/>
            </w:tcBorders>
            <w:vAlign w:val="center"/>
          </w:tcPr>
          <w:p w14:paraId="27FEC668" w14:textId="389EFCF7" w:rsidR="00DF5372" w:rsidRPr="00A76411" w:rsidRDefault="00DF5372" w:rsidP="009E07E1">
            <w:pPr>
              <w:keepNext/>
              <w:spacing w:after="0" w:line="240" w:lineRule="auto"/>
              <w:rPr>
                <w:rFonts w:asciiTheme="majorHAnsi" w:hAnsiTheme="majorHAnsi" w:cstheme="majorHAnsi"/>
                <w:b/>
                <w:i/>
                <w:snapToGrid w:val="0"/>
                <w:sz w:val="18"/>
                <w:szCs w:val="18"/>
              </w:rPr>
            </w:pPr>
            <w:r w:rsidRPr="00A76411">
              <w:rPr>
                <w:rFonts w:asciiTheme="majorHAnsi" w:hAnsiTheme="majorHAnsi" w:cstheme="majorHAnsi"/>
                <w:b/>
                <w:i/>
                <w:snapToGrid w:val="0"/>
                <w:sz w:val="18"/>
                <w:szCs w:val="18"/>
              </w:rPr>
              <w:t xml:space="preserve">rozsah </w:t>
            </w:r>
            <w:r w:rsidR="00452D5C" w:rsidRPr="00A76411">
              <w:rPr>
                <w:rFonts w:asciiTheme="majorHAnsi" w:hAnsiTheme="majorHAnsi" w:cstheme="majorHAnsi"/>
                <w:b/>
                <w:i/>
                <w:snapToGrid w:val="0"/>
                <w:sz w:val="18"/>
                <w:szCs w:val="18"/>
              </w:rPr>
              <w:t>rozvojových</w:t>
            </w:r>
            <w:r w:rsidRPr="00A76411">
              <w:rPr>
                <w:rFonts w:asciiTheme="majorHAnsi" w:hAnsiTheme="majorHAnsi" w:cstheme="majorHAnsi"/>
                <w:b/>
                <w:i/>
                <w:snapToGrid w:val="0"/>
                <w:sz w:val="18"/>
                <w:szCs w:val="18"/>
              </w:rPr>
              <w:t xml:space="preserve"> ploch </w:t>
            </w:r>
            <w:r w:rsidR="00452D5C" w:rsidRPr="00A76411">
              <w:rPr>
                <w:rFonts w:asciiTheme="majorHAnsi" w:hAnsiTheme="majorHAnsi" w:cstheme="majorHAnsi"/>
                <w:b/>
                <w:i/>
                <w:snapToGrid w:val="0"/>
                <w:sz w:val="18"/>
                <w:szCs w:val="18"/>
              </w:rPr>
              <w:t xml:space="preserve">pro bydlení </w:t>
            </w:r>
            <w:r w:rsidRPr="00A76411">
              <w:rPr>
                <w:rFonts w:asciiTheme="majorHAnsi" w:hAnsiTheme="majorHAnsi" w:cstheme="majorHAnsi"/>
                <w:b/>
                <w:i/>
                <w:snapToGrid w:val="0"/>
                <w:sz w:val="18"/>
                <w:szCs w:val="18"/>
              </w:rPr>
              <w:t xml:space="preserve">v ÚP </w:t>
            </w:r>
            <w:r w:rsidR="00F75D8C" w:rsidRPr="00A76411">
              <w:rPr>
                <w:rFonts w:asciiTheme="majorHAnsi" w:hAnsiTheme="majorHAnsi" w:cstheme="majorHAnsi"/>
                <w:b/>
                <w:i/>
                <w:snapToGrid w:val="0"/>
                <w:sz w:val="18"/>
                <w:szCs w:val="18"/>
              </w:rPr>
              <w:t>Kostomlaty nad Labem</w:t>
            </w:r>
            <w:r w:rsidRPr="00A76411">
              <w:rPr>
                <w:rFonts w:asciiTheme="majorHAnsi" w:hAnsiTheme="majorHAnsi" w:cstheme="majorHAnsi"/>
                <w:b/>
                <w:i/>
                <w:snapToGrid w:val="0"/>
                <w:sz w:val="18"/>
                <w:szCs w:val="18"/>
              </w:rPr>
              <w:t xml:space="preserve"> (</w:t>
            </w:r>
            <w:r w:rsidR="0033322E" w:rsidRPr="00A76411">
              <w:rPr>
                <w:rFonts w:asciiTheme="majorHAnsi" w:hAnsiTheme="majorHAnsi" w:cstheme="majorHAnsi"/>
                <w:b/>
                <w:i/>
                <w:snapToGrid w:val="0"/>
                <w:sz w:val="18"/>
                <w:szCs w:val="18"/>
              </w:rPr>
              <w:t>m</w:t>
            </w:r>
            <w:r w:rsidR="0033322E" w:rsidRPr="00A76411">
              <w:rPr>
                <w:rFonts w:asciiTheme="majorHAnsi" w:hAnsiTheme="majorHAnsi" w:cstheme="majorHAnsi"/>
                <w:b/>
                <w:i/>
                <w:snapToGrid w:val="0"/>
                <w:sz w:val="18"/>
                <w:szCs w:val="18"/>
                <w:vertAlign w:val="superscript"/>
              </w:rPr>
              <w:t>2</w:t>
            </w:r>
            <w:r w:rsidRPr="00A76411">
              <w:rPr>
                <w:rFonts w:asciiTheme="majorHAnsi" w:hAnsiTheme="majorHAnsi" w:cstheme="majorHAnsi"/>
                <w:b/>
                <w:i/>
                <w:snapToGrid w:val="0"/>
                <w:sz w:val="18"/>
                <w:szCs w:val="18"/>
              </w:rPr>
              <w:t>)</w:t>
            </w:r>
          </w:p>
          <w:p w14:paraId="740E3BD3" w14:textId="0998EF2E" w:rsidR="00DF5372" w:rsidRPr="00A76411" w:rsidRDefault="00DF5372" w:rsidP="009E07E1">
            <w:pPr>
              <w:keepNext/>
              <w:spacing w:after="0" w:line="240" w:lineRule="auto"/>
              <w:rPr>
                <w:rFonts w:asciiTheme="majorHAnsi" w:hAnsiTheme="majorHAnsi" w:cstheme="majorHAnsi"/>
                <w:i/>
                <w:sz w:val="18"/>
                <w:szCs w:val="18"/>
              </w:rPr>
            </w:pPr>
            <w:r w:rsidRPr="00A76411">
              <w:rPr>
                <w:rFonts w:asciiTheme="majorHAnsi" w:hAnsiTheme="majorHAnsi" w:cstheme="majorHAnsi"/>
                <w:i/>
                <w:snapToGrid w:val="0"/>
                <w:sz w:val="18"/>
                <w:szCs w:val="18"/>
              </w:rPr>
              <w:t>(započtena je celková výměra zastavitelných ploch zařazených do ploch s rozdílným způsobem využití B</w:t>
            </w:r>
            <w:r w:rsidR="00F75D8C" w:rsidRPr="00A76411">
              <w:rPr>
                <w:rFonts w:asciiTheme="majorHAnsi" w:hAnsiTheme="majorHAnsi" w:cstheme="majorHAnsi"/>
                <w:i/>
                <w:snapToGrid w:val="0"/>
                <w:sz w:val="18"/>
                <w:szCs w:val="18"/>
              </w:rPr>
              <w:t>I</w:t>
            </w:r>
            <w:r w:rsidRPr="00A76411">
              <w:rPr>
                <w:rFonts w:asciiTheme="majorHAnsi" w:hAnsiTheme="majorHAnsi" w:cstheme="majorHAnsi"/>
                <w:i/>
                <w:snapToGrid w:val="0"/>
                <w:sz w:val="18"/>
                <w:szCs w:val="18"/>
              </w:rPr>
              <w:t xml:space="preserve"> – bydlení – v rodinných domech – </w:t>
            </w:r>
            <w:r w:rsidR="00F75D8C" w:rsidRPr="00A76411">
              <w:rPr>
                <w:rFonts w:asciiTheme="majorHAnsi" w:hAnsiTheme="majorHAnsi" w:cstheme="majorHAnsi"/>
                <w:i/>
                <w:snapToGrid w:val="0"/>
                <w:sz w:val="18"/>
                <w:szCs w:val="18"/>
              </w:rPr>
              <w:t xml:space="preserve">městské a příměstské </w:t>
            </w:r>
            <w:r w:rsidR="00891241" w:rsidRPr="00A76411">
              <w:rPr>
                <w:rFonts w:asciiTheme="majorHAnsi" w:hAnsiTheme="majorHAnsi" w:cstheme="majorHAnsi"/>
                <w:i/>
                <w:snapToGrid w:val="0"/>
                <w:sz w:val="18"/>
                <w:szCs w:val="18"/>
              </w:rPr>
              <w:t>a SV – smíšené obytné – venkovské</w:t>
            </w:r>
            <w:r w:rsidRPr="00A76411">
              <w:rPr>
                <w:rFonts w:asciiTheme="majorHAnsi" w:hAnsiTheme="majorHAnsi" w:cstheme="majorHAnsi"/>
                <w:i/>
                <w:snapToGrid w:val="0"/>
                <w:sz w:val="18"/>
                <w:szCs w:val="18"/>
              </w:rPr>
              <w:t>)</w:t>
            </w:r>
          </w:p>
        </w:tc>
        <w:tc>
          <w:tcPr>
            <w:tcW w:w="1134" w:type="dxa"/>
            <w:tcBorders>
              <w:top w:val="nil"/>
              <w:left w:val="single" w:sz="12" w:space="0" w:color="auto"/>
              <w:bottom w:val="single" w:sz="4" w:space="0" w:color="auto"/>
            </w:tcBorders>
            <w:vAlign w:val="center"/>
          </w:tcPr>
          <w:p w14:paraId="611A08C2" w14:textId="24392C72" w:rsidR="00DF5372" w:rsidRPr="00A76411" w:rsidRDefault="00DD53D3" w:rsidP="009E07E1">
            <w:pPr>
              <w:keepNext/>
              <w:spacing w:after="0" w:line="240" w:lineRule="auto"/>
              <w:jc w:val="center"/>
              <w:rPr>
                <w:rFonts w:asciiTheme="majorHAnsi" w:hAnsiTheme="majorHAnsi" w:cstheme="majorHAnsi"/>
                <w:b/>
                <w:snapToGrid w:val="0"/>
                <w:sz w:val="18"/>
                <w:szCs w:val="18"/>
              </w:rPr>
            </w:pPr>
            <w:r w:rsidRPr="00A76411">
              <w:rPr>
                <w:rFonts w:asciiTheme="majorHAnsi" w:hAnsiTheme="majorHAnsi" w:cstheme="majorHAnsi"/>
                <w:b/>
                <w:snapToGrid w:val="0"/>
                <w:sz w:val="18"/>
                <w:szCs w:val="18"/>
              </w:rPr>
              <w:t>183 226</w:t>
            </w:r>
          </w:p>
        </w:tc>
      </w:tr>
      <w:tr w:rsidR="00A10CD0" w:rsidRPr="00A76411" w14:paraId="35F8AE7C" w14:textId="77777777" w:rsidTr="001610B6">
        <w:trPr>
          <w:cantSplit/>
          <w:trHeight w:val="283"/>
        </w:trPr>
        <w:tc>
          <w:tcPr>
            <w:tcW w:w="7938" w:type="dxa"/>
            <w:tcBorders>
              <w:top w:val="single" w:sz="12" w:space="0" w:color="auto"/>
              <w:bottom w:val="single" w:sz="12" w:space="0" w:color="auto"/>
              <w:right w:val="single" w:sz="12" w:space="0" w:color="auto"/>
            </w:tcBorders>
            <w:vAlign w:val="center"/>
          </w:tcPr>
          <w:p w14:paraId="2237DC21" w14:textId="77777777" w:rsidR="00DF5372" w:rsidRPr="00A76411" w:rsidRDefault="00DF5372" w:rsidP="009E07E1">
            <w:pPr>
              <w:pStyle w:val="Zkladntext2"/>
              <w:spacing w:after="0" w:line="240" w:lineRule="auto"/>
              <w:rPr>
                <w:rFonts w:asciiTheme="majorHAnsi" w:hAnsiTheme="majorHAnsi" w:cstheme="majorHAnsi"/>
                <w:b/>
                <w:i/>
                <w:sz w:val="18"/>
                <w:szCs w:val="18"/>
              </w:rPr>
            </w:pPr>
            <w:r w:rsidRPr="00A76411">
              <w:rPr>
                <w:rFonts w:asciiTheme="majorHAnsi" w:hAnsiTheme="majorHAnsi" w:cstheme="majorHAnsi"/>
                <w:b/>
                <w:i/>
                <w:sz w:val="18"/>
                <w:szCs w:val="18"/>
              </w:rPr>
              <w:t>rozsah zastavitelných ploch využitelný pro výstavbu RD (</w:t>
            </w:r>
            <w:r w:rsidR="004A734E" w:rsidRPr="00A76411">
              <w:rPr>
                <w:rFonts w:asciiTheme="majorHAnsi" w:hAnsiTheme="majorHAnsi" w:cstheme="majorHAnsi"/>
                <w:b/>
                <w:i/>
                <w:snapToGrid w:val="0"/>
                <w:sz w:val="18"/>
                <w:szCs w:val="18"/>
              </w:rPr>
              <w:t>m</w:t>
            </w:r>
            <w:r w:rsidR="004A734E" w:rsidRPr="00A76411">
              <w:rPr>
                <w:rFonts w:asciiTheme="majorHAnsi" w:hAnsiTheme="majorHAnsi" w:cstheme="majorHAnsi"/>
                <w:b/>
                <w:i/>
                <w:snapToGrid w:val="0"/>
                <w:sz w:val="18"/>
                <w:szCs w:val="18"/>
                <w:vertAlign w:val="superscript"/>
              </w:rPr>
              <w:t>2</w:t>
            </w:r>
            <w:r w:rsidRPr="00A76411">
              <w:rPr>
                <w:rFonts w:asciiTheme="majorHAnsi" w:hAnsiTheme="majorHAnsi" w:cstheme="majorHAnsi"/>
                <w:b/>
                <w:i/>
                <w:sz w:val="18"/>
                <w:szCs w:val="18"/>
              </w:rPr>
              <w:t>)</w:t>
            </w:r>
          </w:p>
          <w:p w14:paraId="5404B4FB" w14:textId="77777777" w:rsidR="00DF5372" w:rsidRPr="00A76411" w:rsidRDefault="00DF5372" w:rsidP="00EB7975">
            <w:pPr>
              <w:pStyle w:val="Zkladntext2"/>
              <w:spacing w:after="0" w:line="240" w:lineRule="auto"/>
              <w:rPr>
                <w:rFonts w:asciiTheme="majorHAnsi" w:hAnsiTheme="majorHAnsi" w:cstheme="majorHAnsi"/>
                <w:i/>
                <w:sz w:val="18"/>
                <w:szCs w:val="18"/>
              </w:rPr>
            </w:pPr>
            <w:r w:rsidRPr="00A76411">
              <w:rPr>
                <w:rFonts w:asciiTheme="majorHAnsi" w:hAnsiTheme="majorHAnsi" w:cstheme="majorHAnsi"/>
                <w:i/>
                <w:sz w:val="18"/>
                <w:szCs w:val="18"/>
              </w:rPr>
              <w:t>(</w:t>
            </w:r>
            <w:r w:rsidR="00EB7975" w:rsidRPr="00A76411">
              <w:rPr>
                <w:rFonts w:asciiTheme="majorHAnsi" w:hAnsiTheme="majorHAnsi" w:cstheme="majorHAnsi"/>
                <w:i/>
                <w:sz w:val="18"/>
                <w:szCs w:val="18"/>
              </w:rPr>
              <w:t>70</w:t>
            </w:r>
            <w:r w:rsidR="0033322E" w:rsidRPr="00A76411">
              <w:rPr>
                <w:rFonts w:asciiTheme="majorHAnsi" w:hAnsiTheme="majorHAnsi" w:cstheme="majorHAnsi"/>
                <w:i/>
                <w:sz w:val="18"/>
                <w:szCs w:val="18"/>
              </w:rPr>
              <w:t xml:space="preserve"> </w:t>
            </w:r>
            <w:r w:rsidRPr="00A76411">
              <w:rPr>
                <w:rFonts w:asciiTheme="majorHAnsi" w:hAnsiTheme="majorHAnsi" w:cstheme="majorHAnsi"/>
                <w:i/>
                <w:sz w:val="18"/>
                <w:szCs w:val="18"/>
              </w:rPr>
              <w:t xml:space="preserve">% z celkového rozsahu; </w:t>
            </w:r>
            <w:r w:rsidR="00891241" w:rsidRPr="00A76411">
              <w:rPr>
                <w:rFonts w:asciiTheme="majorHAnsi" w:hAnsiTheme="majorHAnsi" w:cstheme="majorHAnsi"/>
                <w:i/>
                <w:sz w:val="18"/>
                <w:szCs w:val="18"/>
              </w:rPr>
              <w:t>3</w:t>
            </w:r>
            <w:r w:rsidRPr="00A76411">
              <w:rPr>
                <w:rFonts w:asciiTheme="majorHAnsi" w:hAnsiTheme="majorHAnsi" w:cstheme="majorHAnsi"/>
                <w:i/>
                <w:sz w:val="18"/>
                <w:szCs w:val="18"/>
              </w:rPr>
              <w:t>0</w:t>
            </w:r>
            <w:r w:rsidR="0033322E" w:rsidRPr="00A76411">
              <w:rPr>
                <w:rFonts w:asciiTheme="majorHAnsi" w:hAnsiTheme="majorHAnsi" w:cstheme="majorHAnsi"/>
                <w:i/>
                <w:sz w:val="18"/>
                <w:szCs w:val="18"/>
              </w:rPr>
              <w:t xml:space="preserve"> </w:t>
            </w:r>
            <w:r w:rsidRPr="00A76411">
              <w:rPr>
                <w:rFonts w:asciiTheme="majorHAnsi" w:hAnsiTheme="majorHAnsi" w:cstheme="majorHAnsi"/>
                <w:i/>
                <w:sz w:val="18"/>
                <w:szCs w:val="18"/>
              </w:rPr>
              <w:t>% bude využito pro související stavby a zařízení – přístupové komunikace, veřejná prostranství, technickou infrastrukturu, veřejnou, ochrannou či izolační zeleň, případně drobná zařízení občanského vybavení)</w:t>
            </w:r>
          </w:p>
        </w:tc>
        <w:tc>
          <w:tcPr>
            <w:tcW w:w="1134" w:type="dxa"/>
            <w:tcBorders>
              <w:top w:val="single" w:sz="4" w:space="0" w:color="auto"/>
              <w:left w:val="single" w:sz="12" w:space="0" w:color="auto"/>
              <w:bottom w:val="single" w:sz="4" w:space="0" w:color="auto"/>
            </w:tcBorders>
            <w:vAlign w:val="center"/>
          </w:tcPr>
          <w:p w14:paraId="539FD69A" w14:textId="2E4B9096" w:rsidR="00DF5372" w:rsidRPr="00A76411" w:rsidRDefault="00BD56A8" w:rsidP="009E07E1">
            <w:pPr>
              <w:spacing w:after="0" w:line="240" w:lineRule="auto"/>
              <w:jc w:val="center"/>
              <w:rPr>
                <w:rFonts w:asciiTheme="majorHAnsi" w:hAnsiTheme="majorHAnsi" w:cstheme="majorHAnsi"/>
                <w:b/>
                <w:snapToGrid w:val="0"/>
                <w:sz w:val="18"/>
                <w:szCs w:val="18"/>
              </w:rPr>
            </w:pPr>
            <w:r w:rsidRPr="00A76411">
              <w:rPr>
                <w:rFonts w:asciiTheme="majorHAnsi" w:hAnsiTheme="majorHAnsi" w:cstheme="majorHAnsi"/>
                <w:b/>
                <w:snapToGrid w:val="0"/>
                <w:sz w:val="18"/>
                <w:szCs w:val="18"/>
              </w:rPr>
              <w:t>12</w:t>
            </w:r>
            <w:r w:rsidR="00DD53D3" w:rsidRPr="00A76411">
              <w:rPr>
                <w:rFonts w:asciiTheme="majorHAnsi" w:hAnsiTheme="majorHAnsi" w:cstheme="majorHAnsi"/>
                <w:b/>
                <w:snapToGrid w:val="0"/>
                <w:sz w:val="18"/>
                <w:szCs w:val="18"/>
              </w:rPr>
              <w:t>8</w:t>
            </w:r>
            <w:r w:rsidRPr="00A76411">
              <w:rPr>
                <w:rFonts w:asciiTheme="majorHAnsi" w:hAnsiTheme="majorHAnsi" w:cstheme="majorHAnsi"/>
                <w:b/>
                <w:snapToGrid w:val="0"/>
                <w:sz w:val="18"/>
                <w:szCs w:val="18"/>
              </w:rPr>
              <w:t xml:space="preserve"> </w:t>
            </w:r>
            <w:r w:rsidR="00DD53D3" w:rsidRPr="00A76411">
              <w:rPr>
                <w:rFonts w:asciiTheme="majorHAnsi" w:hAnsiTheme="majorHAnsi" w:cstheme="majorHAnsi"/>
                <w:b/>
                <w:snapToGrid w:val="0"/>
                <w:sz w:val="18"/>
                <w:szCs w:val="18"/>
              </w:rPr>
              <w:t>258</w:t>
            </w:r>
          </w:p>
        </w:tc>
      </w:tr>
      <w:tr w:rsidR="00A10CD0" w:rsidRPr="00A76411" w14:paraId="6CBA02B7" w14:textId="77777777" w:rsidTr="001610B6">
        <w:trPr>
          <w:cantSplit/>
          <w:trHeight w:val="283"/>
        </w:trPr>
        <w:tc>
          <w:tcPr>
            <w:tcW w:w="7938" w:type="dxa"/>
            <w:tcBorders>
              <w:top w:val="single" w:sz="12" w:space="0" w:color="auto"/>
              <w:bottom w:val="single" w:sz="12" w:space="0" w:color="auto"/>
              <w:right w:val="single" w:sz="12" w:space="0" w:color="auto"/>
            </w:tcBorders>
            <w:vAlign w:val="center"/>
          </w:tcPr>
          <w:p w14:paraId="204A8B0A" w14:textId="764654C8" w:rsidR="00DF5372" w:rsidRPr="00A76411" w:rsidRDefault="00DF5372" w:rsidP="009E07E1">
            <w:pPr>
              <w:pStyle w:val="Zkladntext2"/>
              <w:spacing w:after="0" w:line="240" w:lineRule="auto"/>
              <w:rPr>
                <w:rFonts w:asciiTheme="majorHAnsi" w:hAnsiTheme="majorHAnsi" w:cstheme="majorHAnsi"/>
                <w:b/>
                <w:i/>
                <w:sz w:val="18"/>
                <w:szCs w:val="18"/>
              </w:rPr>
            </w:pPr>
            <w:r w:rsidRPr="00A76411">
              <w:rPr>
                <w:rFonts w:asciiTheme="majorHAnsi" w:hAnsiTheme="majorHAnsi" w:cstheme="majorHAnsi"/>
                <w:b/>
                <w:i/>
                <w:sz w:val="18"/>
                <w:szCs w:val="18"/>
              </w:rPr>
              <w:t>průměrná výměra pozemku pro výstavbu 1 bytu, resp. 1 RD (</w:t>
            </w:r>
            <w:r w:rsidR="004A734E" w:rsidRPr="00A76411">
              <w:rPr>
                <w:rFonts w:asciiTheme="majorHAnsi" w:hAnsiTheme="majorHAnsi" w:cstheme="majorHAnsi"/>
                <w:b/>
                <w:i/>
                <w:snapToGrid w:val="0"/>
                <w:sz w:val="18"/>
                <w:szCs w:val="18"/>
              </w:rPr>
              <w:t>m</w:t>
            </w:r>
            <w:r w:rsidR="004A734E" w:rsidRPr="00A76411">
              <w:rPr>
                <w:rFonts w:asciiTheme="majorHAnsi" w:hAnsiTheme="majorHAnsi" w:cstheme="majorHAnsi"/>
                <w:b/>
                <w:i/>
                <w:snapToGrid w:val="0"/>
                <w:sz w:val="18"/>
                <w:szCs w:val="18"/>
                <w:vertAlign w:val="superscript"/>
              </w:rPr>
              <w:t>2</w:t>
            </w:r>
            <w:r w:rsidRPr="00A76411">
              <w:rPr>
                <w:rFonts w:asciiTheme="majorHAnsi" w:hAnsiTheme="majorHAnsi" w:cstheme="majorHAnsi"/>
                <w:b/>
                <w:i/>
                <w:sz w:val="18"/>
                <w:szCs w:val="18"/>
              </w:rPr>
              <w:t>)</w:t>
            </w:r>
            <w:r w:rsidR="00EB7975" w:rsidRPr="00A76411">
              <w:rPr>
                <w:rFonts w:asciiTheme="majorHAnsi" w:hAnsiTheme="majorHAnsi" w:cstheme="majorHAnsi"/>
                <w:b/>
                <w:i/>
                <w:sz w:val="18"/>
                <w:szCs w:val="18"/>
              </w:rPr>
              <w:t xml:space="preserve"> v plochách B</w:t>
            </w:r>
            <w:r w:rsidR="00A10CD0" w:rsidRPr="00A76411">
              <w:rPr>
                <w:rFonts w:asciiTheme="majorHAnsi" w:hAnsiTheme="majorHAnsi" w:cstheme="majorHAnsi"/>
                <w:b/>
                <w:i/>
                <w:sz w:val="18"/>
                <w:szCs w:val="18"/>
              </w:rPr>
              <w:t>I</w:t>
            </w:r>
            <w:r w:rsidR="00EB7975" w:rsidRPr="00A76411">
              <w:rPr>
                <w:rFonts w:asciiTheme="majorHAnsi" w:hAnsiTheme="majorHAnsi" w:cstheme="majorHAnsi"/>
                <w:b/>
                <w:i/>
                <w:sz w:val="18"/>
                <w:szCs w:val="18"/>
              </w:rPr>
              <w:t xml:space="preserve"> a SV</w:t>
            </w:r>
          </w:p>
          <w:p w14:paraId="66C4B6C1" w14:textId="0E81638F" w:rsidR="00DF5372" w:rsidRPr="00A76411" w:rsidRDefault="00DF5372" w:rsidP="00EB7975">
            <w:pPr>
              <w:pStyle w:val="Zkladntext2"/>
              <w:spacing w:after="0" w:line="240" w:lineRule="auto"/>
              <w:rPr>
                <w:rFonts w:asciiTheme="majorHAnsi" w:hAnsiTheme="majorHAnsi" w:cstheme="majorHAnsi"/>
                <w:i/>
                <w:sz w:val="18"/>
                <w:szCs w:val="18"/>
              </w:rPr>
            </w:pPr>
            <w:r w:rsidRPr="00A76411">
              <w:rPr>
                <w:rFonts w:asciiTheme="majorHAnsi" w:hAnsiTheme="majorHAnsi" w:cstheme="majorHAnsi"/>
                <w:i/>
                <w:sz w:val="18"/>
                <w:szCs w:val="18"/>
              </w:rPr>
              <w:t xml:space="preserve">(s ohledem na charakter sídla </w:t>
            </w:r>
            <w:r w:rsidR="00A10CD0" w:rsidRPr="00A76411">
              <w:rPr>
                <w:rFonts w:asciiTheme="majorHAnsi" w:hAnsiTheme="majorHAnsi" w:cstheme="majorHAnsi"/>
                <w:i/>
                <w:sz w:val="18"/>
                <w:szCs w:val="18"/>
              </w:rPr>
              <w:t>Kostomlaty nad Labem</w:t>
            </w:r>
            <w:r w:rsidRPr="00A76411">
              <w:rPr>
                <w:rFonts w:asciiTheme="majorHAnsi" w:hAnsiTheme="majorHAnsi" w:cstheme="majorHAnsi"/>
                <w:i/>
                <w:sz w:val="18"/>
                <w:szCs w:val="18"/>
              </w:rPr>
              <w:t xml:space="preserve"> a vývojové trendy v oblasti bydlení je uvažováno s výstavbou nových bytů pouze ve formě rodinných domů s jed</w:t>
            </w:r>
            <w:r w:rsidR="003E2427" w:rsidRPr="00A76411">
              <w:rPr>
                <w:rFonts w:asciiTheme="majorHAnsi" w:hAnsiTheme="majorHAnsi" w:cstheme="majorHAnsi"/>
                <w:i/>
                <w:sz w:val="18"/>
                <w:szCs w:val="18"/>
              </w:rPr>
              <w:t>nou bytovou jednotkou, se</w:t>
            </w:r>
            <w:r w:rsidRPr="00A76411">
              <w:rPr>
                <w:rFonts w:asciiTheme="majorHAnsi" w:hAnsiTheme="majorHAnsi" w:cstheme="majorHAnsi"/>
                <w:i/>
                <w:sz w:val="18"/>
                <w:szCs w:val="18"/>
              </w:rPr>
              <w:t xml:space="preserve"> zahradou zahrnující také případné hospodářské zázemí</w:t>
            </w:r>
            <w:r w:rsidR="00A10CD0" w:rsidRPr="00A76411">
              <w:rPr>
                <w:rFonts w:asciiTheme="majorHAnsi" w:hAnsiTheme="majorHAnsi" w:cstheme="majorHAnsi"/>
                <w:i/>
                <w:sz w:val="18"/>
                <w:szCs w:val="18"/>
              </w:rPr>
              <w:t xml:space="preserve"> – v případě ploch SV</w:t>
            </w:r>
            <w:r w:rsidRPr="00A76411">
              <w:rPr>
                <w:rFonts w:asciiTheme="majorHAnsi" w:hAnsiTheme="majorHAnsi" w:cstheme="majorHAnsi"/>
                <w:i/>
                <w:sz w:val="18"/>
                <w:szCs w:val="18"/>
              </w:rPr>
              <w:t>)</w:t>
            </w:r>
          </w:p>
        </w:tc>
        <w:tc>
          <w:tcPr>
            <w:tcW w:w="1134" w:type="dxa"/>
            <w:tcBorders>
              <w:top w:val="single" w:sz="4" w:space="0" w:color="auto"/>
              <w:left w:val="single" w:sz="12" w:space="0" w:color="auto"/>
              <w:bottom w:val="single" w:sz="4" w:space="0" w:color="auto"/>
            </w:tcBorders>
            <w:vAlign w:val="center"/>
          </w:tcPr>
          <w:p w14:paraId="23A3E5D4" w14:textId="77E7BEA5" w:rsidR="00DF5372" w:rsidRPr="00A76411" w:rsidRDefault="00EB7975" w:rsidP="00452D5C">
            <w:pPr>
              <w:spacing w:after="0" w:line="240" w:lineRule="auto"/>
              <w:jc w:val="center"/>
              <w:rPr>
                <w:rFonts w:asciiTheme="majorHAnsi" w:hAnsiTheme="majorHAnsi" w:cstheme="majorHAnsi"/>
                <w:b/>
                <w:snapToGrid w:val="0"/>
                <w:sz w:val="18"/>
                <w:szCs w:val="18"/>
              </w:rPr>
            </w:pPr>
            <w:r w:rsidRPr="00A76411">
              <w:rPr>
                <w:rFonts w:asciiTheme="majorHAnsi" w:hAnsiTheme="majorHAnsi" w:cstheme="majorHAnsi"/>
                <w:b/>
                <w:snapToGrid w:val="0"/>
                <w:sz w:val="18"/>
                <w:szCs w:val="18"/>
              </w:rPr>
              <w:t>1 </w:t>
            </w:r>
            <w:r w:rsidR="00A10CD0" w:rsidRPr="00A76411">
              <w:rPr>
                <w:rFonts w:asciiTheme="majorHAnsi" w:hAnsiTheme="majorHAnsi" w:cstheme="majorHAnsi"/>
                <w:b/>
                <w:snapToGrid w:val="0"/>
                <w:sz w:val="18"/>
                <w:szCs w:val="18"/>
              </w:rPr>
              <w:t>000</w:t>
            </w:r>
            <w:r w:rsidRPr="00A76411">
              <w:rPr>
                <w:rFonts w:asciiTheme="majorHAnsi" w:hAnsiTheme="majorHAnsi" w:cstheme="majorHAnsi"/>
                <w:b/>
                <w:snapToGrid w:val="0"/>
                <w:sz w:val="18"/>
                <w:szCs w:val="18"/>
              </w:rPr>
              <w:t xml:space="preserve"> (</w:t>
            </w:r>
            <w:r w:rsidR="00BD56A8" w:rsidRPr="00A76411">
              <w:rPr>
                <w:rFonts w:asciiTheme="majorHAnsi" w:hAnsiTheme="majorHAnsi" w:cstheme="majorHAnsi"/>
                <w:b/>
                <w:snapToGrid w:val="0"/>
                <w:sz w:val="18"/>
                <w:szCs w:val="18"/>
              </w:rPr>
              <w:t>BI</w:t>
            </w:r>
            <w:r w:rsidRPr="00A76411">
              <w:rPr>
                <w:rFonts w:asciiTheme="majorHAnsi" w:hAnsiTheme="majorHAnsi" w:cstheme="majorHAnsi"/>
                <w:b/>
                <w:snapToGrid w:val="0"/>
                <w:sz w:val="18"/>
                <w:szCs w:val="18"/>
              </w:rPr>
              <w:t>)</w:t>
            </w:r>
          </w:p>
          <w:p w14:paraId="61B4B614" w14:textId="6B62F6C6" w:rsidR="00EB7975" w:rsidRPr="00A76411" w:rsidRDefault="00A10CD0" w:rsidP="00452D5C">
            <w:pPr>
              <w:spacing w:after="0" w:line="240" w:lineRule="auto"/>
              <w:jc w:val="center"/>
              <w:rPr>
                <w:rFonts w:asciiTheme="majorHAnsi" w:hAnsiTheme="majorHAnsi" w:cstheme="majorHAnsi"/>
                <w:b/>
                <w:snapToGrid w:val="0"/>
                <w:sz w:val="18"/>
                <w:szCs w:val="18"/>
              </w:rPr>
            </w:pPr>
            <w:r w:rsidRPr="00A76411">
              <w:rPr>
                <w:rFonts w:asciiTheme="majorHAnsi" w:hAnsiTheme="majorHAnsi" w:cstheme="majorHAnsi"/>
                <w:b/>
                <w:snapToGrid w:val="0"/>
                <w:sz w:val="18"/>
                <w:szCs w:val="18"/>
              </w:rPr>
              <w:t>1 500</w:t>
            </w:r>
            <w:r w:rsidR="00EB7975" w:rsidRPr="00A76411">
              <w:rPr>
                <w:rFonts w:asciiTheme="majorHAnsi" w:hAnsiTheme="majorHAnsi" w:cstheme="majorHAnsi"/>
                <w:b/>
                <w:snapToGrid w:val="0"/>
                <w:sz w:val="18"/>
                <w:szCs w:val="18"/>
              </w:rPr>
              <w:t xml:space="preserve"> (SV)</w:t>
            </w:r>
          </w:p>
        </w:tc>
      </w:tr>
      <w:tr w:rsidR="00A10CD0" w:rsidRPr="006070EA" w14:paraId="2D54966E" w14:textId="77777777" w:rsidTr="001610B6">
        <w:trPr>
          <w:cantSplit/>
          <w:trHeight w:val="283"/>
        </w:trPr>
        <w:tc>
          <w:tcPr>
            <w:tcW w:w="7938" w:type="dxa"/>
            <w:tcBorders>
              <w:top w:val="single" w:sz="12" w:space="0" w:color="auto"/>
              <w:bottom w:val="nil"/>
              <w:right w:val="single" w:sz="12" w:space="0" w:color="auto"/>
            </w:tcBorders>
            <w:vAlign w:val="center"/>
          </w:tcPr>
          <w:p w14:paraId="37072470" w14:textId="77777777" w:rsidR="00DF5372" w:rsidRPr="00A76411" w:rsidRDefault="00DF5372" w:rsidP="009E07E1">
            <w:pPr>
              <w:pStyle w:val="Zkladntext2"/>
              <w:spacing w:after="0" w:line="240" w:lineRule="auto"/>
              <w:rPr>
                <w:rFonts w:asciiTheme="majorHAnsi" w:hAnsiTheme="majorHAnsi" w:cstheme="majorHAnsi"/>
                <w:b/>
                <w:i/>
                <w:sz w:val="18"/>
                <w:szCs w:val="18"/>
              </w:rPr>
            </w:pPr>
            <w:r w:rsidRPr="00A76411">
              <w:rPr>
                <w:rFonts w:asciiTheme="majorHAnsi" w:hAnsiTheme="majorHAnsi" w:cstheme="majorHAnsi"/>
                <w:b/>
                <w:i/>
                <w:sz w:val="18"/>
                <w:szCs w:val="18"/>
              </w:rPr>
              <w:t>počet pozemků pro výstavbu bytů, resp. RD ve využitelném rozsahu zastavitelných ploch (počet RD)</w:t>
            </w:r>
          </w:p>
        </w:tc>
        <w:tc>
          <w:tcPr>
            <w:tcW w:w="1134" w:type="dxa"/>
            <w:tcBorders>
              <w:top w:val="single" w:sz="4" w:space="0" w:color="auto"/>
              <w:left w:val="single" w:sz="12" w:space="0" w:color="auto"/>
              <w:bottom w:val="nil"/>
            </w:tcBorders>
            <w:vAlign w:val="center"/>
          </w:tcPr>
          <w:p w14:paraId="0BEDBA6D" w14:textId="0437D22E" w:rsidR="00DF5372" w:rsidRPr="00A76411" w:rsidRDefault="00E4183C" w:rsidP="009E07E1">
            <w:pPr>
              <w:spacing w:after="0" w:line="240" w:lineRule="auto"/>
              <w:jc w:val="center"/>
              <w:rPr>
                <w:rFonts w:asciiTheme="majorHAnsi" w:hAnsiTheme="majorHAnsi" w:cstheme="majorHAnsi"/>
                <w:b/>
                <w:snapToGrid w:val="0"/>
                <w:sz w:val="18"/>
                <w:szCs w:val="18"/>
              </w:rPr>
            </w:pPr>
            <w:r w:rsidRPr="00A76411">
              <w:rPr>
                <w:rFonts w:asciiTheme="majorHAnsi" w:hAnsiTheme="majorHAnsi" w:cstheme="majorHAnsi"/>
                <w:b/>
                <w:snapToGrid w:val="0"/>
                <w:sz w:val="18"/>
                <w:szCs w:val="18"/>
              </w:rPr>
              <w:t>108</w:t>
            </w:r>
          </w:p>
          <w:p w14:paraId="3C095A16" w14:textId="28C566E5" w:rsidR="00A6707D" w:rsidRPr="00A76411" w:rsidRDefault="00A6707D" w:rsidP="00A6707D">
            <w:pPr>
              <w:spacing w:after="0" w:line="240" w:lineRule="auto"/>
              <w:jc w:val="center"/>
              <w:rPr>
                <w:rFonts w:asciiTheme="majorHAnsi" w:hAnsiTheme="majorHAnsi" w:cstheme="majorHAnsi"/>
                <w:snapToGrid w:val="0"/>
                <w:sz w:val="18"/>
                <w:szCs w:val="18"/>
              </w:rPr>
            </w:pPr>
            <w:r w:rsidRPr="00A76411">
              <w:rPr>
                <w:rFonts w:asciiTheme="majorHAnsi" w:hAnsiTheme="majorHAnsi" w:cstheme="majorHAnsi"/>
                <w:snapToGrid w:val="0"/>
                <w:sz w:val="18"/>
                <w:szCs w:val="18"/>
              </w:rPr>
              <w:t>(</w:t>
            </w:r>
            <w:r w:rsidR="00BD56A8" w:rsidRPr="00A76411">
              <w:rPr>
                <w:rFonts w:asciiTheme="majorHAnsi" w:hAnsiTheme="majorHAnsi" w:cstheme="majorHAnsi"/>
                <w:snapToGrid w:val="0"/>
                <w:sz w:val="18"/>
                <w:szCs w:val="18"/>
              </w:rPr>
              <w:t>6</w:t>
            </w:r>
            <w:r w:rsidR="00E4183C" w:rsidRPr="00A76411">
              <w:rPr>
                <w:rFonts w:asciiTheme="majorHAnsi" w:hAnsiTheme="majorHAnsi" w:cstheme="majorHAnsi"/>
                <w:snapToGrid w:val="0"/>
                <w:sz w:val="18"/>
                <w:szCs w:val="18"/>
              </w:rPr>
              <w:t>9</w:t>
            </w:r>
            <w:r w:rsidR="00BD56A8" w:rsidRPr="00A76411">
              <w:rPr>
                <w:rFonts w:asciiTheme="majorHAnsi" w:hAnsiTheme="majorHAnsi" w:cstheme="majorHAnsi"/>
                <w:snapToGrid w:val="0"/>
                <w:sz w:val="18"/>
                <w:szCs w:val="18"/>
              </w:rPr>
              <w:t xml:space="preserve"> </w:t>
            </w:r>
            <w:r w:rsidRPr="00A76411">
              <w:rPr>
                <w:rFonts w:asciiTheme="majorHAnsi" w:hAnsiTheme="majorHAnsi" w:cstheme="majorHAnsi"/>
                <w:snapToGrid w:val="0"/>
                <w:sz w:val="18"/>
                <w:szCs w:val="18"/>
              </w:rPr>
              <w:t>v B</w:t>
            </w:r>
            <w:r w:rsidR="00A10CD0" w:rsidRPr="00A76411">
              <w:rPr>
                <w:rFonts w:asciiTheme="majorHAnsi" w:hAnsiTheme="majorHAnsi" w:cstheme="majorHAnsi"/>
                <w:snapToGrid w:val="0"/>
                <w:sz w:val="18"/>
                <w:szCs w:val="18"/>
              </w:rPr>
              <w:t>I</w:t>
            </w:r>
          </w:p>
          <w:p w14:paraId="280D9D34" w14:textId="5A8F5ABC" w:rsidR="00A6707D" w:rsidRPr="006070EA" w:rsidRDefault="00A6707D" w:rsidP="00A6707D">
            <w:pPr>
              <w:spacing w:after="0" w:line="240" w:lineRule="auto"/>
              <w:jc w:val="center"/>
              <w:rPr>
                <w:rFonts w:asciiTheme="majorHAnsi" w:hAnsiTheme="majorHAnsi" w:cstheme="majorHAnsi"/>
                <w:snapToGrid w:val="0"/>
                <w:sz w:val="18"/>
                <w:szCs w:val="18"/>
              </w:rPr>
            </w:pPr>
            <w:r w:rsidRPr="00A76411">
              <w:rPr>
                <w:rFonts w:asciiTheme="majorHAnsi" w:hAnsiTheme="majorHAnsi" w:cstheme="majorHAnsi"/>
                <w:snapToGrid w:val="0"/>
                <w:sz w:val="18"/>
                <w:szCs w:val="18"/>
              </w:rPr>
              <w:t xml:space="preserve"> </w:t>
            </w:r>
            <w:r w:rsidR="00BD56A8" w:rsidRPr="00A76411">
              <w:rPr>
                <w:rFonts w:asciiTheme="majorHAnsi" w:hAnsiTheme="majorHAnsi" w:cstheme="majorHAnsi"/>
                <w:snapToGrid w:val="0"/>
                <w:sz w:val="18"/>
                <w:szCs w:val="18"/>
              </w:rPr>
              <w:t>3</w:t>
            </w:r>
            <w:r w:rsidR="00E4183C" w:rsidRPr="00A76411">
              <w:rPr>
                <w:rFonts w:asciiTheme="majorHAnsi" w:hAnsiTheme="majorHAnsi" w:cstheme="majorHAnsi"/>
                <w:snapToGrid w:val="0"/>
                <w:sz w:val="18"/>
                <w:szCs w:val="18"/>
              </w:rPr>
              <w:t>9</w:t>
            </w:r>
            <w:r w:rsidR="00BD56A8" w:rsidRPr="00A76411">
              <w:rPr>
                <w:rFonts w:asciiTheme="majorHAnsi" w:hAnsiTheme="majorHAnsi" w:cstheme="majorHAnsi"/>
                <w:snapToGrid w:val="0"/>
                <w:sz w:val="18"/>
                <w:szCs w:val="18"/>
              </w:rPr>
              <w:t xml:space="preserve"> </w:t>
            </w:r>
            <w:r w:rsidRPr="00A76411">
              <w:rPr>
                <w:rFonts w:asciiTheme="majorHAnsi" w:hAnsiTheme="majorHAnsi" w:cstheme="majorHAnsi"/>
                <w:snapToGrid w:val="0"/>
                <w:sz w:val="18"/>
                <w:szCs w:val="18"/>
              </w:rPr>
              <w:t>v SV)</w:t>
            </w:r>
          </w:p>
        </w:tc>
      </w:tr>
    </w:tbl>
    <w:p w14:paraId="211BB8D4" w14:textId="77777777" w:rsidR="00EB7975" w:rsidRPr="006070EA" w:rsidRDefault="00EB7975" w:rsidP="00EB7975">
      <w:pPr>
        <w:pStyle w:val="Atext"/>
        <w:ind w:firstLine="0"/>
        <w:rPr>
          <w:rFonts w:asciiTheme="majorHAnsi" w:hAnsiTheme="majorHAnsi" w:cstheme="majorHAnsi"/>
          <w:b/>
          <w:szCs w:val="18"/>
          <w:u w:val="single"/>
        </w:rPr>
      </w:pPr>
      <w:r w:rsidRPr="006070EA">
        <w:rPr>
          <w:rFonts w:asciiTheme="majorHAnsi" w:hAnsiTheme="majorHAnsi" w:cstheme="majorHAnsi"/>
          <w:b/>
          <w:szCs w:val="18"/>
          <w:u w:val="single"/>
        </w:rPr>
        <w:t>Závěr:</w:t>
      </w:r>
    </w:p>
    <w:p w14:paraId="3F8E5FB4" w14:textId="6C86DBAA" w:rsidR="00DF5372" w:rsidRPr="006070EA" w:rsidRDefault="00DF5372" w:rsidP="00426848">
      <w:pPr>
        <w:pStyle w:val="Atext"/>
        <w:rPr>
          <w:rFonts w:asciiTheme="majorHAnsi" w:hAnsiTheme="majorHAnsi" w:cstheme="majorHAnsi"/>
          <w:szCs w:val="18"/>
        </w:rPr>
      </w:pPr>
      <w:r w:rsidRPr="006070EA">
        <w:rPr>
          <w:rFonts w:asciiTheme="majorHAnsi" w:hAnsiTheme="majorHAnsi" w:cstheme="majorHAnsi"/>
          <w:szCs w:val="18"/>
        </w:rPr>
        <w:t xml:space="preserve">Rozsah zastavitelných ploch v ÚP </w:t>
      </w:r>
      <w:r w:rsidR="00066294" w:rsidRPr="006070EA">
        <w:rPr>
          <w:rFonts w:asciiTheme="majorHAnsi" w:hAnsiTheme="majorHAnsi" w:cstheme="majorHAnsi"/>
          <w:szCs w:val="18"/>
        </w:rPr>
        <w:t>Kostomlaty nad Labem</w:t>
      </w:r>
      <w:r w:rsidR="00EB7975" w:rsidRPr="006070EA">
        <w:rPr>
          <w:rFonts w:asciiTheme="majorHAnsi" w:hAnsiTheme="majorHAnsi" w:cstheme="majorHAnsi"/>
          <w:szCs w:val="18"/>
        </w:rPr>
        <w:t xml:space="preserve"> </w:t>
      </w:r>
      <w:r w:rsidR="00066294" w:rsidRPr="006070EA">
        <w:rPr>
          <w:rFonts w:asciiTheme="majorHAnsi" w:hAnsiTheme="majorHAnsi" w:cstheme="majorHAnsi"/>
          <w:szCs w:val="18"/>
        </w:rPr>
        <w:t xml:space="preserve">téměř odpovídá </w:t>
      </w:r>
      <w:r w:rsidRPr="006070EA">
        <w:rPr>
          <w:rFonts w:asciiTheme="majorHAnsi" w:hAnsiTheme="majorHAnsi" w:cstheme="majorHAnsi"/>
          <w:szCs w:val="18"/>
        </w:rPr>
        <w:t>identifikovan</w:t>
      </w:r>
      <w:r w:rsidR="00066294" w:rsidRPr="006070EA">
        <w:rPr>
          <w:rFonts w:asciiTheme="majorHAnsi" w:hAnsiTheme="majorHAnsi" w:cstheme="majorHAnsi"/>
          <w:szCs w:val="18"/>
        </w:rPr>
        <w:t>é</w:t>
      </w:r>
      <w:r w:rsidRPr="006070EA">
        <w:rPr>
          <w:rFonts w:asciiTheme="majorHAnsi" w:hAnsiTheme="majorHAnsi" w:cstheme="majorHAnsi"/>
          <w:szCs w:val="18"/>
        </w:rPr>
        <w:t xml:space="preserve"> potřeb</w:t>
      </w:r>
      <w:r w:rsidR="00066294" w:rsidRPr="006070EA">
        <w:rPr>
          <w:rFonts w:asciiTheme="majorHAnsi" w:hAnsiTheme="majorHAnsi" w:cstheme="majorHAnsi"/>
          <w:szCs w:val="18"/>
        </w:rPr>
        <w:t>ě</w:t>
      </w:r>
      <w:r w:rsidR="00EB7975" w:rsidRPr="006070EA">
        <w:rPr>
          <w:rFonts w:asciiTheme="majorHAnsi" w:hAnsiTheme="majorHAnsi" w:cstheme="majorHAnsi"/>
          <w:szCs w:val="18"/>
        </w:rPr>
        <w:t xml:space="preserve"> </w:t>
      </w:r>
      <w:r w:rsidRPr="006070EA">
        <w:rPr>
          <w:rFonts w:asciiTheme="majorHAnsi" w:hAnsiTheme="majorHAnsi" w:cstheme="majorHAnsi"/>
          <w:szCs w:val="18"/>
        </w:rPr>
        <w:t>vymezení zastavitelných ploch.</w:t>
      </w:r>
      <w:r w:rsidR="00452D5C" w:rsidRPr="006070EA">
        <w:rPr>
          <w:rFonts w:asciiTheme="majorHAnsi" w:hAnsiTheme="majorHAnsi" w:cstheme="majorHAnsi"/>
          <w:szCs w:val="18"/>
        </w:rPr>
        <w:t xml:space="preserve"> Územní plán prověřil plochy, vymezené za účelem výstavby v platné ÚPD a</w:t>
      </w:r>
      <w:r w:rsidR="004A734E" w:rsidRPr="006070EA">
        <w:rPr>
          <w:rFonts w:asciiTheme="majorHAnsi" w:hAnsiTheme="majorHAnsi" w:cstheme="majorHAnsi"/>
          <w:szCs w:val="18"/>
        </w:rPr>
        <w:t> </w:t>
      </w:r>
      <w:r w:rsidR="00066294" w:rsidRPr="006070EA">
        <w:rPr>
          <w:rFonts w:asciiTheme="majorHAnsi" w:hAnsiTheme="majorHAnsi" w:cstheme="majorHAnsi"/>
          <w:szCs w:val="18"/>
        </w:rPr>
        <w:t>ty, které nebyly dosud využity, přebírá do svého řešení</w:t>
      </w:r>
      <w:r w:rsidR="00452D5C" w:rsidRPr="006070EA">
        <w:rPr>
          <w:rFonts w:asciiTheme="majorHAnsi" w:hAnsiTheme="majorHAnsi" w:cstheme="majorHAnsi"/>
          <w:szCs w:val="18"/>
        </w:rPr>
        <w:t>. Dále byly při vymezování zastavitelných ploch zohledněny aktuální požadavky zájemců o</w:t>
      </w:r>
      <w:r w:rsidR="00066294" w:rsidRPr="006070EA">
        <w:rPr>
          <w:rFonts w:asciiTheme="majorHAnsi" w:hAnsiTheme="majorHAnsi" w:cstheme="majorHAnsi"/>
          <w:szCs w:val="18"/>
        </w:rPr>
        <w:t> </w:t>
      </w:r>
      <w:r w:rsidR="00452D5C" w:rsidRPr="006070EA">
        <w:rPr>
          <w:rFonts w:asciiTheme="majorHAnsi" w:hAnsiTheme="majorHAnsi" w:cstheme="majorHAnsi"/>
          <w:szCs w:val="18"/>
        </w:rPr>
        <w:t>bydlení v</w:t>
      </w:r>
      <w:r w:rsidR="00066294" w:rsidRPr="006070EA">
        <w:rPr>
          <w:rFonts w:asciiTheme="majorHAnsi" w:hAnsiTheme="majorHAnsi" w:cstheme="majorHAnsi"/>
          <w:szCs w:val="18"/>
        </w:rPr>
        <w:t xml:space="preserve"> území </w:t>
      </w:r>
      <w:r w:rsidR="00452D5C" w:rsidRPr="006070EA">
        <w:rPr>
          <w:rFonts w:asciiTheme="majorHAnsi" w:hAnsiTheme="majorHAnsi" w:cstheme="majorHAnsi"/>
          <w:szCs w:val="18"/>
        </w:rPr>
        <w:t xml:space="preserve">v souladu se strategií místní samosprávy. </w:t>
      </w:r>
      <w:r w:rsidR="00F10A03" w:rsidRPr="006070EA">
        <w:rPr>
          <w:rFonts w:asciiTheme="majorHAnsi" w:hAnsiTheme="majorHAnsi" w:cstheme="majorHAnsi"/>
          <w:szCs w:val="18"/>
        </w:rPr>
        <w:t>V rámci vymezování zastavitelných ploch byl zároveň kladen důraz na kompaktnost síd</w:t>
      </w:r>
      <w:r w:rsidR="00066294" w:rsidRPr="006070EA">
        <w:rPr>
          <w:rFonts w:asciiTheme="majorHAnsi" w:hAnsiTheme="majorHAnsi" w:cstheme="majorHAnsi"/>
          <w:szCs w:val="18"/>
        </w:rPr>
        <w:t>el</w:t>
      </w:r>
      <w:r w:rsidR="00F10A03" w:rsidRPr="006070EA">
        <w:rPr>
          <w:rFonts w:asciiTheme="majorHAnsi" w:hAnsiTheme="majorHAnsi" w:cstheme="majorHAnsi"/>
          <w:szCs w:val="18"/>
        </w:rPr>
        <w:t xml:space="preserve">, vhodné doplnění zastavěného území ve snaze o vytvoření funkčního a vzájemně propojeného </w:t>
      </w:r>
      <w:r w:rsidR="00A565A3" w:rsidRPr="006070EA">
        <w:rPr>
          <w:rFonts w:asciiTheme="majorHAnsi" w:hAnsiTheme="majorHAnsi" w:cstheme="majorHAnsi"/>
          <w:szCs w:val="18"/>
        </w:rPr>
        <w:t xml:space="preserve">urbanistického </w:t>
      </w:r>
      <w:r w:rsidR="00F10A03" w:rsidRPr="006070EA">
        <w:rPr>
          <w:rFonts w:asciiTheme="majorHAnsi" w:hAnsiTheme="majorHAnsi" w:cstheme="majorHAnsi"/>
          <w:szCs w:val="18"/>
        </w:rPr>
        <w:t xml:space="preserve">systému. </w:t>
      </w:r>
    </w:p>
    <w:p w14:paraId="53FA4931" w14:textId="77777777" w:rsidR="00BA6341" w:rsidRPr="006070EA" w:rsidRDefault="00BA6341" w:rsidP="0028473C">
      <w:pPr>
        <w:keepNext/>
        <w:keepLines/>
        <w:suppressAutoHyphens/>
        <w:spacing w:before="120" w:after="120" w:line="240" w:lineRule="auto"/>
        <w:jc w:val="both"/>
        <w:rPr>
          <w:rFonts w:asciiTheme="majorHAnsi" w:eastAsia="Calibri" w:hAnsiTheme="majorHAnsi" w:cstheme="majorHAnsi"/>
          <w:b/>
          <w:snapToGrid w:val="0"/>
          <w:sz w:val="20"/>
          <w:szCs w:val="18"/>
          <w:lang w:eastAsia="ar-SA"/>
        </w:rPr>
      </w:pPr>
      <w:bookmarkStart w:id="191" w:name="_Toc424119817"/>
      <w:r w:rsidRPr="006070EA">
        <w:rPr>
          <w:rFonts w:asciiTheme="majorHAnsi" w:eastAsia="Calibri" w:hAnsiTheme="majorHAnsi" w:cstheme="majorHAnsi"/>
          <w:b/>
          <w:snapToGrid w:val="0"/>
          <w:sz w:val="20"/>
          <w:szCs w:val="18"/>
          <w:lang w:eastAsia="ar-SA"/>
        </w:rPr>
        <w:lastRenderedPageBreak/>
        <w:t xml:space="preserve">Vyhodnocení potřeby vymezení ostatních zastavitelných ploch </w:t>
      </w:r>
    </w:p>
    <w:p w14:paraId="43D6BD9C" w14:textId="77777777" w:rsidR="004A734E" w:rsidRPr="006070EA" w:rsidRDefault="008473EB" w:rsidP="0028473C">
      <w:pPr>
        <w:keepNext/>
        <w:keepLines/>
        <w:spacing w:before="120" w:after="120"/>
        <w:ind w:firstLine="709"/>
        <w:jc w:val="both"/>
        <w:rPr>
          <w:rFonts w:asciiTheme="majorHAnsi" w:hAnsiTheme="majorHAnsi" w:cstheme="majorHAnsi"/>
          <w:sz w:val="18"/>
          <w:szCs w:val="18"/>
        </w:rPr>
      </w:pPr>
      <w:r w:rsidRPr="006070EA">
        <w:rPr>
          <w:rFonts w:asciiTheme="majorHAnsi" w:hAnsiTheme="majorHAnsi" w:cstheme="majorHAnsi"/>
          <w:sz w:val="18"/>
          <w:szCs w:val="18"/>
        </w:rPr>
        <w:t>V řešeném území jsou formou stabilizovaných ploch potvrzeny existující fu</w:t>
      </w:r>
      <w:r w:rsidR="00FF422E" w:rsidRPr="006070EA">
        <w:rPr>
          <w:rFonts w:asciiTheme="majorHAnsi" w:hAnsiTheme="majorHAnsi" w:cstheme="majorHAnsi"/>
          <w:sz w:val="18"/>
          <w:szCs w:val="18"/>
        </w:rPr>
        <w:t xml:space="preserve">nkce využití jednotlivých ploch, </w:t>
      </w:r>
      <w:r w:rsidR="004A734E" w:rsidRPr="006070EA">
        <w:rPr>
          <w:rFonts w:asciiTheme="majorHAnsi" w:hAnsiTheme="majorHAnsi" w:cstheme="majorHAnsi"/>
          <w:sz w:val="18"/>
          <w:szCs w:val="18"/>
        </w:rPr>
        <w:t>zejména</w:t>
      </w:r>
      <w:r w:rsidR="00301D89" w:rsidRPr="006070EA">
        <w:rPr>
          <w:rFonts w:asciiTheme="majorHAnsi" w:hAnsiTheme="majorHAnsi" w:cstheme="majorHAnsi"/>
          <w:sz w:val="18"/>
          <w:szCs w:val="18"/>
        </w:rPr>
        <w:t> </w:t>
      </w:r>
      <w:r w:rsidRPr="006070EA">
        <w:rPr>
          <w:rFonts w:asciiTheme="majorHAnsi" w:hAnsiTheme="majorHAnsi" w:cstheme="majorHAnsi"/>
          <w:sz w:val="18"/>
          <w:szCs w:val="18"/>
        </w:rPr>
        <w:t>plochy občanského vybavení, plochy výrobní</w:t>
      </w:r>
      <w:r w:rsidR="004A734E" w:rsidRPr="006070EA">
        <w:rPr>
          <w:rFonts w:asciiTheme="majorHAnsi" w:hAnsiTheme="majorHAnsi" w:cstheme="majorHAnsi"/>
          <w:sz w:val="18"/>
          <w:szCs w:val="18"/>
        </w:rPr>
        <w:t xml:space="preserve"> a skladování</w:t>
      </w:r>
      <w:r w:rsidRPr="006070EA">
        <w:rPr>
          <w:rFonts w:asciiTheme="majorHAnsi" w:hAnsiTheme="majorHAnsi" w:cstheme="majorHAnsi"/>
          <w:sz w:val="18"/>
          <w:szCs w:val="18"/>
        </w:rPr>
        <w:t>,</w:t>
      </w:r>
      <w:r w:rsidR="00301D89" w:rsidRPr="006070EA">
        <w:rPr>
          <w:rFonts w:asciiTheme="majorHAnsi" w:hAnsiTheme="majorHAnsi" w:cstheme="majorHAnsi"/>
          <w:sz w:val="18"/>
          <w:szCs w:val="18"/>
        </w:rPr>
        <w:t xml:space="preserve"> plochy</w:t>
      </w:r>
      <w:r w:rsidRPr="006070EA">
        <w:rPr>
          <w:rFonts w:asciiTheme="majorHAnsi" w:hAnsiTheme="majorHAnsi" w:cstheme="majorHAnsi"/>
          <w:sz w:val="18"/>
          <w:szCs w:val="18"/>
        </w:rPr>
        <w:t xml:space="preserve"> dopravní </w:t>
      </w:r>
      <w:r w:rsidR="004A734E" w:rsidRPr="006070EA">
        <w:rPr>
          <w:rFonts w:asciiTheme="majorHAnsi" w:hAnsiTheme="majorHAnsi" w:cstheme="majorHAnsi"/>
          <w:sz w:val="18"/>
          <w:szCs w:val="18"/>
        </w:rPr>
        <w:t xml:space="preserve">a technické </w:t>
      </w:r>
      <w:r w:rsidRPr="006070EA">
        <w:rPr>
          <w:rFonts w:asciiTheme="majorHAnsi" w:hAnsiTheme="majorHAnsi" w:cstheme="majorHAnsi"/>
          <w:sz w:val="18"/>
          <w:szCs w:val="18"/>
        </w:rPr>
        <w:t>infrastruktury</w:t>
      </w:r>
      <w:r w:rsidR="00301D89" w:rsidRPr="006070EA">
        <w:rPr>
          <w:rFonts w:asciiTheme="majorHAnsi" w:hAnsiTheme="majorHAnsi" w:cstheme="majorHAnsi"/>
          <w:sz w:val="18"/>
          <w:szCs w:val="18"/>
        </w:rPr>
        <w:t>, plochy veřejných prostranství, plochy zeleně</w:t>
      </w:r>
      <w:r w:rsidRPr="006070EA">
        <w:rPr>
          <w:rFonts w:asciiTheme="majorHAnsi" w:hAnsiTheme="majorHAnsi" w:cstheme="majorHAnsi"/>
          <w:sz w:val="18"/>
          <w:szCs w:val="18"/>
        </w:rPr>
        <w:t xml:space="preserve"> ad. </w:t>
      </w:r>
      <w:r w:rsidR="00FF422E" w:rsidRPr="006070EA">
        <w:rPr>
          <w:rFonts w:asciiTheme="majorHAnsi" w:hAnsiTheme="majorHAnsi" w:cstheme="majorHAnsi"/>
          <w:sz w:val="18"/>
          <w:szCs w:val="18"/>
        </w:rPr>
        <w:t>Pro rozvoj těchto funkcí jsou územním plánem vytvořeny podmínky – vymezením zastavitelných ploch</w:t>
      </w:r>
      <w:r w:rsidR="00B1012E" w:rsidRPr="006070EA">
        <w:rPr>
          <w:rFonts w:asciiTheme="majorHAnsi" w:hAnsiTheme="majorHAnsi" w:cstheme="majorHAnsi"/>
          <w:sz w:val="18"/>
          <w:szCs w:val="18"/>
        </w:rPr>
        <w:t xml:space="preserve"> a</w:t>
      </w:r>
      <w:r w:rsidR="00FF422E" w:rsidRPr="006070EA">
        <w:rPr>
          <w:rFonts w:asciiTheme="majorHAnsi" w:hAnsiTheme="majorHAnsi" w:cstheme="majorHAnsi"/>
          <w:sz w:val="18"/>
          <w:szCs w:val="18"/>
        </w:rPr>
        <w:t xml:space="preserve"> umožněním funkcí v rámci stanoveného využití jednotlivých ploch s rozdílným způsobem využití (RZV). Níže uvedená tabulka sumarizuje způsob řešení identifikované potřeby rozvoje jednotlivých funkcí </w:t>
      </w:r>
    </w:p>
    <w:tbl>
      <w:tblPr>
        <w:tblW w:w="9071" w:type="dxa"/>
        <w:jc w:val="center"/>
        <w:tblBorders>
          <w:insideH w:val="single" w:sz="4" w:space="0" w:color="auto"/>
          <w:insideV w:val="single" w:sz="4" w:space="0" w:color="auto"/>
        </w:tblBorders>
        <w:tblLook w:val="04A0" w:firstRow="1" w:lastRow="0" w:firstColumn="1" w:lastColumn="0" w:noHBand="0" w:noVBand="1"/>
      </w:tblPr>
      <w:tblGrid>
        <w:gridCol w:w="2268"/>
        <w:gridCol w:w="6803"/>
      </w:tblGrid>
      <w:tr w:rsidR="00066294" w:rsidRPr="006070EA" w14:paraId="53F40FA9" w14:textId="77777777" w:rsidTr="004E002A">
        <w:trPr>
          <w:cantSplit/>
          <w:trHeight w:val="283"/>
          <w:jc w:val="center"/>
        </w:trPr>
        <w:tc>
          <w:tcPr>
            <w:tcW w:w="2268" w:type="dxa"/>
            <w:tcBorders>
              <w:top w:val="nil"/>
              <w:left w:val="nil"/>
              <w:bottom w:val="single" w:sz="12" w:space="0" w:color="auto"/>
              <w:right w:val="single" w:sz="12" w:space="0" w:color="auto"/>
            </w:tcBorders>
            <w:vAlign w:val="center"/>
          </w:tcPr>
          <w:p w14:paraId="2034D73A" w14:textId="77777777" w:rsidR="00FF422E" w:rsidRPr="006070EA" w:rsidRDefault="00B1012E" w:rsidP="0028473C">
            <w:pPr>
              <w:keepNext/>
              <w:keepLines/>
              <w:spacing w:after="0" w:line="240" w:lineRule="auto"/>
              <w:rPr>
                <w:rFonts w:asciiTheme="majorHAnsi" w:hAnsiTheme="majorHAnsi" w:cstheme="majorHAnsi"/>
                <w:b/>
                <w:i/>
                <w:sz w:val="18"/>
                <w:szCs w:val="18"/>
              </w:rPr>
            </w:pPr>
            <w:r w:rsidRPr="006070EA">
              <w:rPr>
                <w:rFonts w:asciiTheme="majorHAnsi" w:hAnsiTheme="majorHAnsi" w:cstheme="majorHAnsi"/>
                <w:b/>
                <w:i/>
                <w:sz w:val="18"/>
                <w:szCs w:val="18"/>
              </w:rPr>
              <w:t>Plochy pro rozvoj:</w:t>
            </w:r>
          </w:p>
        </w:tc>
        <w:tc>
          <w:tcPr>
            <w:tcW w:w="6803" w:type="dxa"/>
            <w:tcBorders>
              <w:top w:val="nil"/>
              <w:left w:val="single" w:sz="12" w:space="0" w:color="auto"/>
              <w:bottom w:val="single" w:sz="4" w:space="0" w:color="auto"/>
            </w:tcBorders>
            <w:vAlign w:val="center"/>
          </w:tcPr>
          <w:p w14:paraId="26317F79" w14:textId="127C293F" w:rsidR="00FF422E" w:rsidRPr="006070EA" w:rsidRDefault="00B1012E" w:rsidP="0028473C">
            <w:pPr>
              <w:keepNext/>
              <w:keepLines/>
              <w:spacing w:after="0" w:line="240" w:lineRule="auto"/>
              <w:rPr>
                <w:rFonts w:asciiTheme="majorHAnsi" w:hAnsiTheme="majorHAnsi" w:cstheme="majorHAnsi"/>
                <w:b/>
                <w:i/>
                <w:snapToGrid w:val="0"/>
                <w:sz w:val="18"/>
                <w:szCs w:val="18"/>
              </w:rPr>
            </w:pPr>
            <w:r w:rsidRPr="006070EA">
              <w:rPr>
                <w:rFonts w:asciiTheme="majorHAnsi" w:hAnsiTheme="majorHAnsi" w:cstheme="majorHAnsi"/>
                <w:b/>
                <w:i/>
                <w:snapToGrid w:val="0"/>
                <w:sz w:val="18"/>
                <w:szCs w:val="18"/>
              </w:rPr>
              <w:t xml:space="preserve">Potřeba a její naplnění v ÚP </w:t>
            </w:r>
            <w:r w:rsidR="007B2588" w:rsidRPr="006070EA">
              <w:rPr>
                <w:rFonts w:asciiTheme="majorHAnsi" w:hAnsiTheme="majorHAnsi" w:cstheme="majorHAnsi"/>
                <w:b/>
                <w:i/>
                <w:snapToGrid w:val="0"/>
                <w:sz w:val="18"/>
                <w:szCs w:val="18"/>
              </w:rPr>
              <w:t>Kostomlaty nad Labem</w:t>
            </w:r>
          </w:p>
        </w:tc>
      </w:tr>
      <w:tr w:rsidR="00066294" w:rsidRPr="006070EA" w14:paraId="71717E2A" w14:textId="77777777" w:rsidTr="004E002A">
        <w:trPr>
          <w:cantSplit/>
          <w:trHeight w:val="283"/>
          <w:jc w:val="center"/>
        </w:trPr>
        <w:tc>
          <w:tcPr>
            <w:tcW w:w="2268" w:type="dxa"/>
            <w:tcBorders>
              <w:top w:val="nil"/>
              <w:left w:val="nil"/>
              <w:bottom w:val="single" w:sz="12" w:space="0" w:color="auto"/>
              <w:right w:val="single" w:sz="12" w:space="0" w:color="auto"/>
            </w:tcBorders>
            <w:vAlign w:val="center"/>
          </w:tcPr>
          <w:p w14:paraId="05D8FEC1" w14:textId="77777777" w:rsidR="003658C2" w:rsidRPr="006070EA" w:rsidRDefault="0095729A" w:rsidP="00426848">
            <w:pPr>
              <w:spacing w:after="0" w:line="240" w:lineRule="auto"/>
              <w:rPr>
                <w:rFonts w:asciiTheme="majorHAnsi" w:hAnsiTheme="majorHAnsi" w:cstheme="majorHAnsi"/>
                <w:b/>
                <w:i/>
                <w:sz w:val="18"/>
                <w:szCs w:val="18"/>
              </w:rPr>
            </w:pPr>
            <w:r w:rsidRPr="006070EA">
              <w:rPr>
                <w:rFonts w:asciiTheme="majorHAnsi" w:hAnsiTheme="majorHAnsi" w:cstheme="majorHAnsi"/>
                <w:b/>
                <w:i/>
                <w:sz w:val="18"/>
                <w:szCs w:val="18"/>
              </w:rPr>
              <w:t>technické infrastruktury</w:t>
            </w:r>
          </w:p>
        </w:tc>
        <w:tc>
          <w:tcPr>
            <w:tcW w:w="6803" w:type="dxa"/>
            <w:tcBorders>
              <w:top w:val="nil"/>
              <w:left w:val="single" w:sz="12" w:space="0" w:color="auto"/>
              <w:bottom w:val="single" w:sz="4" w:space="0" w:color="auto"/>
            </w:tcBorders>
            <w:vAlign w:val="center"/>
          </w:tcPr>
          <w:p w14:paraId="70B1D627" w14:textId="27CBD97B" w:rsidR="003658C2" w:rsidRPr="006070EA" w:rsidRDefault="0095729A" w:rsidP="0095729A">
            <w:pPr>
              <w:keepNext/>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 vytvoření podmínek pro rozvoj technické vybavenosti na obecní úrovni – zajištění odpovídajícího způsobu </w:t>
            </w:r>
            <w:r w:rsidR="00066294" w:rsidRPr="006070EA">
              <w:rPr>
                <w:rFonts w:asciiTheme="majorHAnsi" w:hAnsiTheme="majorHAnsi" w:cstheme="majorHAnsi"/>
                <w:snapToGrid w:val="0"/>
                <w:sz w:val="18"/>
                <w:szCs w:val="18"/>
              </w:rPr>
              <w:t>nakládání s odpady</w:t>
            </w:r>
            <w:r w:rsidRPr="006070EA">
              <w:rPr>
                <w:rFonts w:asciiTheme="majorHAnsi" w:hAnsiTheme="majorHAnsi" w:cstheme="majorHAnsi"/>
                <w:snapToGrid w:val="0"/>
                <w:sz w:val="18"/>
                <w:szCs w:val="18"/>
              </w:rPr>
              <w:t xml:space="preserve"> – zastavitelná plocha Z</w:t>
            </w:r>
            <w:r w:rsidR="00804E2A" w:rsidRPr="006070EA">
              <w:rPr>
                <w:rFonts w:asciiTheme="majorHAnsi" w:hAnsiTheme="majorHAnsi" w:cstheme="majorHAnsi"/>
                <w:snapToGrid w:val="0"/>
                <w:sz w:val="18"/>
                <w:szCs w:val="18"/>
              </w:rPr>
              <w:t>.</w:t>
            </w:r>
            <w:r w:rsidR="00066294" w:rsidRPr="006070EA">
              <w:rPr>
                <w:rFonts w:asciiTheme="majorHAnsi" w:hAnsiTheme="majorHAnsi" w:cstheme="majorHAnsi"/>
                <w:snapToGrid w:val="0"/>
                <w:sz w:val="18"/>
                <w:szCs w:val="18"/>
              </w:rPr>
              <w:t>2</w:t>
            </w:r>
            <w:r w:rsidR="0079659D" w:rsidRPr="006070EA">
              <w:rPr>
                <w:rFonts w:asciiTheme="majorHAnsi" w:hAnsiTheme="majorHAnsi" w:cstheme="majorHAnsi"/>
                <w:snapToGrid w:val="0"/>
                <w:sz w:val="18"/>
                <w:szCs w:val="18"/>
              </w:rPr>
              <w:t>3</w:t>
            </w:r>
            <w:r w:rsidR="004A00DC" w:rsidRPr="006070EA">
              <w:rPr>
                <w:rFonts w:asciiTheme="majorHAnsi" w:hAnsiTheme="majorHAnsi" w:cstheme="majorHAnsi"/>
                <w:snapToGrid w:val="0"/>
                <w:sz w:val="18"/>
                <w:szCs w:val="18"/>
              </w:rPr>
              <w:t xml:space="preserve"> (T</w:t>
            </w:r>
            <w:r w:rsidR="00804E2A" w:rsidRPr="006070EA">
              <w:rPr>
                <w:rFonts w:asciiTheme="majorHAnsi" w:hAnsiTheme="majorHAnsi" w:cstheme="majorHAnsi"/>
                <w:snapToGrid w:val="0"/>
                <w:sz w:val="18"/>
                <w:szCs w:val="18"/>
              </w:rPr>
              <w:t>U</w:t>
            </w:r>
            <w:r w:rsidR="004A00DC" w:rsidRPr="006070EA">
              <w:rPr>
                <w:rFonts w:asciiTheme="majorHAnsi" w:hAnsiTheme="majorHAnsi" w:cstheme="majorHAnsi"/>
                <w:snapToGrid w:val="0"/>
                <w:sz w:val="18"/>
                <w:szCs w:val="18"/>
              </w:rPr>
              <w:t xml:space="preserve">) pro </w:t>
            </w:r>
            <w:r w:rsidR="00066294" w:rsidRPr="006070EA">
              <w:rPr>
                <w:rFonts w:asciiTheme="majorHAnsi" w:hAnsiTheme="majorHAnsi" w:cstheme="majorHAnsi"/>
                <w:snapToGrid w:val="0"/>
                <w:sz w:val="18"/>
                <w:szCs w:val="18"/>
              </w:rPr>
              <w:t>sběrný dvůr v Hroněticích, vymezena na základě požadavku samosprávy obce</w:t>
            </w:r>
          </w:p>
        </w:tc>
      </w:tr>
      <w:tr w:rsidR="00E4183C" w:rsidRPr="006070EA" w14:paraId="39822EC9" w14:textId="77777777" w:rsidTr="004E002A">
        <w:trPr>
          <w:cantSplit/>
          <w:trHeight w:val="283"/>
          <w:jc w:val="center"/>
        </w:trPr>
        <w:tc>
          <w:tcPr>
            <w:tcW w:w="2268" w:type="dxa"/>
            <w:tcBorders>
              <w:top w:val="nil"/>
              <w:left w:val="nil"/>
              <w:bottom w:val="single" w:sz="12" w:space="0" w:color="auto"/>
              <w:right w:val="single" w:sz="12" w:space="0" w:color="auto"/>
            </w:tcBorders>
            <w:vAlign w:val="center"/>
          </w:tcPr>
          <w:p w14:paraId="6428C4C4" w14:textId="7FD8F9C8" w:rsidR="00E4183C" w:rsidRPr="00A76411" w:rsidRDefault="00E4183C" w:rsidP="00426848">
            <w:pPr>
              <w:spacing w:after="0" w:line="240" w:lineRule="auto"/>
              <w:rPr>
                <w:rFonts w:asciiTheme="majorHAnsi" w:hAnsiTheme="majorHAnsi" w:cstheme="majorHAnsi"/>
                <w:b/>
                <w:i/>
                <w:sz w:val="18"/>
                <w:szCs w:val="18"/>
              </w:rPr>
            </w:pPr>
            <w:r w:rsidRPr="00A76411">
              <w:rPr>
                <w:rFonts w:asciiTheme="majorHAnsi" w:hAnsiTheme="majorHAnsi" w:cstheme="majorHAnsi"/>
                <w:b/>
                <w:i/>
                <w:sz w:val="18"/>
                <w:szCs w:val="18"/>
              </w:rPr>
              <w:t>dopravní infrastruktury</w:t>
            </w:r>
          </w:p>
        </w:tc>
        <w:tc>
          <w:tcPr>
            <w:tcW w:w="6803" w:type="dxa"/>
            <w:tcBorders>
              <w:top w:val="nil"/>
              <w:left w:val="single" w:sz="12" w:space="0" w:color="auto"/>
              <w:bottom w:val="single" w:sz="4" w:space="0" w:color="auto"/>
            </w:tcBorders>
            <w:vAlign w:val="center"/>
          </w:tcPr>
          <w:p w14:paraId="0B1180AD" w14:textId="3EEEE078" w:rsidR="00E4183C" w:rsidRPr="006070EA" w:rsidRDefault="00E4183C" w:rsidP="0095729A">
            <w:pPr>
              <w:keepNext/>
              <w:spacing w:after="0" w:line="240" w:lineRule="auto"/>
              <w:rPr>
                <w:rFonts w:asciiTheme="majorHAnsi" w:hAnsiTheme="majorHAnsi" w:cstheme="majorHAnsi"/>
                <w:snapToGrid w:val="0"/>
                <w:sz w:val="18"/>
                <w:szCs w:val="18"/>
              </w:rPr>
            </w:pPr>
            <w:r w:rsidRPr="00A76411">
              <w:rPr>
                <w:rFonts w:asciiTheme="majorHAnsi" w:hAnsiTheme="majorHAnsi" w:cstheme="majorHAnsi"/>
                <w:snapToGrid w:val="0"/>
                <w:sz w:val="18"/>
                <w:szCs w:val="18"/>
              </w:rPr>
              <w:t>- vytvoření podmínek pro optimalizaci dopravní dostupnosti severní části území, zejm. sídla Vápenska a Hronětic, a to po stávající silnici, která je v nevyhovujícím stavu – zastavitelná plocha Z.24 (DS) pro optimalizaci silnice z Vápenska na silnici II/332 spojující Milovice a Zbožíčko</w:t>
            </w:r>
          </w:p>
        </w:tc>
      </w:tr>
      <w:tr w:rsidR="007B5C82" w:rsidRPr="006070EA" w14:paraId="18E54D01" w14:textId="77777777" w:rsidTr="004E002A">
        <w:trPr>
          <w:trHeight w:val="283"/>
          <w:jc w:val="center"/>
        </w:trPr>
        <w:tc>
          <w:tcPr>
            <w:tcW w:w="2268" w:type="dxa"/>
            <w:tcBorders>
              <w:top w:val="single" w:sz="12" w:space="0" w:color="auto"/>
              <w:bottom w:val="single" w:sz="12" w:space="0" w:color="auto"/>
              <w:right w:val="single" w:sz="12" w:space="0" w:color="auto"/>
            </w:tcBorders>
            <w:vAlign w:val="center"/>
          </w:tcPr>
          <w:p w14:paraId="2A0215F5" w14:textId="1CF8491B" w:rsidR="00426848" w:rsidRPr="006070EA" w:rsidRDefault="00426848" w:rsidP="00B1012E">
            <w:pPr>
              <w:pStyle w:val="Zkladntext2"/>
              <w:spacing w:after="0" w:line="240" w:lineRule="auto"/>
              <w:rPr>
                <w:rFonts w:asciiTheme="majorHAnsi" w:hAnsiTheme="majorHAnsi" w:cstheme="majorHAnsi"/>
                <w:b/>
                <w:i/>
                <w:sz w:val="18"/>
                <w:szCs w:val="18"/>
              </w:rPr>
            </w:pPr>
            <w:r w:rsidRPr="006070EA">
              <w:rPr>
                <w:rFonts w:asciiTheme="majorHAnsi" w:hAnsiTheme="majorHAnsi" w:cstheme="majorHAnsi"/>
                <w:b/>
                <w:i/>
                <w:sz w:val="18"/>
                <w:szCs w:val="18"/>
              </w:rPr>
              <w:t>výrob</w:t>
            </w:r>
            <w:r w:rsidR="00B1012E" w:rsidRPr="006070EA">
              <w:rPr>
                <w:rFonts w:asciiTheme="majorHAnsi" w:hAnsiTheme="majorHAnsi" w:cstheme="majorHAnsi"/>
                <w:b/>
                <w:i/>
                <w:sz w:val="18"/>
                <w:szCs w:val="18"/>
              </w:rPr>
              <w:t>y a skladování</w:t>
            </w:r>
          </w:p>
        </w:tc>
        <w:tc>
          <w:tcPr>
            <w:tcW w:w="6803" w:type="dxa"/>
            <w:tcBorders>
              <w:top w:val="single" w:sz="4" w:space="0" w:color="auto"/>
              <w:left w:val="single" w:sz="12" w:space="0" w:color="auto"/>
              <w:bottom w:val="single" w:sz="4" w:space="0" w:color="auto"/>
            </w:tcBorders>
            <w:vAlign w:val="center"/>
          </w:tcPr>
          <w:p w14:paraId="2D1125DB" w14:textId="52630386" w:rsidR="003658C2" w:rsidRPr="006070EA" w:rsidRDefault="00426848" w:rsidP="004E002A">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 </w:t>
            </w:r>
            <w:r w:rsidR="003658C2" w:rsidRPr="006070EA">
              <w:rPr>
                <w:rFonts w:asciiTheme="majorHAnsi" w:hAnsiTheme="majorHAnsi" w:cstheme="majorHAnsi"/>
                <w:snapToGrid w:val="0"/>
                <w:sz w:val="18"/>
                <w:szCs w:val="18"/>
              </w:rPr>
              <w:t xml:space="preserve">plocha pro rozšíření </w:t>
            </w:r>
            <w:r w:rsidR="00066294" w:rsidRPr="006070EA">
              <w:rPr>
                <w:rFonts w:asciiTheme="majorHAnsi" w:hAnsiTheme="majorHAnsi" w:cstheme="majorHAnsi"/>
                <w:snapToGrid w:val="0"/>
                <w:sz w:val="18"/>
                <w:szCs w:val="18"/>
              </w:rPr>
              <w:t xml:space="preserve">stávajícího </w:t>
            </w:r>
            <w:r w:rsidR="003658C2" w:rsidRPr="006070EA">
              <w:rPr>
                <w:rFonts w:asciiTheme="majorHAnsi" w:hAnsiTheme="majorHAnsi" w:cstheme="majorHAnsi"/>
                <w:snapToGrid w:val="0"/>
                <w:sz w:val="18"/>
                <w:szCs w:val="18"/>
              </w:rPr>
              <w:t xml:space="preserve">areálu </w:t>
            </w:r>
            <w:r w:rsidR="00066294" w:rsidRPr="006070EA">
              <w:rPr>
                <w:rFonts w:asciiTheme="majorHAnsi" w:hAnsiTheme="majorHAnsi" w:cstheme="majorHAnsi"/>
                <w:snapToGrid w:val="0"/>
                <w:sz w:val="18"/>
                <w:szCs w:val="18"/>
              </w:rPr>
              <w:t xml:space="preserve">lehkého průmyslu </w:t>
            </w:r>
            <w:r w:rsidR="003658C2" w:rsidRPr="006070EA">
              <w:rPr>
                <w:rFonts w:asciiTheme="majorHAnsi" w:hAnsiTheme="majorHAnsi" w:cstheme="majorHAnsi"/>
                <w:snapToGrid w:val="0"/>
                <w:sz w:val="18"/>
                <w:szCs w:val="18"/>
              </w:rPr>
              <w:t>Z</w:t>
            </w:r>
            <w:r w:rsidR="00804E2A" w:rsidRPr="006070EA">
              <w:rPr>
                <w:rFonts w:asciiTheme="majorHAnsi" w:hAnsiTheme="majorHAnsi" w:cstheme="majorHAnsi"/>
                <w:snapToGrid w:val="0"/>
                <w:sz w:val="18"/>
                <w:szCs w:val="18"/>
              </w:rPr>
              <w:t>.</w:t>
            </w:r>
            <w:r w:rsidR="003658C2" w:rsidRPr="006070EA">
              <w:rPr>
                <w:rFonts w:asciiTheme="majorHAnsi" w:hAnsiTheme="majorHAnsi" w:cstheme="majorHAnsi"/>
                <w:snapToGrid w:val="0"/>
                <w:sz w:val="18"/>
                <w:szCs w:val="18"/>
              </w:rPr>
              <w:t>13 (V</w:t>
            </w:r>
            <w:r w:rsidR="00066294" w:rsidRPr="006070EA">
              <w:rPr>
                <w:rFonts w:asciiTheme="majorHAnsi" w:hAnsiTheme="majorHAnsi" w:cstheme="majorHAnsi"/>
                <w:snapToGrid w:val="0"/>
                <w:sz w:val="18"/>
                <w:szCs w:val="18"/>
              </w:rPr>
              <w:t>L</w:t>
            </w:r>
            <w:r w:rsidR="003658C2" w:rsidRPr="006070EA">
              <w:rPr>
                <w:rFonts w:asciiTheme="majorHAnsi" w:hAnsiTheme="majorHAnsi" w:cstheme="majorHAnsi"/>
                <w:snapToGrid w:val="0"/>
                <w:sz w:val="18"/>
                <w:szCs w:val="18"/>
              </w:rPr>
              <w:t xml:space="preserve">) – </w:t>
            </w:r>
            <w:r w:rsidR="00066294" w:rsidRPr="006070EA">
              <w:rPr>
                <w:rFonts w:asciiTheme="majorHAnsi" w:hAnsiTheme="majorHAnsi" w:cstheme="majorHAnsi"/>
                <w:snapToGrid w:val="0"/>
                <w:sz w:val="18"/>
                <w:szCs w:val="18"/>
              </w:rPr>
              <w:t xml:space="preserve">plocha je </w:t>
            </w:r>
            <w:r w:rsidR="003658C2" w:rsidRPr="006070EA">
              <w:rPr>
                <w:rFonts w:asciiTheme="majorHAnsi" w:hAnsiTheme="majorHAnsi" w:cstheme="majorHAnsi"/>
                <w:snapToGrid w:val="0"/>
                <w:sz w:val="18"/>
                <w:szCs w:val="18"/>
              </w:rPr>
              <w:t>převzata z</w:t>
            </w:r>
            <w:r w:rsidR="00066294" w:rsidRPr="006070EA">
              <w:rPr>
                <w:rFonts w:asciiTheme="majorHAnsi" w:hAnsiTheme="majorHAnsi" w:cstheme="majorHAnsi"/>
                <w:snapToGrid w:val="0"/>
                <w:sz w:val="18"/>
                <w:szCs w:val="18"/>
              </w:rPr>
              <w:t> </w:t>
            </w:r>
            <w:r w:rsidR="003658C2" w:rsidRPr="006070EA">
              <w:rPr>
                <w:rFonts w:asciiTheme="majorHAnsi" w:hAnsiTheme="majorHAnsi" w:cstheme="majorHAnsi"/>
                <w:snapToGrid w:val="0"/>
                <w:sz w:val="18"/>
                <w:szCs w:val="18"/>
              </w:rPr>
              <w:t>ÚPD</w:t>
            </w:r>
            <w:r w:rsidR="00066294" w:rsidRPr="006070EA">
              <w:rPr>
                <w:rFonts w:asciiTheme="majorHAnsi" w:hAnsiTheme="majorHAnsi" w:cstheme="majorHAnsi"/>
                <w:snapToGrid w:val="0"/>
                <w:sz w:val="18"/>
                <w:szCs w:val="18"/>
              </w:rPr>
              <w:t xml:space="preserve"> a je upraven způsob jejího vymezení ve snaze o doplnění kompaktního tvaru sídla</w:t>
            </w:r>
          </w:p>
          <w:p w14:paraId="7B187CDC" w14:textId="79B20E83" w:rsidR="00066294" w:rsidRPr="006070EA" w:rsidRDefault="00066294" w:rsidP="0095729A">
            <w:pPr>
              <w:keepNext/>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 plocha je lokalizována v okrajové části Kostomlat nad Labem bez negativního dopadu na pohodu bydlení </w:t>
            </w:r>
          </w:p>
          <w:p w14:paraId="3EE3A18A" w14:textId="052EBB5E" w:rsidR="007B5C82" w:rsidRPr="006070EA" w:rsidRDefault="007B5C82" w:rsidP="0095729A">
            <w:pPr>
              <w:keepNext/>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stávající areály výroby a skladování jsou stabilizovány v rámci ploch VL a VZ</w:t>
            </w:r>
          </w:p>
          <w:p w14:paraId="4BC9D460" w14:textId="42D4D311" w:rsidR="003658C2" w:rsidRPr="006070EA" w:rsidRDefault="003658C2" w:rsidP="003658C2">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další rozvojové plochy pro rozvoj výroby a skladování nejsou explicitně vymezeny – územní plán podporuje rozvoj výroby drobného a řemeslného charakteru v rámci podmínek využití daných ploch s RZV – zejm. ploch smíšených obytných (SV)</w:t>
            </w:r>
          </w:p>
        </w:tc>
      </w:tr>
      <w:tr w:rsidR="007B5C82" w:rsidRPr="006070EA" w14:paraId="04086B5F" w14:textId="77777777" w:rsidTr="00066294">
        <w:trPr>
          <w:trHeight w:val="283"/>
          <w:jc w:val="center"/>
        </w:trPr>
        <w:tc>
          <w:tcPr>
            <w:tcW w:w="2268" w:type="dxa"/>
            <w:tcBorders>
              <w:top w:val="single" w:sz="12" w:space="0" w:color="auto"/>
              <w:bottom w:val="nil"/>
              <w:right w:val="single" w:sz="12" w:space="0" w:color="auto"/>
            </w:tcBorders>
            <w:vAlign w:val="center"/>
          </w:tcPr>
          <w:p w14:paraId="2FC7E8F2" w14:textId="77777777" w:rsidR="00426848" w:rsidRPr="006070EA" w:rsidRDefault="00426848" w:rsidP="00B1012E">
            <w:pPr>
              <w:pStyle w:val="Zkladntext2"/>
              <w:spacing w:after="0" w:line="240" w:lineRule="auto"/>
              <w:rPr>
                <w:rFonts w:asciiTheme="majorHAnsi" w:hAnsiTheme="majorHAnsi" w:cstheme="majorHAnsi"/>
                <w:b/>
                <w:i/>
                <w:sz w:val="18"/>
                <w:szCs w:val="18"/>
              </w:rPr>
            </w:pPr>
            <w:r w:rsidRPr="006070EA">
              <w:rPr>
                <w:rFonts w:asciiTheme="majorHAnsi" w:hAnsiTheme="majorHAnsi" w:cstheme="majorHAnsi"/>
                <w:b/>
                <w:i/>
                <w:sz w:val="18"/>
                <w:szCs w:val="18"/>
              </w:rPr>
              <w:t>veřejných prostranství</w:t>
            </w:r>
            <w:r w:rsidR="00B1012E" w:rsidRPr="006070EA">
              <w:rPr>
                <w:rFonts w:asciiTheme="majorHAnsi" w:hAnsiTheme="majorHAnsi" w:cstheme="majorHAnsi"/>
                <w:b/>
                <w:i/>
                <w:sz w:val="18"/>
                <w:szCs w:val="18"/>
              </w:rPr>
              <w:t xml:space="preserve"> (včetně veřejně přístupné zeleně)</w:t>
            </w:r>
          </w:p>
        </w:tc>
        <w:tc>
          <w:tcPr>
            <w:tcW w:w="6803" w:type="dxa"/>
            <w:tcBorders>
              <w:top w:val="single" w:sz="4" w:space="0" w:color="auto"/>
              <w:left w:val="single" w:sz="12" w:space="0" w:color="auto"/>
              <w:bottom w:val="nil"/>
            </w:tcBorders>
            <w:vAlign w:val="center"/>
          </w:tcPr>
          <w:p w14:paraId="74EED86D" w14:textId="14CACB4F" w:rsidR="00426848" w:rsidRPr="006070EA" w:rsidRDefault="00426848" w:rsidP="004E002A">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 identifikovaná potřeba rozvoje </w:t>
            </w:r>
            <w:r w:rsidR="007B5C82" w:rsidRPr="006070EA">
              <w:rPr>
                <w:rFonts w:asciiTheme="majorHAnsi" w:hAnsiTheme="majorHAnsi" w:cstheme="majorHAnsi"/>
                <w:snapToGrid w:val="0"/>
                <w:sz w:val="18"/>
                <w:szCs w:val="18"/>
              </w:rPr>
              <w:t xml:space="preserve">veřejně přístupné zeleně </w:t>
            </w:r>
            <w:r w:rsidRPr="006070EA">
              <w:rPr>
                <w:rFonts w:asciiTheme="majorHAnsi" w:hAnsiTheme="majorHAnsi" w:cstheme="majorHAnsi"/>
                <w:snapToGrid w:val="0"/>
                <w:sz w:val="18"/>
                <w:szCs w:val="18"/>
              </w:rPr>
              <w:t>a doplnění je</w:t>
            </w:r>
            <w:r w:rsidR="007B5C82" w:rsidRPr="006070EA">
              <w:rPr>
                <w:rFonts w:asciiTheme="majorHAnsi" w:hAnsiTheme="majorHAnsi" w:cstheme="majorHAnsi"/>
                <w:snapToGrid w:val="0"/>
                <w:sz w:val="18"/>
                <w:szCs w:val="18"/>
              </w:rPr>
              <w:t>jího</w:t>
            </w:r>
            <w:r w:rsidRPr="006070EA">
              <w:rPr>
                <w:rFonts w:asciiTheme="majorHAnsi" w:hAnsiTheme="majorHAnsi" w:cstheme="majorHAnsi"/>
                <w:snapToGrid w:val="0"/>
                <w:sz w:val="18"/>
                <w:szCs w:val="18"/>
              </w:rPr>
              <w:t xml:space="preserve"> systému v urbanizovaném území</w:t>
            </w:r>
            <w:r w:rsidR="0095729A" w:rsidRPr="006070EA">
              <w:rPr>
                <w:rFonts w:asciiTheme="majorHAnsi" w:hAnsiTheme="majorHAnsi" w:cstheme="majorHAnsi"/>
                <w:snapToGrid w:val="0"/>
                <w:sz w:val="18"/>
                <w:szCs w:val="18"/>
              </w:rPr>
              <w:t xml:space="preserve"> </w:t>
            </w:r>
            <w:r w:rsidR="007B5C82" w:rsidRPr="006070EA">
              <w:rPr>
                <w:rFonts w:asciiTheme="majorHAnsi" w:hAnsiTheme="majorHAnsi" w:cstheme="majorHAnsi"/>
                <w:snapToGrid w:val="0"/>
                <w:sz w:val="18"/>
                <w:szCs w:val="18"/>
              </w:rPr>
              <w:t>sídla Kostomlaty nad Labem – vymezeny zastavitelné plochy Z</w:t>
            </w:r>
            <w:r w:rsidR="00804E2A" w:rsidRPr="006070EA">
              <w:rPr>
                <w:rFonts w:asciiTheme="majorHAnsi" w:hAnsiTheme="majorHAnsi" w:cstheme="majorHAnsi"/>
                <w:snapToGrid w:val="0"/>
                <w:sz w:val="18"/>
                <w:szCs w:val="18"/>
              </w:rPr>
              <w:t>.</w:t>
            </w:r>
            <w:r w:rsidR="007B5C82" w:rsidRPr="006070EA">
              <w:rPr>
                <w:rFonts w:asciiTheme="majorHAnsi" w:hAnsiTheme="majorHAnsi" w:cstheme="majorHAnsi"/>
                <w:snapToGrid w:val="0"/>
                <w:sz w:val="18"/>
                <w:szCs w:val="18"/>
              </w:rPr>
              <w:t>08 (Z</w:t>
            </w:r>
            <w:r w:rsidR="00804E2A" w:rsidRPr="006070EA">
              <w:rPr>
                <w:rFonts w:asciiTheme="majorHAnsi" w:hAnsiTheme="majorHAnsi" w:cstheme="majorHAnsi"/>
                <w:snapToGrid w:val="0"/>
                <w:sz w:val="18"/>
                <w:szCs w:val="18"/>
              </w:rPr>
              <w:t>P</w:t>
            </w:r>
            <w:r w:rsidR="007B5C82" w:rsidRPr="006070EA">
              <w:rPr>
                <w:rFonts w:asciiTheme="majorHAnsi" w:hAnsiTheme="majorHAnsi" w:cstheme="majorHAnsi"/>
                <w:snapToGrid w:val="0"/>
                <w:sz w:val="18"/>
                <w:szCs w:val="18"/>
              </w:rPr>
              <w:t>) – prostorové oddělení vodního toku Vlkava od rozsáhlé zastavitelné plochy Z</w:t>
            </w:r>
            <w:r w:rsidR="00804E2A" w:rsidRPr="006070EA">
              <w:rPr>
                <w:rFonts w:asciiTheme="majorHAnsi" w:hAnsiTheme="majorHAnsi" w:cstheme="majorHAnsi"/>
                <w:snapToGrid w:val="0"/>
                <w:sz w:val="18"/>
                <w:szCs w:val="18"/>
              </w:rPr>
              <w:t>.</w:t>
            </w:r>
            <w:r w:rsidR="007B5C82" w:rsidRPr="006070EA">
              <w:rPr>
                <w:rFonts w:asciiTheme="majorHAnsi" w:hAnsiTheme="majorHAnsi" w:cstheme="majorHAnsi"/>
                <w:snapToGrid w:val="0"/>
                <w:sz w:val="18"/>
                <w:szCs w:val="18"/>
              </w:rPr>
              <w:t>07 (BI), součást biokoridoru L</w:t>
            </w:r>
            <w:r w:rsidR="00804E2A" w:rsidRPr="006070EA">
              <w:rPr>
                <w:rFonts w:asciiTheme="majorHAnsi" w:hAnsiTheme="majorHAnsi" w:cstheme="majorHAnsi"/>
                <w:snapToGrid w:val="0"/>
                <w:sz w:val="18"/>
                <w:szCs w:val="18"/>
              </w:rPr>
              <w:t>B</w:t>
            </w:r>
            <w:r w:rsidR="007B5C82" w:rsidRPr="006070EA">
              <w:rPr>
                <w:rFonts w:asciiTheme="majorHAnsi" w:hAnsiTheme="majorHAnsi" w:cstheme="majorHAnsi"/>
                <w:snapToGrid w:val="0"/>
                <w:sz w:val="18"/>
                <w:szCs w:val="18"/>
              </w:rPr>
              <w:t>K</w:t>
            </w:r>
            <w:r w:rsidR="00804E2A" w:rsidRPr="006070EA">
              <w:rPr>
                <w:rFonts w:asciiTheme="majorHAnsi" w:hAnsiTheme="majorHAnsi" w:cstheme="majorHAnsi"/>
                <w:snapToGrid w:val="0"/>
                <w:sz w:val="18"/>
                <w:szCs w:val="18"/>
              </w:rPr>
              <w:t>.</w:t>
            </w:r>
            <w:r w:rsidR="007B5C82" w:rsidRPr="006070EA">
              <w:rPr>
                <w:rFonts w:asciiTheme="majorHAnsi" w:hAnsiTheme="majorHAnsi" w:cstheme="majorHAnsi"/>
                <w:snapToGrid w:val="0"/>
                <w:sz w:val="18"/>
                <w:szCs w:val="18"/>
              </w:rPr>
              <w:t>1 a Z</w:t>
            </w:r>
            <w:r w:rsidR="00804E2A" w:rsidRPr="006070EA">
              <w:rPr>
                <w:rFonts w:asciiTheme="majorHAnsi" w:hAnsiTheme="majorHAnsi" w:cstheme="majorHAnsi"/>
                <w:snapToGrid w:val="0"/>
                <w:sz w:val="18"/>
                <w:szCs w:val="18"/>
              </w:rPr>
              <w:t>.</w:t>
            </w:r>
            <w:r w:rsidR="007B5C82" w:rsidRPr="006070EA">
              <w:rPr>
                <w:rFonts w:asciiTheme="majorHAnsi" w:hAnsiTheme="majorHAnsi" w:cstheme="majorHAnsi"/>
                <w:snapToGrid w:val="0"/>
                <w:sz w:val="18"/>
                <w:szCs w:val="18"/>
              </w:rPr>
              <w:t>12 – prostorové oddělení železniční trati a zastavitelné plochy Z</w:t>
            </w:r>
            <w:r w:rsidR="00804E2A" w:rsidRPr="006070EA">
              <w:rPr>
                <w:rFonts w:asciiTheme="majorHAnsi" w:hAnsiTheme="majorHAnsi" w:cstheme="majorHAnsi"/>
                <w:snapToGrid w:val="0"/>
                <w:sz w:val="18"/>
                <w:szCs w:val="18"/>
              </w:rPr>
              <w:t>.</w:t>
            </w:r>
            <w:r w:rsidR="007B5C82" w:rsidRPr="006070EA">
              <w:rPr>
                <w:rFonts w:asciiTheme="majorHAnsi" w:hAnsiTheme="majorHAnsi" w:cstheme="majorHAnsi"/>
                <w:snapToGrid w:val="0"/>
                <w:sz w:val="18"/>
                <w:szCs w:val="18"/>
              </w:rPr>
              <w:t>11 (BI), součást lokálního biokoridoru L</w:t>
            </w:r>
            <w:r w:rsidR="00804E2A" w:rsidRPr="006070EA">
              <w:rPr>
                <w:rFonts w:asciiTheme="majorHAnsi" w:hAnsiTheme="majorHAnsi" w:cstheme="majorHAnsi"/>
                <w:snapToGrid w:val="0"/>
                <w:sz w:val="18"/>
                <w:szCs w:val="18"/>
              </w:rPr>
              <w:t>B</w:t>
            </w:r>
            <w:r w:rsidR="007B5C82" w:rsidRPr="006070EA">
              <w:rPr>
                <w:rFonts w:asciiTheme="majorHAnsi" w:hAnsiTheme="majorHAnsi" w:cstheme="majorHAnsi"/>
                <w:snapToGrid w:val="0"/>
                <w:sz w:val="18"/>
                <w:szCs w:val="18"/>
              </w:rPr>
              <w:t>K</w:t>
            </w:r>
            <w:r w:rsidR="00804E2A" w:rsidRPr="006070EA">
              <w:rPr>
                <w:rFonts w:asciiTheme="majorHAnsi" w:hAnsiTheme="majorHAnsi" w:cstheme="majorHAnsi"/>
                <w:snapToGrid w:val="0"/>
                <w:sz w:val="18"/>
                <w:szCs w:val="18"/>
              </w:rPr>
              <w:t>.</w:t>
            </w:r>
            <w:r w:rsidR="007B5C82" w:rsidRPr="006070EA">
              <w:rPr>
                <w:rFonts w:asciiTheme="majorHAnsi" w:hAnsiTheme="majorHAnsi" w:cstheme="majorHAnsi"/>
                <w:snapToGrid w:val="0"/>
                <w:sz w:val="18"/>
                <w:szCs w:val="18"/>
              </w:rPr>
              <w:t xml:space="preserve">1 </w:t>
            </w:r>
          </w:p>
          <w:p w14:paraId="1A041F28" w14:textId="0307BB4D" w:rsidR="00426848" w:rsidRPr="006070EA" w:rsidRDefault="00426848" w:rsidP="004E002A">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zajištění prostupnosti území</w:t>
            </w:r>
            <w:r w:rsidR="007B5C82" w:rsidRPr="006070EA">
              <w:rPr>
                <w:rFonts w:asciiTheme="majorHAnsi" w:hAnsiTheme="majorHAnsi" w:cstheme="majorHAnsi"/>
                <w:snapToGrid w:val="0"/>
                <w:sz w:val="18"/>
                <w:szCs w:val="18"/>
              </w:rPr>
              <w:t xml:space="preserve"> a dopravní obsluhy urbanizovaného území – vymezena zastavitelná plocha Z</w:t>
            </w:r>
            <w:r w:rsidR="00804E2A" w:rsidRPr="006070EA">
              <w:rPr>
                <w:rFonts w:asciiTheme="majorHAnsi" w:hAnsiTheme="majorHAnsi" w:cstheme="majorHAnsi"/>
                <w:snapToGrid w:val="0"/>
                <w:sz w:val="18"/>
                <w:szCs w:val="18"/>
              </w:rPr>
              <w:t>.</w:t>
            </w:r>
            <w:r w:rsidR="007B5C82" w:rsidRPr="006070EA">
              <w:rPr>
                <w:rFonts w:asciiTheme="majorHAnsi" w:hAnsiTheme="majorHAnsi" w:cstheme="majorHAnsi"/>
                <w:snapToGrid w:val="0"/>
                <w:sz w:val="18"/>
                <w:szCs w:val="18"/>
              </w:rPr>
              <w:t>2</w:t>
            </w:r>
            <w:r w:rsidR="0079659D" w:rsidRPr="006070EA">
              <w:rPr>
                <w:rFonts w:asciiTheme="majorHAnsi" w:hAnsiTheme="majorHAnsi" w:cstheme="majorHAnsi"/>
                <w:snapToGrid w:val="0"/>
                <w:sz w:val="18"/>
                <w:szCs w:val="18"/>
              </w:rPr>
              <w:t>2</w:t>
            </w:r>
            <w:r w:rsidR="007B5C82" w:rsidRPr="006070EA">
              <w:rPr>
                <w:rFonts w:asciiTheme="majorHAnsi" w:hAnsiTheme="majorHAnsi" w:cstheme="majorHAnsi"/>
                <w:snapToGrid w:val="0"/>
                <w:sz w:val="18"/>
                <w:szCs w:val="18"/>
              </w:rPr>
              <w:t xml:space="preserve"> (P</w:t>
            </w:r>
            <w:r w:rsidR="00804E2A" w:rsidRPr="006070EA">
              <w:rPr>
                <w:rFonts w:asciiTheme="majorHAnsi" w:hAnsiTheme="majorHAnsi" w:cstheme="majorHAnsi"/>
                <w:snapToGrid w:val="0"/>
                <w:sz w:val="18"/>
                <w:szCs w:val="18"/>
              </w:rPr>
              <w:t>U</w:t>
            </w:r>
            <w:r w:rsidR="007B5C82" w:rsidRPr="006070EA">
              <w:rPr>
                <w:rFonts w:asciiTheme="majorHAnsi" w:hAnsiTheme="majorHAnsi" w:cstheme="majorHAnsi"/>
                <w:snapToGrid w:val="0"/>
                <w:sz w:val="18"/>
                <w:szCs w:val="18"/>
              </w:rPr>
              <w:t>) v rozsahu stávající komunikace v sídle Vápensko</w:t>
            </w:r>
          </w:p>
          <w:p w14:paraId="528826B2" w14:textId="77777777" w:rsidR="0095729A" w:rsidRPr="006070EA" w:rsidRDefault="0095729A" w:rsidP="0095729A">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rozvoj veřejných prostranství je umožněn v souladu s podmínkami využití prakticky v rámci všech ploch s RZV v urbanizovaném území</w:t>
            </w:r>
          </w:p>
          <w:p w14:paraId="4C41668F" w14:textId="23CB15A5" w:rsidR="0095729A" w:rsidRPr="006070EA" w:rsidRDefault="0095729A" w:rsidP="0095729A">
            <w:pPr>
              <w:spacing w:after="0" w:line="240" w:lineRule="auto"/>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 pro zajištění prostupnosti a obsluhy plošně rozsáhlých </w:t>
            </w:r>
            <w:r w:rsidR="007B5C82" w:rsidRPr="006070EA">
              <w:rPr>
                <w:rFonts w:asciiTheme="majorHAnsi" w:hAnsiTheme="majorHAnsi" w:cstheme="majorHAnsi"/>
                <w:snapToGrid w:val="0"/>
                <w:sz w:val="18"/>
                <w:szCs w:val="18"/>
              </w:rPr>
              <w:t xml:space="preserve">a urbanisticky komplikovaných </w:t>
            </w:r>
            <w:r w:rsidRPr="006070EA">
              <w:rPr>
                <w:rFonts w:asciiTheme="majorHAnsi" w:hAnsiTheme="majorHAnsi" w:cstheme="majorHAnsi"/>
                <w:snapToGrid w:val="0"/>
                <w:sz w:val="18"/>
                <w:szCs w:val="18"/>
              </w:rPr>
              <w:t xml:space="preserve">rozvojových ploch územní plán stanovuje tzv. </w:t>
            </w:r>
            <w:r w:rsidRPr="006070EA">
              <w:rPr>
                <w:rFonts w:asciiTheme="majorHAnsi" w:hAnsiTheme="majorHAnsi" w:cstheme="majorHAnsi"/>
                <w:i/>
                <w:snapToGrid w:val="0"/>
                <w:sz w:val="18"/>
                <w:szCs w:val="18"/>
              </w:rPr>
              <w:t>směry zajištění prostupnosti veřejným prostranstvím</w:t>
            </w:r>
            <w:r w:rsidRPr="006070EA">
              <w:rPr>
                <w:rFonts w:asciiTheme="majorHAnsi" w:hAnsiTheme="majorHAnsi" w:cstheme="majorHAnsi"/>
                <w:snapToGrid w:val="0"/>
                <w:sz w:val="18"/>
                <w:szCs w:val="18"/>
              </w:rPr>
              <w:t>, v </w:t>
            </w:r>
            <w:proofErr w:type="gramStart"/>
            <w:r w:rsidRPr="006070EA">
              <w:rPr>
                <w:rFonts w:asciiTheme="majorHAnsi" w:hAnsiTheme="majorHAnsi" w:cstheme="majorHAnsi"/>
                <w:snapToGrid w:val="0"/>
                <w:sz w:val="18"/>
                <w:szCs w:val="18"/>
              </w:rPr>
              <w:t>rámci</w:t>
            </w:r>
            <w:proofErr w:type="gramEnd"/>
            <w:r w:rsidRPr="006070EA">
              <w:rPr>
                <w:rFonts w:asciiTheme="majorHAnsi" w:hAnsiTheme="majorHAnsi" w:cstheme="majorHAnsi"/>
                <w:snapToGrid w:val="0"/>
                <w:sz w:val="18"/>
                <w:szCs w:val="18"/>
              </w:rPr>
              <w:t xml:space="preserve"> kterých je nezbytné v navazujícím stupni územní přípravy pro výstavbu (územní studie) navrhnout optimální řešení funkčního systému veřejných prostranství</w:t>
            </w:r>
          </w:p>
        </w:tc>
      </w:tr>
    </w:tbl>
    <w:p w14:paraId="48D8E8E2" w14:textId="77777777" w:rsidR="002A2337" w:rsidRPr="006070EA" w:rsidRDefault="002A2337" w:rsidP="00B64E3A">
      <w:pPr>
        <w:pStyle w:val="Odstavecseseznamem"/>
        <w:keepNext/>
        <w:pageBreakBefore/>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192" w:name="_Toc424119818"/>
      <w:bookmarkStart w:id="193" w:name="_Toc204678185"/>
      <w:bookmarkEnd w:id="191"/>
      <w:r w:rsidRPr="006070EA">
        <w:rPr>
          <w:rFonts w:asciiTheme="majorHAnsi" w:hAnsiTheme="majorHAnsi" w:cstheme="majorHAnsi"/>
          <w:b/>
          <w:sz w:val="24"/>
          <w:szCs w:val="28"/>
        </w:rPr>
        <w:lastRenderedPageBreak/>
        <w:t>KOMPLEXNÍ ZDŮVODNĚNÍ PŘIJATÉHO ŘEŠENÍ</w:t>
      </w:r>
      <w:bookmarkEnd w:id="192"/>
      <w:bookmarkEnd w:id="193"/>
    </w:p>
    <w:p w14:paraId="446AFE11" w14:textId="77777777" w:rsidR="007D5AAE" w:rsidRPr="006070EA" w:rsidRDefault="007D5AAE" w:rsidP="008A7151">
      <w:pPr>
        <w:pStyle w:val="Mra2-reakceern"/>
        <w:keepNext/>
        <w:pBdr>
          <w:left w:val="none" w:sz="0" w:space="0" w:color="auto"/>
        </w:pBdr>
        <w:spacing w:before="120" w:after="120"/>
        <w:ind w:left="0" w:firstLine="709"/>
        <w:rPr>
          <w:rFonts w:asciiTheme="majorHAnsi" w:hAnsiTheme="majorHAnsi" w:cstheme="majorHAnsi"/>
          <w:i/>
          <w:color w:val="auto"/>
        </w:rPr>
      </w:pPr>
      <w:r w:rsidRPr="006070EA">
        <w:rPr>
          <w:rFonts w:asciiTheme="majorHAnsi" w:hAnsiTheme="majorHAnsi" w:cstheme="majorHAnsi"/>
          <w:i/>
          <w:color w:val="auto"/>
        </w:rPr>
        <w:t>Zákon č. 183/2006 Sb., § 53, odst. 5 e)</w:t>
      </w:r>
    </w:p>
    <w:p w14:paraId="57A1B574" w14:textId="77777777" w:rsidR="007D5AAE" w:rsidRPr="006070EA" w:rsidRDefault="007D5AAE" w:rsidP="008A7151">
      <w:pPr>
        <w:pStyle w:val="Mra2-reakceern"/>
        <w:keepNext/>
        <w:pBdr>
          <w:left w:val="none" w:sz="0" w:space="0" w:color="auto"/>
        </w:pBdr>
        <w:spacing w:before="120" w:after="120"/>
        <w:ind w:left="0" w:firstLine="709"/>
        <w:rPr>
          <w:rFonts w:asciiTheme="majorHAnsi" w:hAnsiTheme="majorHAnsi" w:cstheme="majorHAnsi"/>
          <w:b/>
          <w:i/>
          <w:color w:val="auto"/>
        </w:rPr>
      </w:pPr>
      <w:r w:rsidRPr="006070EA">
        <w:rPr>
          <w:rFonts w:asciiTheme="majorHAnsi" w:hAnsiTheme="majorHAnsi" w:cstheme="majorHAnsi"/>
          <w:b/>
          <w:i/>
          <w:color w:val="auto"/>
        </w:rPr>
        <w:t>Zpracovává projektant.</w:t>
      </w:r>
    </w:p>
    <w:p w14:paraId="71BB16D4" w14:textId="77777777" w:rsidR="00D07C1B" w:rsidRPr="006070EA" w:rsidRDefault="00D07C1B" w:rsidP="008A7151">
      <w:pPr>
        <w:pStyle w:val="Mra2-reakceern"/>
        <w:keepNext/>
        <w:pBdr>
          <w:left w:val="none" w:sz="0" w:space="0" w:color="auto"/>
        </w:pBdr>
        <w:spacing w:before="120" w:after="120"/>
        <w:ind w:left="0"/>
        <w:rPr>
          <w:rFonts w:asciiTheme="majorHAnsi" w:hAnsiTheme="majorHAnsi" w:cstheme="majorHAnsi"/>
          <w:color w:val="auto"/>
        </w:rPr>
      </w:pPr>
      <w:r w:rsidRPr="006070EA">
        <w:rPr>
          <w:rFonts w:asciiTheme="majorHAnsi" w:hAnsiTheme="majorHAnsi" w:cstheme="majorHAnsi"/>
          <w:b/>
          <w:color w:val="auto"/>
        </w:rPr>
        <w:tab/>
      </w:r>
      <w:r w:rsidRPr="006070EA">
        <w:rPr>
          <w:rFonts w:asciiTheme="majorHAnsi" w:hAnsiTheme="majorHAnsi" w:cstheme="majorHAnsi"/>
          <w:color w:val="auto"/>
        </w:rPr>
        <w:t>Ve smyslu § 18 odst. 1 stavebního zákona je cílem územního plánu vytvořit předpoklady pro udržitelný rozvoj území, spočívající ve vyváženém vztahu mezi hospodářským rozvojem, ochranou životního prostředí a soudržností společenství obyvatel území.</w:t>
      </w:r>
    </w:p>
    <w:p w14:paraId="3167AE3D" w14:textId="77777777" w:rsidR="00111926" w:rsidRPr="006070EA" w:rsidRDefault="00111926" w:rsidP="008A7151">
      <w:pPr>
        <w:pStyle w:val="Mra2-reakceern"/>
        <w:keepNext/>
        <w:pBdr>
          <w:left w:val="none" w:sz="0" w:space="0" w:color="auto"/>
        </w:pBdr>
        <w:shd w:val="clear" w:color="auto" w:fill="DEEAF6" w:themeFill="accent1" w:themeFillTint="33"/>
        <w:spacing w:before="240" w:after="120"/>
        <w:ind w:left="0"/>
        <w:rPr>
          <w:rFonts w:asciiTheme="majorHAnsi" w:hAnsiTheme="majorHAnsi" w:cstheme="majorHAnsi"/>
          <w:b/>
          <w:i/>
          <w:color w:val="auto"/>
          <w:sz w:val="22"/>
        </w:rPr>
      </w:pPr>
      <w:r w:rsidRPr="006070EA">
        <w:rPr>
          <w:rFonts w:asciiTheme="majorHAnsi" w:hAnsiTheme="majorHAnsi" w:cstheme="majorHAnsi"/>
          <w:b/>
          <w:i/>
          <w:color w:val="auto"/>
          <w:sz w:val="22"/>
        </w:rPr>
        <w:t>AD 1</w:t>
      </w:r>
      <w:r w:rsidRPr="006070EA">
        <w:rPr>
          <w:rFonts w:asciiTheme="majorHAnsi" w:hAnsiTheme="majorHAnsi" w:cstheme="majorHAnsi"/>
          <w:b/>
          <w:i/>
          <w:color w:val="auto"/>
          <w:sz w:val="22"/>
        </w:rPr>
        <w:tab/>
        <w:t>VYMEZENÍ ZASTAVĚNÉHO ÚZEMÍ</w:t>
      </w:r>
    </w:p>
    <w:p w14:paraId="7194314D" w14:textId="77777777" w:rsidR="007D5AAE" w:rsidRPr="006070EA" w:rsidRDefault="00111926"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194" w:name="_Toc415755964"/>
      <w:bookmarkStart w:id="195" w:name="_Toc415756330"/>
      <w:bookmarkStart w:id="196" w:name="_Toc415756689"/>
      <w:bookmarkStart w:id="197" w:name="_Toc415756939"/>
      <w:bookmarkStart w:id="198" w:name="_Toc415757189"/>
      <w:bookmarkStart w:id="199" w:name="_Toc415757438"/>
      <w:bookmarkStart w:id="200" w:name="_Toc415757596"/>
      <w:bookmarkStart w:id="201" w:name="_Toc424050122"/>
      <w:bookmarkStart w:id="202" w:name="_Toc424050296"/>
      <w:bookmarkStart w:id="203" w:name="_Toc424050454"/>
      <w:bookmarkStart w:id="204" w:name="_Toc424112316"/>
      <w:bookmarkStart w:id="205" w:name="_Toc424119340"/>
      <w:bookmarkStart w:id="206" w:name="_Toc424119819"/>
      <w:bookmarkStart w:id="207" w:name="_Toc424120075"/>
      <w:bookmarkStart w:id="208" w:name="_Toc424120501"/>
      <w:bookmarkStart w:id="209" w:name="_Toc424126207"/>
      <w:bookmarkStart w:id="210" w:name="_Toc424138788"/>
      <w:bookmarkStart w:id="211" w:name="_Toc445291905"/>
      <w:bookmarkStart w:id="212" w:name="_Toc445910418"/>
      <w:bookmarkStart w:id="213" w:name="_Toc448831897"/>
      <w:bookmarkStart w:id="214" w:name="_Toc448832087"/>
      <w:bookmarkStart w:id="215" w:name="_Toc450037747"/>
      <w:bookmarkStart w:id="216" w:name="_Toc450223041"/>
      <w:bookmarkStart w:id="217" w:name="_Toc485214907"/>
      <w:bookmarkStart w:id="218" w:name="_Toc485378060"/>
      <w:bookmarkStart w:id="219" w:name="_Toc485378182"/>
      <w:bookmarkStart w:id="220" w:name="_Toc485214908"/>
      <w:bookmarkStart w:id="221" w:name="_Toc485378061"/>
      <w:bookmarkStart w:id="222" w:name="_Toc485378183"/>
      <w:bookmarkStart w:id="223" w:name="_Toc485214909"/>
      <w:bookmarkStart w:id="224" w:name="_Toc485378062"/>
      <w:bookmarkStart w:id="225" w:name="_Toc485378184"/>
      <w:bookmarkStart w:id="226" w:name="_Toc424119820"/>
      <w:bookmarkStart w:id="227" w:name="_Toc204678186"/>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r w:rsidRPr="006070EA">
        <w:rPr>
          <w:rFonts w:asciiTheme="majorHAnsi" w:hAnsiTheme="majorHAnsi" w:cstheme="majorHAnsi"/>
          <w:b/>
          <w:sz w:val="24"/>
          <w:szCs w:val="20"/>
        </w:rPr>
        <w:t>Odůvodnění v</w:t>
      </w:r>
      <w:r w:rsidR="007D5AAE" w:rsidRPr="006070EA">
        <w:rPr>
          <w:rFonts w:asciiTheme="majorHAnsi" w:hAnsiTheme="majorHAnsi" w:cstheme="majorHAnsi"/>
          <w:b/>
          <w:sz w:val="24"/>
          <w:szCs w:val="20"/>
        </w:rPr>
        <w:t xml:space="preserve">ymezení </w:t>
      </w:r>
      <w:r w:rsidRPr="006070EA">
        <w:rPr>
          <w:rFonts w:asciiTheme="majorHAnsi" w:hAnsiTheme="majorHAnsi" w:cstheme="majorHAnsi"/>
          <w:b/>
          <w:sz w:val="24"/>
          <w:szCs w:val="20"/>
        </w:rPr>
        <w:t xml:space="preserve">zastavěného </w:t>
      </w:r>
      <w:r w:rsidR="007D5AAE" w:rsidRPr="006070EA">
        <w:rPr>
          <w:rFonts w:asciiTheme="majorHAnsi" w:hAnsiTheme="majorHAnsi" w:cstheme="majorHAnsi"/>
          <w:b/>
          <w:sz w:val="24"/>
          <w:szCs w:val="20"/>
        </w:rPr>
        <w:t>území</w:t>
      </w:r>
      <w:bookmarkEnd w:id="226"/>
      <w:bookmarkEnd w:id="227"/>
    </w:p>
    <w:p w14:paraId="5D343A53" w14:textId="77777777" w:rsidR="00111926" w:rsidRPr="006070EA" w:rsidRDefault="00111926" w:rsidP="008A7151">
      <w:pPr>
        <w:pStyle w:val="Mra2-reakceern"/>
        <w:keepNext/>
        <w:pBdr>
          <w:left w:val="none" w:sz="0" w:space="0" w:color="auto"/>
        </w:pBdr>
        <w:spacing w:before="120" w:after="60"/>
        <w:ind w:left="0"/>
        <w:jc w:val="right"/>
        <w:rPr>
          <w:rFonts w:asciiTheme="majorHAnsi" w:hAnsiTheme="majorHAnsi" w:cstheme="majorHAnsi"/>
          <w:i/>
          <w:color w:val="auto"/>
          <w:u w:val="single"/>
        </w:rPr>
      </w:pPr>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(1)</w:t>
      </w:r>
      <w:r w:rsidRPr="006070EA">
        <w:rPr>
          <w:rFonts w:asciiTheme="majorHAnsi" w:hAnsiTheme="majorHAnsi" w:cstheme="majorHAnsi"/>
          <w:i/>
          <w:color w:val="auto"/>
          <w:u w:val="single"/>
        </w:rPr>
        <w:t xml:space="preserve"> výrokové části</w:t>
      </w:r>
    </w:p>
    <w:p w14:paraId="646D8774" w14:textId="3DAEF836" w:rsidR="003765C5" w:rsidRPr="006070EA" w:rsidRDefault="003765C5" w:rsidP="003765C5">
      <w:pPr>
        <w:pStyle w:val="Atext"/>
        <w:rPr>
          <w:rFonts w:asciiTheme="majorHAnsi" w:hAnsiTheme="majorHAnsi" w:cstheme="majorHAnsi"/>
        </w:rPr>
      </w:pPr>
      <w:r w:rsidRPr="00A76411">
        <w:rPr>
          <w:rFonts w:asciiTheme="majorHAnsi" w:hAnsiTheme="majorHAnsi" w:cstheme="majorHAnsi"/>
        </w:rPr>
        <w:t xml:space="preserve">Hranice zastavěného území je vymezena k datu </w:t>
      </w:r>
      <w:r w:rsidR="00C2266C" w:rsidRPr="00A76411">
        <w:rPr>
          <w:rFonts w:asciiTheme="majorHAnsi" w:hAnsiTheme="majorHAnsi" w:cstheme="majorHAnsi"/>
        </w:rPr>
        <w:t>5. 8. 2024</w:t>
      </w:r>
      <w:r w:rsidRPr="00A76411">
        <w:rPr>
          <w:rFonts w:asciiTheme="majorHAnsi" w:hAnsiTheme="majorHAnsi" w:cstheme="majorHAnsi"/>
        </w:rPr>
        <w:t>, a to v souladu s § 58 stavebního zákona. Podkladem pro vymezení hranice zastavěného území byla hranice intravilánu z roku 1966 a aktuální katastrální mapa s evidencí zastavěných ploch a nádvoří. Ve vazbě na zákon č. 256/2013 Sb., ve znění pozdějších předpisů (katastrální zákon) jsou v zastavěném území vymezeny kromě pozemků zahrnutých do intravilánu (hranice sídel z roku 1966, viz obrázek níže) také pozemky evidované v</w:t>
      </w:r>
      <w:r w:rsidR="00804E2A" w:rsidRPr="00A76411">
        <w:rPr>
          <w:rFonts w:asciiTheme="majorHAnsi" w:hAnsiTheme="majorHAnsi" w:cstheme="majorHAnsi"/>
        </w:rPr>
        <w:t> </w:t>
      </w:r>
      <w:r w:rsidRPr="00A76411">
        <w:rPr>
          <w:rFonts w:asciiTheme="majorHAnsi" w:hAnsiTheme="majorHAnsi" w:cstheme="majorHAnsi"/>
        </w:rPr>
        <w:t>Katastru nemovitostí ČR jako zastavěné stavební pozemky včetně okolních souvisejících pozemků, kterými se rozumí pozemky pod společným oplocením s dotčenou stavbou na zastavěném stavebním pozemku, stavební proluky, pozemní komunikace nebo jejich části, ostatní veřejná prostranství a další pozemky.</w:t>
      </w:r>
      <w:r w:rsidRPr="006070EA">
        <w:rPr>
          <w:rFonts w:asciiTheme="majorHAnsi" w:hAnsiTheme="majorHAnsi" w:cstheme="majorHAnsi"/>
        </w:rPr>
        <w:t xml:space="preserve"> </w:t>
      </w:r>
    </w:p>
    <w:p w14:paraId="58F25152" w14:textId="70803E43" w:rsidR="003765C5" w:rsidRPr="006070EA" w:rsidRDefault="003765C5" w:rsidP="003765C5">
      <w:pPr>
        <w:pStyle w:val="Atext"/>
        <w:rPr>
          <w:rFonts w:asciiTheme="majorHAnsi" w:hAnsiTheme="majorHAnsi" w:cstheme="majorHAnsi"/>
        </w:rPr>
      </w:pPr>
      <w:r w:rsidRPr="006070EA">
        <w:rPr>
          <w:rFonts w:asciiTheme="majorHAnsi" w:hAnsiTheme="majorHAnsi" w:cstheme="majorHAnsi"/>
        </w:rPr>
        <w:t>Vymezení zastavěného území vychází (kromě zákonných požadavků) z terénního průzkumu zpracovatele a v nejednoznačných případech z jeho odborného úsudku s ohledem na lokální charakter zastavěného území, způsob využívání pozemků nebo vlastnické vztahy.</w:t>
      </w:r>
    </w:p>
    <w:p w14:paraId="63268B02" w14:textId="60F43D30" w:rsidR="003765C5" w:rsidRPr="006070EA" w:rsidRDefault="003765C5" w:rsidP="00433C39">
      <w:pPr>
        <w:pStyle w:val="Atext"/>
        <w:keepLines/>
        <w:rPr>
          <w:rFonts w:asciiTheme="majorHAnsi" w:hAnsiTheme="majorHAnsi" w:cstheme="majorHAnsi"/>
        </w:rPr>
      </w:pPr>
      <w:r w:rsidRPr="006070EA">
        <w:rPr>
          <w:rFonts w:asciiTheme="majorHAnsi" w:hAnsiTheme="majorHAnsi" w:cstheme="majorHAnsi"/>
        </w:rPr>
        <w:t xml:space="preserve">V souladu s § 58 stavebního zákona nebyly do zastavěného území zahrnuty parcely, na nichž v současné době probíhá výstavba (pokud nejsou prolukami ve výše uvedeným smyslu), neboť se nejedná o stabilizované / již využité plochy a zároveň tyto dosud nedokončené stavby nefigurují ve statistikách týkajících se počtu bytů, počtu dokončených bytů i počtu trvale bydlících obyvatel, proto jsou pro účely analytické činnosti v rámci tvorby návrhu ÚP považovány za plochy zastavitelné s tím, že předpokládaná kapacita těchto ploch stanovená v rámci dílčích vyhodnocení zohlednila již probíhající výstavbu resp. její parametry. </w:t>
      </w:r>
    </w:p>
    <w:p w14:paraId="4C2EDA4E" w14:textId="72C8CE28" w:rsidR="006514BB" w:rsidRPr="006070EA" w:rsidRDefault="00471A6A" w:rsidP="00471A6A">
      <w:pPr>
        <w:pStyle w:val="Mra2-reakceern"/>
        <w:keepNext/>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t>Obr.: Zastavěné území vymezené v ÚP Kostomlaty nad Labem</w:t>
      </w:r>
      <w:r w:rsidR="005B489D" w:rsidRPr="006070EA">
        <w:rPr>
          <w:rFonts w:asciiTheme="majorHAnsi" w:hAnsiTheme="majorHAnsi" w:cstheme="majorHAnsi"/>
          <w:i/>
          <w:iCs w:val="0"/>
          <w:color w:val="auto"/>
        </w:rPr>
        <w:t xml:space="preserve"> </w:t>
      </w:r>
      <w:r w:rsidRPr="006070EA">
        <w:rPr>
          <w:rFonts w:asciiTheme="majorHAnsi" w:hAnsiTheme="majorHAnsi" w:cstheme="majorHAnsi"/>
          <w:i/>
          <w:iCs w:val="0"/>
          <w:color w:val="auto"/>
        </w:rPr>
        <w:t>a hranice intravilánu 1966</w:t>
      </w:r>
      <w:r w:rsidR="00FB6DE5" w:rsidRPr="006070EA">
        <w:rPr>
          <w:rFonts w:asciiTheme="majorHAnsi" w:hAnsiTheme="majorHAnsi" w:cstheme="majorHAnsi"/>
          <w:i/>
          <w:iCs w:val="0"/>
          <w:color w:val="auto"/>
        </w:rPr>
        <w:t xml:space="preserve"> – sídlo Kostomlaty nad Labem</w:t>
      </w:r>
    </w:p>
    <w:p w14:paraId="41858E40" w14:textId="0AD7EF51" w:rsidR="00FB6DE5" w:rsidRPr="006070EA" w:rsidRDefault="00FB6DE5" w:rsidP="00FB6DE5">
      <w:pPr>
        <w:pStyle w:val="Mra2-reakceern"/>
        <w:pBdr>
          <w:left w:val="none" w:sz="0" w:space="0" w:color="auto"/>
        </w:pBdr>
        <w:spacing w:before="120" w:after="60"/>
        <w:ind w:left="0"/>
        <w:rPr>
          <w:rFonts w:asciiTheme="majorHAnsi" w:hAnsiTheme="majorHAnsi" w:cstheme="majorHAnsi"/>
          <w:i/>
          <w:iCs w:val="0"/>
          <w:noProof/>
          <w:color w:val="FF0000"/>
        </w:rPr>
      </w:pPr>
      <w:r w:rsidRPr="006070EA">
        <w:rPr>
          <w:rFonts w:asciiTheme="majorHAnsi" w:hAnsiTheme="majorHAnsi" w:cstheme="majorHAnsi"/>
          <w:i/>
          <w:iCs w:val="0"/>
          <w:noProof/>
          <w:color w:val="FF0000"/>
        </w:rPr>
        <w:drawing>
          <wp:inline distT="0" distB="0" distL="0" distR="0" wp14:anchorId="7C207D0B" wp14:editId="047C1300">
            <wp:extent cx="5759450" cy="3065145"/>
            <wp:effectExtent l="0" t="0" r="0" b="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759450" cy="3065145"/>
                    </a:xfrm>
                    <a:prstGeom prst="rect">
                      <a:avLst/>
                    </a:prstGeom>
                    <a:noFill/>
                    <a:ln>
                      <a:noFill/>
                    </a:ln>
                  </pic:spPr>
                </pic:pic>
              </a:graphicData>
            </a:graphic>
          </wp:inline>
        </w:drawing>
      </w:r>
      <w:r w:rsidRPr="006070EA">
        <w:rPr>
          <w:rFonts w:asciiTheme="majorHAnsi" w:hAnsiTheme="majorHAnsi" w:cstheme="majorHAnsi"/>
          <w:i/>
          <w:iCs w:val="0"/>
          <w:noProof/>
          <w:color w:val="FF0000"/>
        </w:rPr>
        <w:t xml:space="preserve"> </w:t>
      </w:r>
    </w:p>
    <w:p w14:paraId="6355B052" w14:textId="77777777" w:rsidR="00FB6DE5" w:rsidRPr="006070EA" w:rsidRDefault="00FB6DE5" w:rsidP="00FB6DE5">
      <w:pPr>
        <w:pStyle w:val="Mra2-reakceern"/>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t>Pozn.: zastavěné území vymezené v ÚP Kostomlaty nad Labem zobrazeno šedou plochou, hranice intravilánu zobrazena červenou čarou, budovy evidované v KN k II/2022 zobrazeny černou plochou</w:t>
      </w:r>
    </w:p>
    <w:p w14:paraId="27AFDEB7" w14:textId="77777777" w:rsidR="00FB6DE5" w:rsidRPr="006070EA" w:rsidRDefault="00FB6DE5" w:rsidP="00FB6DE5">
      <w:pPr>
        <w:pStyle w:val="Mra2-reakceern"/>
        <w:keepNext/>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lastRenderedPageBreak/>
        <w:t>Obr.: Zastavěné území vymezené v ÚP Kostomlaty nad Labem a hranice intravilánu 1966 – sídlo Rozkoš</w:t>
      </w:r>
    </w:p>
    <w:p w14:paraId="20FFCC7A" w14:textId="77777777" w:rsidR="00FB6DE5" w:rsidRPr="006070EA" w:rsidRDefault="00FB6DE5" w:rsidP="00E22D6E">
      <w:pPr>
        <w:pStyle w:val="Mra2-reakceern"/>
        <w:pBdr>
          <w:left w:val="none" w:sz="0" w:space="0" w:color="auto"/>
        </w:pBdr>
        <w:spacing w:before="120" w:after="60"/>
        <w:ind w:left="0"/>
        <w:jc w:val="left"/>
        <w:rPr>
          <w:rFonts w:asciiTheme="majorHAnsi" w:hAnsiTheme="majorHAnsi" w:cstheme="majorHAnsi"/>
          <w:i/>
          <w:iCs w:val="0"/>
          <w:color w:val="FF0000"/>
        </w:rPr>
      </w:pPr>
      <w:r w:rsidRPr="006070EA">
        <w:rPr>
          <w:rFonts w:asciiTheme="majorHAnsi" w:hAnsiTheme="majorHAnsi" w:cstheme="majorHAnsi"/>
          <w:i/>
          <w:iCs w:val="0"/>
          <w:noProof/>
          <w:color w:val="FF0000"/>
        </w:rPr>
        <w:drawing>
          <wp:inline distT="0" distB="0" distL="0" distR="0" wp14:anchorId="0885D7BA" wp14:editId="1DFABAB0">
            <wp:extent cx="5229225" cy="2933700"/>
            <wp:effectExtent l="0" t="0" r="0" b="0"/>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29225" cy="2933700"/>
                    </a:xfrm>
                    <a:prstGeom prst="rect">
                      <a:avLst/>
                    </a:prstGeom>
                    <a:noFill/>
                    <a:ln>
                      <a:noFill/>
                    </a:ln>
                  </pic:spPr>
                </pic:pic>
              </a:graphicData>
            </a:graphic>
          </wp:inline>
        </w:drawing>
      </w:r>
    </w:p>
    <w:p w14:paraId="10542E6D" w14:textId="77777777" w:rsidR="00FB6DE5" w:rsidRPr="006070EA" w:rsidRDefault="00FB6DE5" w:rsidP="00FB6DE5">
      <w:pPr>
        <w:pStyle w:val="Mra2-reakceern"/>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t>Pozn.: zastavěné území vymezené v ÚP Kostomlaty nad Labem zobrazeno šedou plochou, hranice intravilánu zobrazena červenou čarou, budovy evidované v KN k II/2022 zobrazeny černou plochou</w:t>
      </w:r>
    </w:p>
    <w:p w14:paraId="17E9C0E0" w14:textId="77777777" w:rsidR="00FB6DE5" w:rsidRPr="006070EA" w:rsidRDefault="00FB6DE5" w:rsidP="00FB6DE5">
      <w:pPr>
        <w:pStyle w:val="Mra2-reakceern"/>
        <w:keepNext/>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lastRenderedPageBreak/>
        <w:t>Obr.: Zastavěné území vymezené v ÚP Kostomlaty nad Labem a hranice intravilánu 1966 – sídlo Lány</w:t>
      </w:r>
    </w:p>
    <w:p w14:paraId="7D990539" w14:textId="77777777" w:rsidR="00FB6DE5" w:rsidRPr="006070EA" w:rsidRDefault="00FB6DE5" w:rsidP="00E22D6E">
      <w:pPr>
        <w:pStyle w:val="Mra2-reakceern"/>
        <w:pBdr>
          <w:left w:val="none" w:sz="0" w:space="0" w:color="auto"/>
        </w:pBdr>
        <w:spacing w:before="120" w:after="60"/>
        <w:ind w:left="0"/>
        <w:jc w:val="left"/>
        <w:rPr>
          <w:rFonts w:asciiTheme="majorHAnsi" w:hAnsiTheme="majorHAnsi" w:cstheme="majorHAnsi"/>
          <w:i/>
          <w:iCs w:val="0"/>
          <w:color w:val="FF0000"/>
        </w:rPr>
      </w:pPr>
      <w:r w:rsidRPr="006070EA">
        <w:rPr>
          <w:rFonts w:asciiTheme="majorHAnsi" w:hAnsiTheme="majorHAnsi" w:cstheme="majorHAnsi"/>
          <w:i/>
          <w:iCs w:val="0"/>
          <w:noProof/>
          <w:color w:val="FF0000"/>
        </w:rPr>
        <w:drawing>
          <wp:inline distT="0" distB="0" distL="0" distR="0" wp14:anchorId="754D9BC0" wp14:editId="3D5D02F8">
            <wp:extent cx="3996000" cy="8248378"/>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996000" cy="8248378"/>
                    </a:xfrm>
                    <a:prstGeom prst="rect">
                      <a:avLst/>
                    </a:prstGeom>
                    <a:noFill/>
                    <a:ln>
                      <a:noFill/>
                    </a:ln>
                  </pic:spPr>
                </pic:pic>
              </a:graphicData>
            </a:graphic>
          </wp:inline>
        </w:drawing>
      </w:r>
    </w:p>
    <w:p w14:paraId="726A5BB8" w14:textId="77777777" w:rsidR="00FB6DE5" w:rsidRPr="006070EA" w:rsidRDefault="00FB6DE5" w:rsidP="00FB6DE5">
      <w:pPr>
        <w:pStyle w:val="Mra2-reakceern"/>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t>Pozn.: zastavěné území vymezené v ÚP Kostomlaty nad Labem zobrazeno šedou plochou, hranice intravilánu zobrazena červenou čarou, budovy evidované v KN k II/2022 zobrazeny černou plochou</w:t>
      </w:r>
    </w:p>
    <w:p w14:paraId="423C5BCE" w14:textId="5303923E" w:rsidR="00FB6DE5" w:rsidRPr="006070EA" w:rsidRDefault="00FB6DE5" w:rsidP="00FB6DE5">
      <w:pPr>
        <w:pStyle w:val="Mra2-reakceern"/>
        <w:keepNext/>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lastRenderedPageBreak/>
        <w:t>Obr.: Zastavěné území vymezené v ÚP Kostomlaty nad Labem a hranice intravilánu 1966 – sídlo Hronětice</w:t>
      </w:r>
    </w:p>
    <w:p w14:paraId="3F07E982" w14:textId="7985BDEC" w:rsidR="00FB6DE5" w:rsidRPr="006070EA" w:rsidRDefault="00FB6DE5" w:rsidP="00FB6DE5">
      <w:pPr>
        <w:pStyle w:val="Mra2-reakceern"/>
        <w:pBdr>
          <w:left w:val="none" w:sz="0" w:space="0" w:color="auto"/>
        </w:pBdr>
        <w:spacing w:before="120" w:after="60"/>
        <w:ind w:left="0"/>
        <w:rPr>
          <w:rFonts w:asciiTheme="majorHAnsi" w:hAnsiTheme="majorHAnsi" w:cstheme="majorHAnsi"/>
          <w:i/>
          <w:iCs w:val="0"/>
          <w:color w:val="FF0000"/>
        </w:rPr>
      </w:pPr>
      <w:r w:rsidRPr="006070EA">
        <w:rPr>
          <w:rFonts w:asciiTheme="majorHAnsi" w:hAnsiTheme="majorHAnsi" w:cstheme="majorHAnsi"/>
          <w:i/>
          <w:iCs w:val="0"/>
          <w:noProof/>
          <w:color w:val="FF0000"/>
        </w:rPr>
        <w:drawing>
          <wp:inline distT="0" distB="0" distL="0" distR="0" wp14:anchorId="76F50B87" wp14:editId="31C81FDF">
            <wp:extent cx="5753100" cy="3352800"/>
            <wp:effectExtent l="0" t="0" r="0" b="0"/>
            <wp:docPr id="14"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753100" cy="3352800"/>
                    </a:xfrm>
                    <a:prstGeom prst="rect">
                      <a:avLst/>
                    </a:prstGeom>
                    <a:noFill/>
                    <a:ln>
                      <a:noFill/>
                    </a:ln>
                  </pic:spPr>
                </pic:pic>
              </a:graphicData>
            </a:graphic>
          </wp:inline>
        </w:drawing>
      </w:r>
    </w:p>
    <w:p w14:paraId="4F6C215A" w14:textId="77777777" w:rsidR="00FB6DE5" w:rsidRPr="006070EA" w:rsidRDefault="00FB6DE5" w:rsidP="00FB6DE5">
      <w:pPr>
        <w:pStyle w:val="Mra2-reakceern"/>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t>Pozn.: zastavěné území vymezené v ÚP Kostomlaty nad Labem zobrazeno šedou plochou, hranice intravilánu zobrazena červenou čarou, budovy evidované v KN k II/2022 zobrazeny černou plochou</w:t>
      </w:r>
    </w:p>
    <w:p w14:paraId="2E0C85AC" w14:textId="733E5F97" w:rsidR="00FB6DE5" w:rsidRPr="006070EA" w:rsidRDefault="00FB6DE5" w:rsidP="00FB6DE5">
      <w:pPr>
        <w:pStyle w:val="Mra2-reakceern"/>
        <w:keepNext/>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t>Obr.: Zastavěné území vymezené v ÚP Kostomlaty nad Labem a hranice intravilánu 1966 – sídlo Vápensko</w:t>
      </w:r>
    </w:p>
    <w:p w14:paraId="1D707186" w14:textId="288F55F5" w:rsidR="005B489D" w:rsidRPr="006070EA" w:rsidRDefault="005B489D" w:rsidP="00FB6DE5">
      <w:pPr>
        <w:pStyle w:val="Mra2-reakceern"/>
        <w:pBdr>
          <w:left w:val="none" w:sz="0" w:space="0" w:color="auto"/>
        </w:pBdr>
        <w:spacing w:before="120" w:after="60"/>
        <w:ind w:left="0"/>
        <w:rPr>
          <w:rFonts w:asciiTheme="majorHAnsi" w:hAnsiTheme="majorHAnsi" w:cstheme="majorHAnsi"/>
          <w:i/>
          <w:iCs w:val="0"/>
          <w:color w:val="FF0000"/>
        </w:rPr>
      </w:pPr>
      <w:r w:rsidRPr="006070EA">
        <w:rPr>
          <w:rFonts w:asciiTheme="majorHAnsi" w:hAnsiTheme="majorHAnsi" w:cstheme="majorHAnsi"/>
          <w:i/>
          <w:iCs w:val="0"/>
          <w:noProof/>
          <w:color w:val="FF0000"/>
        </w:rPr>
        <w:drawing>
          <wp:inline distT="0" distB="0" distL="0" distR="0" wp14:anchorId="32FF28A8" wp14:editId="13EAF7B5">
            <wp:extent cx="3543300" cy="3971925"/>
            <wp:effectExtent l="0" t="0" r="0" b="0"/>
            <wp:docPr id="3"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543300" cy="3971925"/>
                    </a:xfrm>
                    <a:prstGeom prst="rect">
                      <a:avLst/>
                    </a:prstGeom>
                    <a:noFill/>
                    <a:ln>
                      <a:noFill/>
                    </a:ln>
                  </pic:spPr>
                </pic:pic>
              </a:graphicData>
            </a:graphic>
          </wp:inline>
        </w:drawing>
      </w:r>
    </w:p>
    <w:p w14:paraId="684D1184" w14:textId="77777777" w:rsidR="00FB6DE5" w:rsidRPr="006070EA" w:rsidRDefault="00FB6DE5" w:rsidP="00FB6DE5">
      <w:pPr>
        <w:pStyle w:val="Mra2-reakceern"/>
        <w:pBdr>
          <w:left w:val="none" w:sz="0" w:space="0" w:color="auto"/>
        </w:pBdr>
        <w:spacing w:before="120" w:after="60"/>
        <w:ind w:left="0"/>
        <w:rPr>
          <w:rFonts w:asciiTheme="majorHAnsi" w:hAnsiTheme="majorHAnsi" w:cstheme="majorHAnsi"/>
          <w:i/>
          <w:iCs w:val="0"/>
          <w:color w:val="auto"/>
        </w:rPr>
      </w:pPr>
      <w:r w:rsidRPr="006070EA">
        <w:rPr>
          <w:rFonts w:asciiTheme="majorHAnsi" w:hAnsiTheme="majorHAnsi" w:cstheme="majorHAnsi"/>
          <w:i/>
          <w:iCs w:val="0"/>
          <w:color w:val="auto"/>
        </w:rPr>
        <w:t>Pozn.: zastavěné území vymezené v ÚP Kostomlaty nad Labem zobrazeno šedou plochou, hranice intravilánu zobrazena červenou čarou, budovy evidované v KN k II/2022 zobrazeny černou plochou</w:t>
      </w:r>
    </w:p>
    <w:p w14:paraId="3BFCB80B" w14:textId="77777777" w:rsidR="00D07C1B" w:rsidRPr="006070EA" w:rsidRDefault="00D07C1B" w:rsidP="00654835">
      <w:pPr>
        <w:pStyle w:val="Mra2-reakceern"/>
        <w:keepNext/>
        <w:pBdr>
          <w:left w:val="none" w:sz="0" w:space="0" w:color="auto"/>
        </w:pBdr>
        <w:shd w:val="clear" w:color="auto" w:fill="DEEAF6" w:themeFill="accent1" w:themeFillTint="33"/>
        <w:spacing w:before="240" w:after="120"/>
        <w:ind w:left="0"/>
        <w:rPr>
          <w:rFonts w:asciiTheme="majorHAnsi" w:hAnsiTheme="majorHAnsi" w:cstheme="majorHAnsi"/>
          <w:b/>
          <w:i/>
          <w:color w:val="auto"/>
          <w:sz w:val="22"/>
        </w:rPr>
      </w:pPr>
      <w:r w:rsidRPr="006070EA">
        <w:rPr>
          <w:rFonts w:asciiTheme="majorHAnsi" w:hAnsiTheme="majorHAnsi" w:cstheme="majorHAnsi"/>
          <w:b/>
          <w:i/>
          <w:color w:val="auto"/>
          <w:sz w:val="22"/>
        </w:rPr>
        <w:lastRenderedPageBreak/>
        <w:t>AD 2</w:t>
      </w:r>
      <w:r w:rsidRPr="006070EA">
        <w:rPr>
          <w:rFonts w:asciiTheme="majorHAnsi" w:hAnsiTheme="majorHAnsi" w:cstheme="majorHAnsi"/>
          <w:b/>
          <w:i/>
          <w:color w:val="auto"/>
          <w:sz w:val="22"/>
        </w:rPr>
        <w:tab/>
        <w:t>ZÁKLADNÍ KONCEPCE ROZVOJE ÚZEMÍ OBCE, OCHRANY A ROZVOJE JEHO HODNOT</w:t>
      </w:r>
    </w:p>
    <w:p w14:paraId="692D4D31" w14:textId="77777777" w:rsidR="001A0DBB" w:rsidRPr="006070EA" w:rsidRDefault="001A0DBB"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228" w:name="_Toc204678187"/>
      <w:r w:rsidRPr="006070EA">
        <w:rPr>
          <w:rFonts w:asciiTheme="majorHAnsi" w:hAnsiTheme="majorHAnsi" w:cstheme="majorHAnsi"/>
          <w:b/>
          <w:sz w:val="24"/>
          <w:szCs w:val="20"/>
        </w:rPr>
        <w:t>Odůvodnění koncepce rozvoje území obce, ochrany a rozvoje jeho hodnot</w:t>
      </w:r>
      <w:bookmarkEnd w:id="228"/>
    </w:p>
    <w:p w14:paraId="09F750C8" w14:textId="77777777" w:rsidR="00954E4B" w:rsidRPr="006070EA" w:rsidRDefault="00954E4B"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229" w:name="_Toc485214912"/>
      <w:bookmarkStart w:id="230" w:name="_Toc485378065"/>
      <w:bookmarkStart w:id="231" w:name="_Toc485378187"/>
      <w:bookmarkStart w:id="232" w:name="_Toc485214913"/>
      <w:bookmarkStart w:id="233" w:name="_Toc485378066"/>
      <w:bookmarkStart w:id="234" w:name="_Toc485378188"/>
      <w:bookmarkStart w:id="235" w:name="_Toc485214914"/>
      <w:bookmarkStart w:id="236" w:name="_Toc485378067"/>
      <w:bookmarkStart w:id="237" w:name="_Toc485378189"/>
      <w:bookmarkStart w:id="238" w:name="_Toc485214915"/>
      <w:bookmarkStart w:id="239" w:name="_Toc485378068"/>
      <w:bookmarkStart w:id="240" w:name="_Toc485378190"/>
      <w:bookmarkStart w:id="241" w:name="_Toc472325697"/>
      <w:bookmarkStart w:id="242" w:name="_Toc204678188"/>
      <w:bookmarkEnd w:id="229"/>
      <w:bookmarkEnd w:id="230"/>
      <w:bookmarkEnd w:id="231"/>
      <w:bookmarkEnd w:id="232"/>
      <w:bookmarkEnd w:id="233"/>
      <w:bookmarkEnd w:id="234"/>
      <w:bookmarkEnd w:id="235"/>
      <w:bookmarkEnd w:id="236"/>
      <w:bookmarkEnd w:id="237"/>
      <w:bookmarkEnd w:id="238"/>
      <w:bookmarkEnd w:id="239"/>
      <w:bookmarkEnd w:id="240"/>
      <w:bookmarkEnd w:id="241"/>
      <w:r w:rsidRPr="006070EA">
        <w:rPr>
          <w:rFonts w:asciiTheme="majorHAnsi" w:hAnsiTheme="majorHAnsi" w:cstheme="majorHAnsi"/>
          <w:b/>
        </w:rPr>
        <w:t>Odůvodnění vymezení řešeného území</w:t>
      </w:r>
      <w:bookmarkEnd w:id="242"/>
    </w:p>
    <w:p w14:paraId="6FE2C56C" w14:textId="77777777" w:rsidR="00954E4B" w:rsidRPr="006070EA" w:rsidRDefault="00954E4B" w:rsidP="003D1486">
      <w:pPr>
        <w:pStyle w:val="Mra2-reakceern"/>
        <w:pBdr>
          <w:left w:val="none" w:sz="0" w:space="0" w:color="auto"/>
        </w:pBdr>
        <w:spacing w:before="120" w:after="60"/>
        <w:ind w:left="0"/>
        <w:jc w:val="right"/>
        <w:rPr>
          <w:rFonts w:asciiTheme="majorHAnsi" w:hAnsiTheme="majorHAnsi" w:cstheme="majorHAnsi"/>
          <w:b/>
          <w:i/>
          <w:color w:val="auto"/>
          <w:u w:val="single"/>
        </w:rPr>
      </w:pPr>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w:t>
      </w:r>
      <w:r w:rsidR="003D1486" w:rsidRPr="006070EA">
        <w:rPr>
          <w:rFonts w:asciiTheme="majorHAnsi" w:hAnsiTheme="majorHAnsi" w:cstheme="majorHAnsi"/>
          <w:b/>
          <w:i/>
          <w:color w:val="auto"/>
          <w:u w:val="single"/>
        </w:rPr>
        <w:t>2</w:t>
      </w:r>
      <w:r w:rsidRPr="006070EA">
        <w:rPr>
          <w:rFonts w:asciiTheme="majorHAnsi" w:hAnsiTheme="majorHAnsi" w:cstheme="majorHAnsi"/>
          <w:b/>
          <w:i/>
          <w:color w:val="auto"/>
          <w:u w:val="single"/>
        </w:rPr>
        <w:t>)</w:t>
      </w:r>
      <w:r w:rsidRPr="006070EA">
        <w:rPr>
          <w:rFonts w:asciiTheme="majorHAnsi" w:hAnsiTheme="majorHAnsi" w:cstheme="majorHAnsi"/>
          <w:i/>
          <w:color w:val="auto"/>
          <w:u w:val="single"/>
        </w:rPr>
        <w:t xml:space="preserve"> výrokové části</w:t>
      </w:r>
    </w:p>
    <w:p w14:paraId="69BCA5FC" w14:textId="7B8CD0A1" w:rsidR="007D5AAE" w:rsidRPr="006070EA" w:rsidRDefault="007D5AAE" w:rsidP="009E07E1">
      <w:pPr>
        <w:pStyle w:val="Mra2-reakceern"/>
        <w:pBdr>
          <w:left w:val="none" w:sz="0" w:space="0" w:color="auto"/>
        </w:pBdr>
        <w:spacing w:before="120" w:after="60"/>
        <w:ind w:left="0" w:firstLine="709"/>
        <w:rPr>
          <w:rFonts w:asciiTheme="majorHAnsi" w:hAnsiTheme="majorHAnsi" w:cstheme="majorHAnsi"/>
          <w:color w:val="auto"/>
        </w:rPr>
      </w:pPr>
      <w:r w:rsidRPr="006070EA">
        <w:rPr>
          <w:rFonts w:asciiTheme="majorHAnsi" w:hAnsiTheme="majorHAnsi" w:cstheme="majorHAnsi"/>
          <w:color w:val="auto"/>
        </w:rPr>
        <w:t xml:space="preserve">Řešené území je vymezeno správním územím obce </w:t>
      </w:r>
      <w:r w:rsidR="008402A6" w:rsidRPr="006070EA">
        <w:rPr>
          <w:rFonts w:asciiTheme="majorHAnsi" w:hAnsiTheme="majorHAnsi" w:cstheme="majorHAnsi"/>
          <w:color w:val="auto"/>
        </w:rPr>
        <w:t>Kostomlaty nad Labem</w:t>
      </w:r>
      <w:r w:rsidR="00CF1AC7" w:rsidRPr="006070EA">
        <w:rPr>
          <w:rFonts w:asciiTheme="majorHAnsi" w:hAnsiTheme="majorHAnsi" w:cstheme="majorHAnsi"/>
          <w:color w:val="auto"/>
        </w:rPr>
        <w:t xml:space="preserve"> o celkové rozloze </w:t>
      </w:r>
      <w:r w:rsidR="008402A6" w:rsidRPr="006070EA">
        <w:rPr>
          <w:rFonts w:asciiTheme="majorHAnsi" w:hAnsiTheme="majorHAnsi" w:cstheme="majorHAnsi"/>
          <w:color w:val="auto"/>
        </w:rPr>
        <w:t>1 825,23</w:t>
      </w:r>
      <w:r w:rsidR="008E7FD7" w:rsidRPr="006070EA">
        <w:rPr>
          <w:rFonts w:asciiTheme="majorHAnsi" w:hAnsiTheme="majorHAnsi" w:cstheme="majorHAnsi"/>
          <w:color w:val="auto"/>
        </w:rPr>
        <w:t xml:space="preserve"> </w:t>
      </w:r>
      <w:r w:rsidR="00CF1AC7" w:rsidRPr="006070EA">
        <w:rPr>
          <w:rFonts w:asciiTheme="majorHAnsi" w:hAnsiTheme="majorHAnsi" w:cstheme="majorHAnsi"/>
          <w:color w:val="auto"/>
        </w:rPr>
        <w:t>ha</w:t>
      </w:r>
      <w:r w:rsidRPr="006070EA">
        <w:rPr>
          <w:rFonts w:asciiTheme="majorHAnsi" w:hAnsiTheme="majorHAnsi" w:cstheme="majorHAnsi"/>
          <w:color w:val="auto"/>
        </w:rPr>
        <w:t xml:space="preserve">. Obec tvoří </w:t>
      </w:r>
      <w:r w:rsidR="008402A6" w:rsidRPr="006070EA">
        <w:rPr>
          <w:rFonts w:asciiTheme="majorHAnsi" w:hAnsiTheme="majorHAnsi" w:cstheme="majorHAnsi"/>
          <w:color w:val="auto"/>
        </w:rPr>
        <w:t>tři</w:t>
      </w:r>
      <w:r w:rsidR="005D74BD" w:rsidRPr="006070EA">
        <w:rPr>
          <w:rFonts w:asciiTheme="majorHAnsi" w:hAnsiTheme="majorHAnsi" w:cstheme="majorHAnsi"/>
          <w:color w:val="auto"/>
        </w:rPr>
        <w:t xml:space="preserve"> katastrální území </w:t>
      </w:r>
      <w:r w:rsidR="00FA6A9A" w:rsidRPr="006070EA">
        <w:rPr>
          <w:rFonts w:asciiTheme="majorHAnsi" w:hAnsiTheme="majorHAnsi" w:cstheme="majorHAnsi"/>
          <w:color w:val="auto"/>
        </w:rPr>
        <w:t>(</w:t>
      </w:r>
      <w:r w:rsidR="008402A6" w:rsidRPr="006070EA">
        <w:rPr>
          <w:rFonts w:asciiTheme="majorHAnsi" w:hAnsiTheme="majorHAnsi" w:cstheme="majorHAnsi"/>
          <w:color w:val="auto"/>
        </w:rPr>
        <w:t>Kostomlaty nad Labem, Hronětice a Lány u Kostomlat nad Labem</w:t>
      </w:r>
      <w:r w:rsidR="00FA6A9A" w:rsidRPr="006070EA">
        <w:rPr>
          <w:rFonts w:asciiTheme="majorHAnsi" w:hAnsiTheme="majorHAnsi" w:cstheme="majorHAnsi"/>
          <w:color w:val="auto"/>
        </w:rPr>
        <w:t xml:space="preserve">) a </w:t>
      </w:r>
      <w:r w:rsidR="008402A6" w:rsidRPr="006070EA">
        <w:rPr>
          <w:rFonts w:asciiTheme="majorHAnsi" w:hAnsiTheme="majorHAnsi" w:cstheme="majorHAnsi"/>
          <w:color w:val="auto"/>
        </w:rPr>
        <w:t xml:space="preserve">pět částí obce </w:t>
      </w:r>
      <w:r w:rsidR="00FA6A9A" w:rsidRPr="006070EA">
        <w:rPr>
          <w:rFonts w:asciiTheme="majorHAnsi" w:hAnsiTheme="majorHAnsi" w:cstheme="majorHAnsi"/>
          <w:color w:val="auto"/>
        </w:rPr>
        <w:t xml:space="preserve">– </w:t>
      </w:r>
      <w:r w:rsidR="008402A6" w:rsidRPr="006070EA">
        <w:rPr>
          <w:rFonts w:asciiTheme="majorHAnsi" w:hAnsiTheme="majorHAnsi" w:cstheme="majorHAnsi"/>
          <w:color w:val="auto"/>
        </w:rPr>
        <w:t>Hronětice, Kostomlaty nad Labem, Lány, Rozkoš a Vápensko (současně základní sídelní jednotky)</w:t>
      </w:r>
      <w:r w:rsidR="00FA6A9A" w:rsidRPr="006070EA">
        <w:rPr>
          <w:rFonts w:asciiTheme="majorHAnsi" w:hAnsiTheme="majorHAnsi" w:cstheme="majorHAnsi"/>
          <w:color w:val="auto"/>
        </w:rPr>
        <w:t>.</w:t>
      </w:r>
    </w:p>
    <w:p w14:paraId="0538A82A" w14:textId="1659333A" w:rsidR="00CF1AC7" w:rsidRPr="006070EA" w:rsidRDefault="00CF1AC7" w:rsidP="009E07E1">
      <w:pPr>
        <w:pStyle w:val="Mra2-reakceern"/>
        <w:pBdr>
          <w:left w:val="none" w:sz="0" w:space="0" w:color="auto"/>
        </w:pBdr>
        <w:spacing w:after="60"/>
        <w:ind w:left="0" w:firstLine="709"/>
        <w:rPr>
          <w:rFonts w:asciiTheme="majorHAnsi" w:hAnsiTheme="majorHAnsi" w:cstheme="majorHAnsi"/>
          <w:color w:val="auto"/>
        </w:rPr>
      </w:pPr>
      <w:r w:rsidRPr="006070EA">
        <w:rPr>
          <w:rFonts w:asciiTheme="majorHAnsi" w:hAnsiTheme="majorHAnsi" w:cstheme="majorHAnsi"/>
          <w:color w:val="auto"/>
        </w:rPr>
        <w:t xml:space="preserve">Obec </w:t>
      </w:r>
      <w:r w:rsidR="008402A6" w:rsidRPr="006070EA">
        <w:rPr>
          <w:rFonts w:asciiTheme="majorHAnsi" w:hAnsiTheme="majorHAnsi" w:cstheme="majorHAnsi"/>
          <w:color w:val="auto"/>
        </w:rPr>
        <w:t>Kostomlaty nad Labem</w:t>
      </w:r>
      <w:r w:rsidR="00FA6A9A" w:rsidRPr="006070EA">
        <w:rPr>
          <w:rFonts w:asciiTheme="majorHAnsi" w:hAnsiTheme="majorHAnsi" w:cstheme="majorHAnsi"/>
          <w:color w:val="auto"/>
        </w:rPr>
        <w:t xml:space="preserve"> náleží dle administrativního členění do </w:t>
      </w:r>
      <w:r w:rsidR="008402A6" w:rsidRPr="006070EA">
        <w:rPr>
          <w:rFonts w:asciiTheme="majorHAnsi" w:hAnsiTheme="majorHAnsi" w:cstheme="majorHAnsi"/>
          <w:color w:val="auto"/>
        </w:rPr>
        <w:t xml:space="preserve">Středočeského </w:t>
      </w:r>
      <w:r w:rsidR="00FA6A9A" w:rsidRPr="006070EA">
        <w:rPr>
          <w:rFonts w:asciiTheme="majorHAnsi" w:hAnsiTheme="majorHAnsi" w:cstheme="majorHAnsi"/>
          <w:color w:val="auto"/>
        </w:rPr>
        <w:t xml:space="preserve">kraje. Obcí s rozšířenou působností a zároveň obcí s pověřeným úřadem je </w:t>
      </w:r>
      <w:r w:rsidR="008402A6" w:rsidRPr="006070EA">
        <w:rPr>
          <w:rFonts w:asciiTheme="majorHAnsi" w:hAnsiTheme="majorHAnsi" w:cstheme="majorHAnsi"/>
          <w:color w:val="auto"/>
        </w:rPr>
        <w:t>město Nymburk</w:t>
      </w:r>
      <w:r w:rsidR="0011181C" w:rsidRPr="006070EA">
        <w:rPr>
          <w:rFonts w:asciiTheme="majorHAnsi" w:hAnsiTheme="majorHAnsi" w:cstheme="majorHAnsi"/>
          <w:color w:val="auto"/>
        </w:rPr>
        <w:t>.</w:t>
      </w:r>
    </w:p>
    <w:p w14:paraId="69981125" w14:textId="77777777" w:rsidR="00FA6A9A" w:rsidRPr="006070EA" w:rsidRDefault="00FA6A9A"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243" w:name="_Toc424119827"/>
      <w:bookmarkStart w:id="244" w:name="_Toc204678189"/>
      <w:bookmarkStart w:id="245" w:name="_Toc424119825"/>
      <w:r w:rsidRPr="006070EA">
        <w:rPr>
          <w:rFonts w:asciiTheme="majorHAnsi" w:hAnsiTheme="majorHAnsi" w:cstheme="majorHAnsi"/>
          <w:b/>
        </w:rPr>
        <w:t>Odůvodnění koncepce rozvoje území</w:t>
      </w:r>
      <w:bookmarkEnd w:id="243"/>
      <w:r w:rsidRPr="006070EA">
        <w:rPr>
          <w:rFonts w:asciiTheme="majorHAnsi" w:hAnsiTheme="majorHAnsi" w:cstheme="majorHAnsi"/>
          <w:b/>
        </w:rPr>
        <w:t xml:space="preserve"> obce</w:t>
      </w:r>
      <w:bookmarkEnd w:id="244"/>
    </w:p>
    <w:p w14:paraId="09D6B9FF" w14:textId="77777777" w:rsidR="00DD1FEF" w:rsidRPr="006070EA" w:rsidRDefault="00DD1FEF" w:rsidP="002118D2">
      <w:pPr>
        <w:pStyle w:val="Mra2-reakceern"/>
        <w:keepNext/>
        <w:pBdr>
          <w:left w:val="none" w:sz="0" w:space="0" w:color="auto"/>
        </w:pBdr>
        <w:spacing w:before="120" w:after="60"/>
        <w:ind w:left="0"/>
        <w:rPr>
          <w:rFonts w:asciiTheme="majorHAnsi" w:hAnsiTheme="majorHAnsi" w:cstheme="majorHAnsi"/>
          <w:color w:val="auto"/>
          <w:u w:val="single"/>
        </w:rPr>
      </w:pPr>
      <w:r w:rsidRPr="006070EA">
        <w:rPr>
          <w:rFonts w:asciiTheme="majorHAnsi" w:hAnsiTheme="majorHAnsi" w:cstheme="majorHAnsi"/>
          <w:color w:val="auto"/>
          <w:u w:val="single"/>
        </w:rPr>
        <w:t>Hlavní podklady pro stanovení koncepce rozvoje území obce:</w:t>
      </w:r>
    </w:p>
    <w:p w14:paraId="0DAA214A" w14:textId="77777777" w:rsidR="00DD1FEF" w:rsidRPr="006070EA" w:rsidRDefault="00DD1FEF" w:rsidP="0036779E">
      <w:pPr>
        <w:pStyle w:val="Mra2-reakceern"/>
        <w:numPr>
          <w:ilvl w:val="0"/>
          <w:numId w:val="19"/>
        </w:numPr>
        <w:pBdr>
          <w:left w:val="none" w:sz="0" w:space="0" w:color="auto"/>
        </w:pBdr>
        <w:rPr>
          <w:rFonts w:asciiTheme="majorHAnsi" w:hAnsiTheme="majorHAnsi" w:cstheme="majorHAnsi"/>
          <w:color w:val="auto"/>
          <w:szCs w:val="20"/>
        </w:rPr>
      </w:pPr>
      <w:r w:rsidRPr="006070EA">
        <w:rPr>
          <w:rFonts w:asciiTheme="majorHAnsi" w:hAnsiTheme="majorHAnsi" w:cstheme="majorHAnsi"/>
          <w:color w:val="auto"/>
          <w:szCs w:val="20"/>
        </w:rPr>
        <w:t>zákon č. 183/2006 Sb., o územním plánování a stavebním řádu, a jeho prováděcí vyhlášky</w:t>
      </w:r>
    </w:p>
    <w:p w14:paraId="52CBC975" w14:textId="769897DE" w:rsidR="00DD1FEF" w:rsidRPr="006070EA" w:rsidRDefault="00DD1FEF" w:rsidP="0036779E">
      <w:pPr>
        <w:pStyle w:val="Mra2-reakceern"/>
        <w:numPr>
          <w:ilvl w:val="0"/>
          <w:numId w:val="19"/>
        </w:numPr>
        <w:pBdr>
          <w:left w:val="none" w:sz="0" w:space="0" w:color="auto"/>
        </w:pBdr>
        <w:rPr>
          <w:rFonts w:asciiTheme="majorHAnsi" w:hAnsiTheme="majorHAnsi" w:cstheme="majorHAnsi"/>
          <w:color w:val="auto"/>
          <w:szCs w:val="20"/>
        </w:rPr>
      </w:pPr>
      <w:r w:rsidRPr="006070EA">
        <w:rPr>
          <w:rFonts w:asciiTheme="majorHAnsi" w:hAnsiTheme="majorHAnsi" w:cstheme="majorHAnsi"/>
          <w:color w:val="auto"/>
          <w:szCs w:val="20"/>
        </w:rPr>
        <w:t>PÚR ČR (</w:t>
      </w:r>
      <w:r w:rsidR="008A49E7" w:rsidRPr="006070EA">
        <w:rPr>
          <w:rFonts w:asciiTheme="majorHAnsi" w:hAnsiTheme="majorHAnsi" w:cstheme="majorHAnsi"/>
          <w:color w:val="auto"/>
          <w:szCs w:val="20"/>
        </w:rPr>
        <w:t>ve znění aktualizací č. 1, 2, 3, 4</w:t>
      </w:r>
      <w:r w:rsidR="00804E2A" w:rsidRPr="006070EA">
        <w:rPr>
          <w:rFonts w:asciiTheme="majorHAnsi" w:hAnsiTheme="majorHAnsi" w:cstheme="majorHAnsi"/>
          <w:color w:val="auto"/>
          <w:szCs w:val="20"/>
        </w:rPr>
        <w:t>,</w:t>
      </w:r>
      <w:r w:rsidR="008A49E7" w:rsidRPr="006070EA">
        <w:rPr>
          <w:rFonts w:asciiTheme="majorHAnsi" w:hAnsiTheme="majorHAnsi" w:cstheme="majorHAnsi"/>
          <w:color w:val="auto"/>
          <w:szCs w:val="20"/>
        </w:rPr>
        <w:t xml:space="preserve"> 5</w:t>
      </w:r>
      <w:r w:rsidR="00804E2A" w:rsidRPr="006070EA">
        <w:rPr>
          <w:rFonts w:asciiTheme="majorHAnsi" w:hAnsiTheme="majorHAnsi" w:cstheme="majorHAnsi"/>
          <w:color w:val="auto"/>
          <w:szCs w:val="20"/>
        </w:rPr>
        <w:t xml:space="preserve"> a 6</w:t>
      </w:r>
      <w:r w:rsidRPr="006070EA">
        <w:rPr>
          <w:rFonts w:asciiTheme="majorHAnsi" w:hAnsiTheme="majorHAnsi" w:cstheme="majorHAnsi"/>
          <w:color w:val="auto"/>
          <w:szCs w:val="20"/>
        </w:rPr>
        <w:t>)</w:t>
      </w:r>
    </w:p>
    <w:p w14:paraId="6EFC6278" w14:textId="05EA60C0" w:rsidR="00DD1FEF" w:rsidRPr="006070EA" w:rsidRDefault="00DD1FEF" w:rsidP="0036779E">
      <w:pPr>
        <w:pStyle w:val="Mra2-reakceern"/>
        <w:numPr>
          <w:ilvl w:val="0"/>
          <w:numId w:val="19"/>
        </w:numPr>
        <w:pBdr>
          <w:left w:val="none" w:sz="0" w:space="0" w:color="auto"/>
        </w:pBdr>
        <w:rPr>
          <w:rFonts w:asciiTheme="majorHAnsi" w:hAnsiTheme="majorHAnsi" w:cstheme="majorHAnsi"/>
          <w:color w:val="auto"/>
          <w:szCs w:val="20"/>
        </w:rPr>
      </w:pPr>
      <w:r w:rsidRPr="006070EA">
        <w:rPr>
          <w:rFonts w:asciiTheme="majorHAnsi" w:hAnsiTheme="majorHAnsi" w:cstheme="majorHAnsi"/>
          <w:color w:val="auto"/>
          <w:szCs w:val="20"/>
        </w:rPr>
        <w:t xml:space="preserve">Zásady územního rozvoje </w:t>
      </w:r>
      <w:r w:rsidR="00B11564" w:rsidRPr="006070EA">
        <w:rPr>
          <w:rFonts w:asciiTheme="majorHAnsi" w:hAnsiTheme="majorHAnsi" w:cstheme="majorHAnsi"/>
          <w:color w:val="auto"/>
          <w:szCs w:val="20"/>
        </w:rPr>
        <w:t>Středočeského</w:t>
      </w:r>
      <w:r w:rsidRPr="006070EA">
        <w:rPr>
          <w:rFonts w:asciiTheme="majorHAnsi" w:hAnsiTheme="majorHAnsi" w:cstheme="majorHAnsi"/>
          <w:color w:val="auto"/>
          <w:szCs w:val="20"/>
        </w:rPr>
        <w:t xml:space="preserve"> kraje (</w:t>
      </w:r>
      <w:r w:rsidR="008A49E7" w:rsidRPr="006070EA">
        <w:rPr>
          <w:rFonts w:asciiTheme="majorHAnsi" w:hAnsiTheme="majorHAnsi" w:cstheme="majorHAnsi"/>
          <w:color w:val="auto"/>
          <w:szCs w:val="20"/>
        </w:rPr>
        <w:t>ve znění Aktualizací č. 1</w:t>
      </w:r>
      <w:r w:rsidR="00804E2A" w:rsidRPr="006070EA">
        <w:rPr>
          <w:rFonts w:asciiTheme="majorHAnsi" w:hAnsiTheme="majorHAnsi" w:cstheme="majorHAnsi"/>
          <w:color w:val="auto"/>
          <w:szCs w:val="20"/>
        </w:rPr>
        <w:t>,</w:t>
      </w:r>
      <w:r w:rsidR="008A49E7" w:rsidRPr="006070EA">
        <w:rPr>
          <w:rFonts w:asciiTheme="majorHAnsi" w:hAnsiTheme="majorHAnsi" w:cstheme="majorHAnsi"/>
          <w:color w:val="auto"/>
          <w:szCs w:val="20"/>
        </w:rPr>
        <w:t xml:space="preserve"> 2</w:t>
      </w:r>
      <w:r w:rsidR="00804E2A" w:rsidRPr="006070EA">
        <w:rPr>
          <w:rFonts w:asciiTheme="majorHAnsi" w:hAnsiTheme="majorHAnsi" w:cstheme="majorHAnsi"/>
          <w:color w:val="auto"/>
          <w:szCs w:val="20"/>
        </w:rPr>
        <w:t>, 7 a 6</w:t>
      </w:r>
      <w:r w:rsidRPr="006070EA">
        <w:rPr>
          <w:rFonts w:asciiTheme="majorHAnsi" w:hAnsiTheme="majorHAnsi" w:cstheme="majorHAnsi"/>
          <w:color w:val="auto"/>
          <w:szCs w:val="20"/>
        </w:rPr>
        <w:t>)</w:t>
      </w:r>
    </w:p>
    <w:p w14:paraId="635A950C" w14:textId="22A179EA" w:rsidR="00DD1FEF" w:rsidRPr="006070EA" w:rsidRDefault="00DD1FEF" w:rsidP="0036779E">
      <w:pPr>
        <w:pStyle w:val="Mra2-reakceern"/>
        <w:numPr>
          <w:ilvl w:val="0"/>
          <w:numId w:val="19"/>
        </w:numPr>
        <w:pBdr>
          <w:left w:val="none" w:sz="0" w:space="0" w:color="auto"/>
        </w:pBdr>
        <w:rPr>
          <w:rFonts w:asciiTheme="majorHAnsi" w:hAnsiTheme="majorHAnsi" w:cstheme="majorHAnsi"/>
          <w:color w:val="auto"/>
          <w:szCs w:val="20"/>
        </w:rPr>
      </w:pPr>
      <w:r w:rsidRPr="006070EA">
        <w:rPr>
          <w:rFonts w:asciiTheme="majorHAnsi" w:hAnsiTheme="majorHAnsi" w:cstheme="majorHAnsi"/>
          <w:color w:val="auto"/>
          <w:szCs w:val="20"/>
        </w:rPr>
        <w:t xml:space="preserve">ÚAP SO ORP </w:t>
      </w:r>
      <w:r w:rsidR="008A49E7" w:rsidRPr="006070EA">
        <w:rPr>
          <w:rFonts w:asciiTheme="majorHAnsi" w:hAnsiTheme="majorHAnsi" w:cstheme="majorHAnsi"/>
          <w:color w:val="auto"/>
          <w:szCs w:val="20"/>
        </w:rPr>
        <w:t>Nymburk</w:t>
      </w:r>
      <w:r w:rsidRPr="006070EA">
        <w:rPr>
          <w:rFonts w:asciiTheme="majorHAnsi" w:hAnsiTheme="majorHAnsi" w:cstheme="majorHAnsi"/>
          <w:color w:val="auto"/>
          <w:szCs w:val="20"/>
        </w:rPr>
        <w:t xml:space="preserve"> </w:t>
      </w:r>
    </w:p>
    <w:p w14:paraId="2514C627" w14:textId="626C1CAE" w:rsidR="00BF0CD7" w:rsidRPr="006070EA" w:rsidRDefault="00BF0CD7" w:rsidP="0036779E">
      <w:pPr>
        <w:pStyle w:val="Odstavecseseznamem"/>
        <w:numPr>
          <w:ilvl w:val="0"/>
          <w:numId w:val="19"/>
        </w:numPr>
        <w:spacing w:after="0" w:line="240" w:lineRule="auto"/>
        <w:contextualSpacing w:val="0"/>
        <w:jc w:val="both"/>
        <w:rPr>
          <w:rFonts w:asciiTheme="majorHAnsi" w:hAnsiTheme="majorHAnsi" w:cstheme="majorHAnsi"/>
          <w:sz w:val="18"/>
        </w:rPr>
      </w:pPr>
      <w:r w:rsidRPr="006070EA">
        <w:rPr>
          <w:rFonts w:asciiTheme="majorHAnsi" w:hAnsiTheme="majorHAnsi" w:cstheme="majorHAnsi"/>
          <w:sz w:val="18"/>
        </w:rPr>
        <w:t xml:space="preserve">ÚPO </w:t>
      </w:r>
      <w:r w:rsidR="008A49E7" w:rsidRPr="006070EA">
        <w:rPr>
          <w:rFonts w:asciiTheme="majorHAnsi" w:hAnsiTheme="majorHAnsi" w:cstheme="majorHAnsi"/>
          <w:sz w:val="18"/>
        </w:rPr>
        <w:t>Kostomlaty nad Labem</w:t>
      </w:r>
      <w:r w:rsidRPr="006070EA">
        <w:rPr>
          <w:rFonts w:asciiTheme="majorHAnsi" w:hAnsiTheme="majorHAnsi" w:cstheme="majorHAnsi"/>
          <w:sz w:val="18"/>
        </w:rPr>
        <w:t xml:space="preserve"> (200</w:t>
      </w:r>
      <w:r w:rsidR="008A49E7" w:rsidRPr="006070EA">
        <w:rPr>
          <w:rFonts w:asciiTheme="majorHAnsi" w:hAnsiTheme="majorHAnsi" w:cstheme="majorHAnsi"/>
          <w:sz w:val="18"/>
        </w:rPr>
        <w:t>3</w:t>
      </w:r>
      <w:r w:rsidRPr="006070EA">
        <w:rPr>
          <w:rFonts w:asciiTheme="majorHAnsi" w:hAnsiTheme="majorHAnsi" w:cstheme="majorHAnsi"/>
          <w:sz w:val="18"/>
        </w:rPr>
        <w:t>)</w:t>
      </w:r>
    </w:p>
    <w:p w14:paraId="29028303" w14:textId="2C2B151A" w:rsidR="004254E6" w:rsidRPr="006070EA" w:rsidRDefault="004254E6" w:rsidP="0036779E">
      <w:pPr>
        <w:pStyle w:val="Mra2-reakceern"/>
        <w:numPr>
          <w:ilvl w:val="0"/>
          <w:numId w:val="19"/>
        </w:numPr>
        <w:pBdr>
          <w:left w:val="none" w:sz="0" w:space="0" w:color="auto"/>
        </w:pBdr>
        <w:rPr>
          <w:rFonts w:asciiTheme="majorHAnsi" w:hAnsiTheme="majorHAnsi" w:cstheme="majorHAnsi"/>
          <w:color w:val="auto"/>
          <w:szCs w:val="20"/>
        </w:rPr>
      </w:pPr>
      <w:r w:rsidRPr="006070EA">
        <w:rPr>
          <w:rFonts w:asciiTheme="majorHAnsi" w:hAnsiTheme="majorHAnsi" w:cstheme="majorHAnsi"/>
          <w:color w:val="auto"/>
          <w:szCs w:val="20"/>
        </w:rPr>
        <w:t xml:space="preserve">Zadání ÚP </w:t>
      </w:r>
      <w:r w:rsidR="008A49E7" w:rsidRPr="006070EA">
        <w:rPr>
          <w:rFonts w:asciiTheme="majorHAnsi" w:hAnsiTheme="majorHAnsi" w:cstheme="majorHAnsi"/>
          <w:color w:val="auto"/>
        </w:rPr>
        <w:t>Kostomlaty nad Labem</w:t>
      </w:r>
      <w:r w:rsidR="00BF0CD7" w:rsidRPr="006070EA">
        <w:rPr>
          <w:rFonts w:asciiTheme="majorHAnsi" w:hAnsiTheme="majorHAnsi" w:cstheme="majorHAnsi"/>
          <w:color w:val="auto"/>
        </w:rPr>
        <w:t xml:space="preserve"> </w:t>
      </w:r>
      <w:r w:rsidRPr="006070EA">
        <w:rPr>
          <w:rFonts w:asciiTheme="majorHAnsi" w:hAnsiTheme="majorHAnsi" w:cstheme="majorHAnsi"/>
          <w:color w:val="auto"/>
          <w:szCs w:val="20"/>
        </w:rPr>
        <w:t>(20</w:t>
      </w:r>
      <w:r w:rsidR="008A49E7" w:rsidRPr="006070EA">
        <w:rPr>
          <w:rFonts w:asciiTheme="majorHAnsi" w:hAnsiTheme="majorHAnsi" w:cstheme="majorHAnsi"/>
          <w:color w:val="auto"/>
          <w:szCs w:val="20"/>
        </w:rPr>
        <w:t>21</w:t>
      </w:r>
      <w:r w:rsidRPr="006070EA">
        <w:rPr>
          <w:rFonts w:asciiTheme="majorHAnsi" w:hAnsiTheme="majorHAnsi" w:cstheme="majorHAnsi"/>
          <w:color w:val="auto"/>
          <w:szCs w:val="20"/>
        </w:rPr>
        <w:t>)</w:t>
      </w:r>
    </w:p>
    <w:p w14:paraId="6068D072" w14:textId="23EE14B2" w:rsidR="004254E6" w:rsidRPr="006070EA" w:rsidRDefault="004254E6" w:rsidP="0036779E">
      <w:pPr>
        <w:pStyle w:val="Mra2-reakceern"/>
        <w:numPr>
          <w:ilvl w:val="0"/>
          <w:numId w:val="19"/>
        </w:numPr>
        <w:pBdr>
          <w:left w:val="none" w:sz="0" w:space="0" w:color="auto"/>
        </w:pBdr>
        <w:rPr>
          <w:rFonts w:asciiTheme="majorHAnsi" w:hAnsiTheme="majorHAnsi" w:cstheme="majorHAnsi"/>
          <w:color w:val="auto"/>
          <w:szCs w:val="20"/>
        </w:rPr>
      </w:pPr>
      <w:r w:rsidRPr="006070EA">
        <w:rPr>
          <w:rFonts w:asciiTheme="majorHAnsi" w:hAnsiTheme="majorHAnsi" w:cstheme="majorHAnsi"/>
          <w:color w:val="auto"/>
          <w:szCs w:val="20"/>
        </w:rPr>
        <w:t>Terénní průzkum</w:t>
      </w:r>
      <w:r w:rsidR="008A49E7" w:rsidRPr="006070EA">
        <w:rPr>
          <w:rFonts w:asciiTheme="majorHAnsi" w:hAnsiTheme="majorHAnsi" w:cstheme="majorHAnsi"/>
          <w:color w:val="auto"/>
          <w:szCs w:val="20"/>
        </w:rPr>
        <w:t xml:space="preserve"> a analytická činnost</w:t>
      </w:r>
      <w:r w:rsidRPr="006070EA">
        <w:rPr>
          <w:rFonts w:asciiTheme="majorHAnsi" w:hAnsiTheme="majorHAnsi" w:cstheme="majorHAnsi"/>
          <w:color w:val="auto"/>
          <w:szCs w:val="20"/>
        </w:rPr>
        <w:t xml:space="preserve"> zpracovatele ÚP</w:t>
      </w:r>
    </w:p>
    <w:p w14:paraId="29A2FA98" w14:textId="77777777" w:rsidR="008A49E7" w:rsidRPr="006070EA" w:rsidRDefault="008A49E7" w:rsidP="008A49E7">
      <w:pPr>
        <w:pStyle w:val="Odstavecseseznamem"/>
        <w:numPr>
          <w:ilvl w:val="0"/>
          <w:numId w:val="19"/>
        </w:numPr>
        <w:spacing w:after="120" w:line="240" w:lineRule="auto"/>
        <w:jc w:val="both"/>
        <w:rPr>
          <w:rFonts w:asciiTheme="majorHAnsi" w:hAnsiTheme="majorHAnsi" w:cstheme="majorHAnsi"/>
          <w:sz w:val="18"/>
        </w:rPr>
      </w:pPr>
      <w:r w:rsidRPr="006070EA">
        <w:rPr>
          <w:rFonts w:asciiTheme="majorHAnsi" w:hAnsiTheme="majorHAnsi" w:cstheme="majorHAnsi"/>
          <w:sz w:val="18"/>
        </w:rPr>
        <w:t>strategické a koncepční dokumenty Středočeského kraje (konkrétní dokumenty jsou uvedeny v tematických kapitolách)</w:t>
      </w:r>
    </w:p>
    <w:p w14:paraId="4099CE9B" w14:textId="77777777" w:rsidR="008A49E7" w:rsidRPr="006070EA" w:rsidRDefault="008A49E7" w:rsidP="008A49E7">
      <w:pPr>
        <w:pStyle w:val="Odstavecseseznamem"/>
        <w:numPr>
          <w:ilvl w:val="0"/>
          <w:numId w:val="19"/>
        </w:numPr>
        <w:spacing w:after="0" w:line="240" w:lineRule="auto"/>
        <w:jc w:val="both"/>
        <w:rPr>
          <w:rFonts w:asciiTheme="majorHAnsi" w:hAnsiTheme="majorHAnsi" w:cstheme="majorHAnsi"/>
          <w:sz w:val="18"/>
        </w:rPr>
      </w:pPr>
      <w:r w:rsidRPr="006070EA">
        <w:rPr>
          <w:rFonts w:asciiTheme="majorHAnsi" w:hAnsiTheme="majorHAnsi" w:cstheme="majorHAnsi"/>
          <w:sz w:val="18"/>
        </w:rPr>
        <w:t>platná legislativa a ČSN</w:t>
      </w:r>
    </w:p>
    <w:p w14:paraId="301194C2" w14:textId="39D9A43C" w:rsidR="00FA6A9A" w:rsidRPr="006070EA" w:rsidRDefault="009D4634" w:rsidP="009E07E1">
      <w:pPr>
        <w:pStyle w:val="Mra2-reakceern"/>
        <w:pBdr>
          <w:left w:val="none" w:sz="0" w:space="0" w:color="auto"/>
        </w:pBdr>
        <w:spacing w:before="120" w:after="60"/>
        <w:ind w:left="0"/>
        <w:jc w:val="right"/>
        <w:rPr>
          <w:rFonts w:asciiTheme="majorHAnsi" w:hAnsiTheme="majorHAnsi" w:cstheme="majorHAnsi"/>
          <w:i/>
          <w:color w:val="auto"/>
          <w:u w:val="single"/>
        </w:rPr>
      </w:pPr>
      <w:r w:rsidRPr="006070EA">
        <w:rPr>
          <w:rFonts w:asciiTheme="majorHAnsi" w:hAnsiTheme="majorHAnsi" w:cstheme="majorHAnsi"/>
          <w:i/>
          <w:color w:val="auto"/>
          <w:u w:val="single"/>
        </w:rPr>
        <w:t xml:space="preserve">Odůvodnění </w:t>
      </w:r>
      <w:r w:rsidR="00FA6A9A" w:rsidRPr="006070EA">
        <w:rPr>
          <w:rFonts w:asciiTheme="majorHAnsi" w:hAnsiTheme="majorHAnsi" w:cstheme="majorHAnsi"/>
          <w:i/>
          <w:color w:val="auto"/>
          <w:u w:val="single"/>
        </w:rPr>
        <w:t xml:space="preserve">odst. </w:t>
      </w:r>
      <w:r w:rsidR="00FA6A9A" w:rsidRPr="006070EA">
        <w:rPr>
          <w:rFonts w:asciiTheme="majorHAnsi" w:hAnsiTheme="majorHAnsi" w:cstheme="majorHAnsi"/>
          <w:b/>
          <w:i/>
          <w:color w:val="auto"/>
          <w:u w:val="single"/>
        </w:rPr>
        <w:t>(</w:t>
      </w:r>
      <w:r w:rsidR="003D1486" w:rsidRPr="006070EA">
        <w:rPr>
          <w:rFonts w:asciiTheme="majorHAnsi" w:hAnsiTheme="majorHAnsi" w:cstheme="majorHAnsi"/>
          <w:b/>
          <w:i/>
          <w:color w:val="auto"/>
          <w:u w:val="single"/>
        </w:rPr>
        <w:t>3</w:t>
      </w:r>
      <w:r w:rsidR="00FA6A9A" w:rsidRPr="006070EA">
        <w:rPr>
          <w:rFonts w:asciiTheme="majorHAnsi" w:hAnsiTheme="majorHAnsi" w:cstheme="majorHAnsi"/>
          <w:b/>
          <w:i/>
          <w:color w:val="auto"/>
          <w:u w:val="single"/>
        </w:rPr>
        <w:t>)</w:t>
      </w:r>
      <w:r w:rsidR="00FA6A9A" w:rsidRPr="006070EA">
        <w:rPr>
          <w:rFonts w:asciiTheme="majorHAnsi" w:hAnsiTheme="majorHAnsi" w:cstheme="majorHAnsi"/>
          <w:i/>
          <w:color w:val="auto"/>
          <w:u w:val="single"/>
        </w:rPr>
        <w:t xml:space="preserve"> výrokové části</w:t>
      </w:r>
      <w:r w:rsidRPr="006070EA">
        <w:rPr>
          <w:rFonts w:asciiTheme="majorHAnsi" w:hAnsiTheme="majorHAnsi" w:cstheme="majorHAnsi"/>
          <w:i/>
          <w:color w:val="auto"/>
          <w:u w:val="single"/>
        </w:rPr>
        <w:t xml:space="preserve">, obecné odůvodnění </w:t>
      </w:r>
      <w:r w:rsidR="008A49E7" w:rsidRPr="006070EA">
        <w:rPr>
          <w:rFonts w:asciiTheme="majorHAnsi" w:hAnsiTheme="majorHAnsi" w:cstheme="majorHAnsi"/>
          <w:i/>
          <w:color w:val="auto"/>
          <w:u w:val="single"/>
        </w:rPr>
        <w:t xml:space="preserve">koncepce </w:t>
      </w:r>
      <w:r w:rsidRPr="006070EA">
        <w:rPr>
          <w:rFonts w:asciiTheme="majorHAnsi" w:hAnsiTheme="majorHAnsi" w:cstheme="majorHAnsi"/>
          <w:i/>
          <w:color w:val="auto"/>
          <w:u w:val="single"/>
        </w:rPr>
        <w:t xml:space="preserve">ÚP </w:t>
      </w:r>
      <w:r w:rsidR="008A49E7" w:rsidRPr="006070EA">
        <w:rPr>
          <w:rFonts w:asciiTheme="majorHAnsi" w:hAnsiTheme="majorHAnsi" w:cstheme="majorHAnsi"/>
          <w:i/>
          <w:color w:val="auto"/>
          <w:u w:val="single"/>
        </w:rPr>
        <w:t>Kostomlaty nad Labem</w:t>
      </w:r>
    </w:p>
    <w:p w14:paraId="2D84AD2C" w14:textId="4584F69F" w:rsidR="00FA6A9A" w:rsidRPr="006070EA" w:rsidRDefault="00FA6A9A" w:rsidP="009E07E1">
      <w:pPr>
        <w:spacing w:before="120" w:after="120" w:line="240" w:lineRule="auto"/>
        <w:rPr>
          <w:rFonts w:asciiTheme="majorHAnsi" w:hAnsiTheme="majorHAnsi" w:cstheme="majorHAnsi"/>
          <w:b/>
          <w:sz w:val="18"/>
          <w:szCs w:val="20"/>
        </w:rPr>
      </w:pPr>
      <w:r w:rsidRPr="006070EA">
        <w:rPr>
          <w:rFonts w:asciiTheme="majorHAnsi" w:hAnsiTheme="majorHAnsi" w:cstheme="majorHAnsi"/>
          <w:b/>
          <w:sz w:val="18"/>
          <w:szCs w:val="20"/>
        </w:rPr>
        <w:t>Východiska koncepce rozvoje území</w:t>
      </w:r>
    </w:p>
    <w:p w14:paraId="55F42A87" w14:textId="675B317F" w:rsidR="00FA6A9A" w:rsidRPr="006070EA" w:rsidRDefault="00FA6A9A" w:rsidP="0036779E">
      <w:pPr>
        <w:pStyle w:val="Odstavecseseznamem"/>
        <w:numPr>
          <w:ilvl w:val="0"/>
          <w:numId w:val="4"/>
        </w:numPr>
        <w:spacing w:after="120" w:line="240" w:lineRule="auto"/>
        <w:jc w:val="both"/>
        <w:rPr>
          <w:rFonts w:asciiTheme="majorHAnsi" w:hAnsiTheme="majorHAnsi" w:cstheme="majorHAnsi"/>
          <w:sz w:val="18"/>
          <w:szCs w:val="18"/>
        </w:rPr>
      </w:pPr>
      <w:r w:rsidRPr="006070EA">
        <w:rPr>
          <w:rFonts w:asciiTheme="majorHAnsi" w:hAnsiTheme="majorHAnsi" w:cstheme="majorHAnsi"/>
          <w:sz w:val="18"/>
          <w:szCs w:val="18"/>
        </w:rPr>
        <w:t xml:space="preserve">stabilizovaná historicky utvářená urbanistická struktura a prostorové uspořádání </w:t>
      </w:r>
      <w:r w:rsidR="008A49E7" w:rsidRPr="006070EA">
        <w:rPr>
          <w:rFonts w:asciiTheme="majorHAnsi" w:hAnsiTheme="majorHAnsi" w:cstheme="majorHAnsi"/>
          <w:sz w:val="18"/>
          <w:szCs w:val="18"/>
        </w:rPr>
        <w:t>sídel (viz kapitola 11.3)</w:t>
      </w:r>
    </w:p>
    <w:p w14:paraId="13106A11" w14:textId="2887DE3F" w:rsidR="00FA6A9A" w:rsidRPr="006070EA" w:rsidRDefault="00FA6A9A" w:rsidP="0036779E">
      <w:pPr>
        <w:pStyle w:val="Odstavecseseznamem"/>
        <w:numPr>
          <w:ilvl w:val="0"/>
          <w:numId w:val="4"/>
        </w:numPr>
        <w:spacing w:before="120" w:after="120" w:line="240" w:lineRule="auto"/>
        <w:jc w:val="both"/>
        <w:rPr>
          <w:rFonts w:asciiTheme="majorHAnsi" w:hAnsiTheme="majorHAnsi" w:cstheme="majorHAnsi"/>
          <w:sz w:val="18"/>
          <w:szCs w:val="18"/>
        </w:rPr>
      </w:pPr>
      <w:r w:rsidRPr="006070EA">
        <w:rPr>
          <w:rFonts w:asciiTheme="majorHAnsi" w:hAnsiTheme="majorHAnsi" w:cstheme="majorHAnsi"/>
          <w:sz w:val="18"/>
          <w:szCs w:val="18"/>
        </w:rPr>
        <w:t>geografická poloha obce</w:t>
      </w:r>
      <w:r w:rsidR="008A49E7" w:rsidRPr="006070EA">
        <w:rPr>
          <w:rFonts w:asciiTheme="majorHAnsi" w:hAnsiTheme="majorHAnsi" w:cstheme="majorHAnsi"/>
          <w:sz w:val="18"/>
          <w:szCs w:val="18"/>
        </w:rPr>
        <w:t xml:space="preserve"> a související východiska</w:t>
      </w:r>
    </w:p>
    <w:p w14:paraId="77C1CCAA" w14:textId="77777777" w:rsidR="00640505" w:rsidRPr="006070EA" w:rsidRDefault="00640505" w:rsidP="0036779E">
      <w:pPr>
        <w:pStyle w:val="Odstavecseseznamem"/>
        <w:numPr>
          <w:ilvl w:val="0"/>
          <w:numId w:val="4"/>
        </w:numPr>
        <w:spacing w:before="120" w:after="120" w:line="240" w:lineRule="auto"/>
        <w:jc w:val="both"/>
        <w:rPr>
          <w:rFonts w:asciiTheme="majorHAnsi" w:hAnsiTheme="majorHAnsi" w:cstheme="majorHAnsi"/>
          <w:sz w:val="18"/>
          <w:szCs w:val="18"/>
        </w:rPr>
      </w:pPr>
      <w:r w:rsidRPr="006070EA">
        <w:rPr>
          <w:rFonts w:asciiTheme="majorHAnsi" w:hAnsiTheme="majorHAnsi" w:cstheme="majorHAnsi"/>
          <w:sz w:val="18"/>
          <w:szCs w:val="18"/>
        </w:rPr>
        <w:t>dopravní dostupnost obce</w:t>
      </w:r>
    </w:p>
    <w:p w14:paraId="60D58254" w14:textId="4C46F9DD" w:rsidR="009D4634" w:rsidRPr="006070EA" w:rsidRDefault="009D4634" w:rsidP="0036779E">
      <w:pPr>
        <w:pStyle w:val="Odstavecseseznamem"/>
        <w:numPr>
          <w:ilvl w:val="0"/>
          <w:numId w:val="4"/>
        </w:numPr>
        <w:spacing w:before="120" w:after="120" w:line="240" w:lineRule="auto"/>
        <w:jc w:val="both"/>
        <w:rPr>
          <w:rFonts w:asciiTheme="majorHAnsi" w:hAnsiTheme="majorHAnsi" w:cstheme="majorHAnsi"/>
          <w:sz w:val="18"/>
          <w:szCs w:val="18"/>
        </w:rPr>
      </w:pPr>
      <w:r w:rsidRPr="006070EA">
        <w:rPr>
          <w:rFonts w:asciiTheme="majorHAnsi" w:hAnsiTheme="majorHAnsi" w:cstheme="majorHAnsi"/>
          <w:sz w:val="18"/>
          <w:szCs w:val="18"/>
        </w:rPr>
        <w:t xml:space="preserve">rozvojové zásady a záměry vymezené </w:t>
      </w:r>
      <w:r w:rsidR="00067B72" w:rsidRPr="006070EA">
        <w:rPr>
          <w:rFonts w:asciiTheme="majorHAnsi" w:hAnsiTheme="majorHAnsi" w:cstheme="majorHAnsi"/>
          <w:sz w:val="18"/>
          <w:szCs w:val="18"/>
        </w:rPr>
        <w:t>v PÚR ČR,</w:t>
      </w:r>
      <w:r w:rsidR="00863CDB" w:rsidRPr="006070EA">
        <w:rPr>
          <w:rFonts w:asciiTheme="majorHAnsi" w:hAnsiTheme="majorHAnsi" w:cstheme="majorHAnsi"/>
          <w:sz w:val="18"/>
          <w:szCs w:val="18"/>
        </w:rPr>
        <w:t xml:space="preserve"> </w:t>
      </w:r>
      <w:r w:rsidRPr="006070EA">
        <w:rPr>
          <w:rFonts w:asciiTheme="majorHAnsi" w:hAnsiTheme="majorHAnsi" w:cstheme="majorHAnsi"/>
          <w:sz w:val="18"/>
          <w:szCs w:val="18"/>
        </w:rPr>
        <w:t xml:space="preserve">v nadřazené ÚPD – ZÚR </w:t>
      </w:r>
      <w:r w:rsidR="008A49E7" w:rsidRPr="006070EA">
        <w:rPr>
          <w:rFonts w:asciiTheme="majorHAnsi" w:hAnsiTheme="majorHAnsi" w:cstheme="majorHAnsi"/>
          <w:sz w:val="18"/>
          <w:szCs w:val="18"/>
        </w:rPr>
        <w:t>Středočeského</w:t>
      </w:r>
      <w:r w:rsidRPr="006070EA">
        <w:rPr>
          <w:rFonts w:asciiTheme="majorHAnsi" w:hAnsiTheme="majorHAnsi" w:cstheme="majorHAnsi"/>
          <w:sz w:val="18"/>
          <w:szCs w:val="18"/>
        </w:rPr>
        <w:t xml:space="preserve"> kraje</w:t>
      </w:r>
      <w:r w:rsidR="00067B72" w:rsidRPr="006070EA">
        <w:rPr>
          <w:rFonts w:asciiTheme="majorHAnsi" w:hAnsiTheme="majorHAnsi" w:cstheme="majorHAnsi"/>
          <w:sz w:val="18"/>
          <w:szCs w:val="18"/>
        </w:rPr>
        <w:t xml:space="preserve"> a</w:t>
      </w:r>
      <w:r w:rsidR="00E40186" w:rsidRPr="006070EA">
        <w:rPr>
          <w:rFonts w:asciiTheme="majorHAnsi" w:hAnsiTheme="majorHAnsi" w:cstheme="majorHAnsi"/>
          <w:sz w:val="18"/>
          <w:szCs w:val="18"/>
        </w:rPr>
        <w:t> </w:t>
      </w:r>
      <w:r w:rsidR="00067B72" w:rsidRPr="006070EA">
        <w:rPr>
          <w:rFonts w:asciiTheme="majorHAnsi" w:hAnsiTheme="majorHAnsi" w:cstheme="majorHAnsi"/>
          <w:sz w:val="18"/>
          <w:szCs w:val="18"/>
        </w:rPr>
        <w:t>v souvisejících rozvojových a strategických dokumentech</w:t>
      </w:r>
    </w:p>
    <w:p w14:paraId="79F5B1FE" w14:textId="77777777" w:rsidR="00F44A32" w:rsidRPr="006070EA" w:rsidRDefault="008A7151" w:rsidP="0036779E">
      <w:pPr>
        <w:pStyle w:val="Odstavecseseznamem"/>
        <w:numPr>
          <w:ilvl w:val="0"/>
          <w:numId w:val="4"/>
        </w:numPr>
        <w:spacing w:before="120" w:after="120" w:line="240" w:lineRule="auto"/>
        <w:jc w:val="both"/>
        <w:rPr>
          <w:rFonts w:asciiTheme="majorHAnsi" w:hAnsiTheme="majorHAnsi" w:cstheme="majorHAnsi"/>
          <w:sz w:val="18"/>
          <w:szCs w:val="18"/>
        </w:rPr>
      </w:pPr>
      <w:r w:rsidRPr="006070EA">
        <w:rPr>
          <w:rFonts w:asciiTheme="majorHAnsi" w:hAnsiTheme="majorHAnsi" w:cstheme="majorHAnsi"/>
          <w:sz w:val="18"/>
          <w:szCs w:val="18"/>
        </w:rPr>
        <w:t>tradice hospodaření v krajině</w:t>
      </w:r>
    </w:p>
    <w:p w14:paraId="61BA698A" w14:textId="62D64FC2" w:rsidR="00F44A32" w:rsidRPr="006070EA" w:rsidRDefault="00F44A32" w:rsidP="0036779E">
      <w:pPr>
        <w:pStyle w:val="Odstavecseseznamem"/>
        <w:numPr>
          <w:ilvl w:val="0"/>
          <w:numId w:val="4"/>
        </w:numPr>
        <w:spacing w:before="120" w:after="120" w:line="240" w:lineRule="auto"/>
        <w:jc w:val="both"/>
        <w:rPr>
          <w:rFonts w:asciiTheme="majorHAnsi" w:hAnsiTheme="majorHAnsi" w:cstheme="majorHAnsi"/>
          <w:sz w:val="18"/>
          <w:szCs w:val="18"/>
        </w:rPr>
      </w:pPr>
      <w:r w:rsidRPr="006070EA">
        <w:rPr>
          <w:rFonts w:asciiTheme="majorHAnsi" w:hAnsiTheme="majorHAnsi" w:cstheme="majorHAnsi"/>
          <w:sz w:val="18"/>
          <w:szCs w:val="18"/>
        </w:rPr>
        <w:t>koncepce stanovená předcházející ÚPD obce (</w:t>
      </w:r>
      <w:r w:rsidR="00B8174E" w:rsidRPr="006070EA">
        <w:rPr>
          <w:rFonts w:asciiTheme="majorHAnsi" w:hAnsiTheme="majorHAnsi" w:cstheme="majorHAnsi"/>
          <w:sz w:val="18"/>
          <w:szCs w:val="18"/>
        </w:rPr>
        <w:t>ÚP</w:t>
      </w:r>
      <w:r w:rsidR="00067B72" w:rsidRPr="006070EA">
        <w:rPr>
          <w:rFonts w:asciiTheme="majorHAnsi" w:hAnsiTheme="majorHAnsi" w:cstheme="majorHAnsi"/>
          <w:sz w:val="18"/>
          <w:szCs w:val="18"/>
        </w:rPr>
        <w:t>O</w:t>
      </w:r>
      <w:r w:rsidR="00B8174E" w:rsidRPr="006070EA">
        <w:rPr>
          <w:rFonts w:asciiTheme="majorHAnsi" w:hAnsiTheme="majorHAnsi" w:cstheme="majorHAnsi"/>
          <w:sz w:val="18"/>
          <w:szCs w:val="18"/>
        </w:rPr>
        <w:t xml:space="preserve"> </w:t>
      </w:r>
      <w:r w:rsidR="008A49E7" w:rsidRPr="006070EA">
        <w:rPr>
          <w:rFonts w:asciiTheme="majorHAnsi" w:hAnsiTheme="majorHAnsi" w:cstheme="majorHAnsi"/>
          <w:sz w:val="18"/>
          <w:szCs w:val="18"/>
        </w:rPr>
        <w:t>Kostomlaty nad Labem</w:t>
      </w:r>
      <w:r w:rsidRPr="006070EA">
        <w:rPr>
          <w:rFonts w:asciiTheme="majorHAnsi" w:hAnsiTheme="majorHAnsi" w:cstheme="majorHAnsi"/>
          <w:sz w:val="18"/>
          <w:szCs w:val="18"/>
        </w:rPr>
        <w:t xml:space="preserve">, </w:t>
      </w:r>
      <w:r w:rsidR="008A49E7" w:rsidRPr="006070EA">
        <w:rPr>
          <w:rFonts w:asciiTheme="majorHAnsi" w:hAnsiTheme="majorHAnsi" w:cstheme="majorHAnsi"/>
          <w:sz w:val="18"/>
          <w:szCs w:val="18"/>
        </w:rPr>
        <w:t>2003</w:t>
      </w:r>
      <w:r w:rsidRPr="006070EA">
        <w:rPr>
          <w:rFonts w:asciiTheme="majorHAnsi" w:hAnsiTheme="majorHAnsi" w:cstheme="majorHAnsi"/>
          <w:sz w:val="18"/>
          <w:szCs w:val="18"/>
        </w:rPr>
        <w:t>)</w:t>
      </w:r>
    </w:p>
    <w:p w14:paraId="476FAE2C" w14:textId="52BEB3FF" w:rsidR="00FA6A9A" w:rsidRPr="006070EA" w:rsidRDefault="00FA6A9A" w:rsidP="0036779E">
      <w:pPr>
        <w:pStyle w:val="Odstavecseseznamem"/>
        <w:numPr>
          <w:ilvl w:val="0"/>
          <w:numId w:val="4"/>
        </w:numPr>
        <w:spacing w:before="120" w:after="120" w:line="240" w:lineRule="auto"/>
        <w:jc w:val="both"/>
        <w:rPr>
          <w:rFonts w:asciiTheme="majorHAnsi" w:hAnsiTheme="majorHAnsi" w:cstheme="majorHAnsi"/>
          <w:sz w:val="18"/>
          <w:szCs w:val="18"/>
        </w:rPr>
      </w:pPr>
      <w:r w:rsidRPr="006070EA">
        <w:rPr>
          <w:rFonts w:asciiTheme="majorHAnsi" w:hAnsiTheme="majorHAnsi" w:cstheme="majorHAnsi"/>
          <w:sz w:val="18"/>
          <w:szCs w:val="18"/>
        </w:rPr>
        <w:t>zásady a záměry vyplývající z členství obce v</w:t>
      </w:r>
      <w:r w:rsidR="009D4634" w:rsidRPr="006070EA">
        <w:rPr>
          <w:rFonts w:asciiTheme="majorHAnsi" w:hAnsiTheme="majorHAnsi" w:cstheme="majorHAnsi"/>
          <w:sz w:val="18"/>
          <w:szCs w:val="18"/>
        </w:rPr>
        <w:t xml:space="preserve">e </w:t>
      </w:r>
      <w:r w:rsidR="00067B72" w:rsidRPr="006070EA">
        <w:rPr>
          <w:rFonts w:asciiTheme="majorHAnsi" w:hAnsiTheme="majorHAnsi" w:cstheme="majorHAnsi"/>
          <w:sz w:val="18"/>
          <w:szCs w:val="18"/>
        </w:rPr>
        <w:t>sdružení</w:t>
      </w:r>
      <w:r w:rsidR="004254E6" w:rsidRPr="006070EA">
        <w:rPr>
          <w:rFonts w:asciiTheme="majorHAnsi" w:hAnsiTheme="majorHAnsi" w:cstheme="majorHAnsi"/>
          <w:sz w:val="18"/>
          <w:szCs w:val="18"/>
        </w:rPr>
        <w:t xml:space="preserve"> obcí </w:t>
      </w:r>
    </w:p>
    <w:p w14:paraId="22799C10" w14:textId="6D1B5D04" w:rsidR="004254E6" w:rsidRPr="006070EA" w:rsidRDefault="004254E6" w:rsidP="009E07E1">
      <w:pPr>
        <w:pStyle w:val="Mra2-reakceern"/>
        <w:pBdr>
          <w:left w:val="none" w:sz="0" w:space="0" w:color="auto"/>
        </w:pBdr>
        <w:spacing w:after="60"/>
        <w:ind w:left="0" w:firstLine="709"/>
        <w:rPr>
          <w:rFonts w:asciiTheme="majorHAnsi" w:hAnsiTheme="majorHAnsi" w:cstheme="majorHAnsi"/>
          <w:color w:val="auto"/>
        </w:rPr>
      </w:pPr>
      <w:r w:rsidRPr="006070EA">
        <w:rPr>
          <w:rFonts w:asciiTheme="majorHAnsi" w:hAnsiTheme="majorHAnsi" w:cstheme="majorHAnsi"/>
          <w:color w:val="auto"/>
        </w:rPr>
        <w:t>Základním východiskem pro koncepci rozvoje území obce je vytvoření optimální urbanistické a organizační struktury ploch, spočívající ve vyváženém vztahu podmínek pro příznivé životní prostředí, hospodářský růst, stabilizaci a rozvoj osídlení, ochranu hodnot a zlepšování soudržnosti společenství obyvatel obce. Územní plán je navržen tak, aby umožňoval obnovu a</w:t>
      </w:r>
      <w:r w:rsidR="00067B72" w:rsidRPr="006070EA">
        <w:rPr>
          <w:rFonts w:asciiTheme="majorHAnsi" w:hAnsiTheme="majorHAnsi" w:cstheme="majorHAnsi"/>
          <w:color w:val="auto"/>
        </w:rPr>
        <w:t> </w:t>
      </w:r>
      <w:r w:rsidRPr="006070EA">
        <w:rPr>
          <w:rFonts w:asciiTheme="majorHAnsi" w:hAnsiTheme="majorHAnsi" w:cstheme="majorHAnsi"/>
          <w:color w:val="auto"/>
        </w:rPr>
        <w:t>rozvoj území ve všech jeho funkčních složkách a současně vytvářel podmínky pro ochranu hodnot a</w:t>
      </w:r>
      <w:r w:rsidR="009E3A49" w:rsidRPr="006070EA">
        <w:rPr>
          <w:rFonts w:asciiTheme="majorHAnsi" w:hAnsiTheme="majorHAnsi" w:cstheme="majorHAnsi"/>
          <w:color w:val="auto"/>
        </w:rPr>
        <w:t> </w:t>
      </w:r>
      <w:r w:rsidRPr="006070EA">
        <w:rPr>
          <w:rFonts w:asciiTheme="majorHAnsi" w:hAnsiTheme="majorHAnsi" w:cstheme="majorHAnsi"/>
          <w:color w:val="auto"/>
        </w:rPr>
        <w:t>respektoval limity využití území.</w:t>
      </w:r>
    </w:p>
    <w:p w14:paraId="2E64CFA1" w14:textId="420F60F3" w:rsidR="00FA6A9A" w:rsidRPr="006070EA" w:rsidRDefault="00FA6A9A" w:rsidP="009E07E1">
      <w:pPr>
        <w:spacing w:before="120" w:after="120" w:line="240" w:lineRule="auto"/>
        <w:rPr>
          <w:rFonts w:asciiTheme="majorHAnsi" w:hAnsiTheme="majorHAnsi" w:cstheme="majorHAnsi"/>
          <w:b/>
          <w:sz w:val="20"/>
          <w:szCs w:val="20"/>
        </w:rPr>
      </w:pPr>
      <w:r w:rsidRPr="006070EA">
        <w:rPr>
          <w:rFonts w:asciiTheme="majorHAnsi" w:hAnsiTheme="majorHAnsi" w:cstheme="majorHAnsi"/>
          <w:b/>
          <w:sz w:val="20"/>
          <w:szCs w:val="20"/>
        </w:rPr>
        <w:t xml:space="preserve">Odůvodnění </w:t>
      </w:r>
      <w:r w:rsidR="004254E6" w:rsidRPr="006070EA">
        <w:rPr>
          <w:rFonts w:asciiTheme="majorHAnsi" w:hAnsiTheme="majorHAnsi" w:cstheme="majorHAnsi"/>
          <w:b/>
          <w:sz w:val="20"/>
          <w:szCs w:val="20"/>
        </w:rPr>
        <w:t xml:space="preserve">stanovené </w:t>
      </w:r>
      <w:r w:rsidRPr="006070EA">
        <w:rPr>
          <w:rFonts w:asciiTheme="majorHAnsi" w:hAnsiTheme="majorHAnsi" w:cstheme="majorHAnsi"/>
          <w:b/>
          <w:sz w:val="20"/>
          <w:szCs w:val="20"/>
        </w:rPr>
        <w:t>koncepce rozvoje území</w:t>
      </w:r>
    </w:p>
    <w:p w14:paraId="6C7E27B5" w14:textId="6815C603" w:rsidR="0075767B" w:rsidRPr="006070EA" w:rsidRDefault="0075767B" w:rsidP="009E07E1">
      <w:pPr>
        <w:pStyle w:val="Atext"/>
        <w:rPr>
          <w:rFonts w:asciiTheme="majorHAnsi" w:hAnsiTheme="majorHAnsi" w:cstheme="majorHAnsi"/>
          <w:lang w:eastAsia="cs-CZ"/>
        </w:rPr>
      </w:pPr>
      <w:r w:rsidRPr="006070EA">
        <w:rPr>
          <w:rFonts w:asciiTheme="majorHAnsi" w:hAnsiTheme="majorHAnsi" w:cstheme="majorHAnsi"/>
          <w:lang w:eastAsia="cs-CZ"/>
        </w:rPr>
        <w:t>Koncepce rozvoje území obce vychází ze stávajícího, historickým vývojem definovaného charakteru území a</w:t>
      </w:r>
      <w:r w:rsidR="00067B72" w:rsidRPr="006070EA">
        <w:rPr>
          <w:rFonts w:asciiTheme="majorHAnsi" w:hAnsiTheme="majorHAnsi" w:cstheme="majorHAnsi"/>
          <w:lang w:eastAsia="cs-CZ"/>
        </w:rPr>
        <w:t> </w:t>
      </w:r>
      <w:r w:rsidRPr="006070EA">
        <w:rPr>
          <w:rFonts w:asciiTheme="majorHAnsi" w:hAnsiTheme="majorHAnsi" w:cstheme="majorHAnsi"/>
          <w:lang w:eastAsia="cs-CZ"/>
        </w:rPr>
        <w:t xml:space="preserve">významu obce. Územním plánem je rozvíjen stávající charakter </w:t>
      </w:r>
      <w:r w:rsidR="006828A2" w:rsidRPr="006070EA">
        <w:rPr>
          <w:rFonts w:asciiTheme="majorHAnsi" w:hAnsiTheme="majorHAnsi" w:cstheme="majorHAnsi"/>
          <w:lang w:eastAsia="cs-CZ"/>
        </w:rPr>
        <w:t>území</w:t>
      </w:r>
      <w:r w:rsidRPr="006070EA">
        <w:rPr>
          <w:rFonts w:asciiTheme="majorHAnsi" w:hAnsiTheme="majorHAnsi" w:cstheme="majorHAnsi"/>
          <w:lang w:eastAsia="cs-CZ"/>
        </w:rPr>
        <w:t xml:space="preserve"> s</w:t>
      </w:r>
      <w:r w:rsidR="006828A2" w:rsidRPr="006070EA">
        <w:rPr>
          <w:rFonts w:asciiTheme="majorHAnsi" w:hAnsiTheme="majorHAnsi" w:cstheme="majorHAnsi"/>
          <w:lang w:eastAsia="cs-CZ"/>
        </w:rPr>
        <w:t> centrálním postavením hlavního sídla Kostomlat nad Labem se základní občanskou vybaveností, které je obslužným těžištěm celého řešeného území. V ostatních sídlech v území (Rozkoš, Lány, Hronětice a Vápensko) převažuje funkce</w:t>
      </w:r>
      <w:r w:rsidRPr="006070EA">
        <w:rPr>
          <w:rFonts w:asciiTheme="majorHAnsi" w:hAnsiTheme="majorHAnsi" w:cstheme="majorHAnsi"/>
          <w:lang w:eastAsia="cs-CZ"/>
        </w:rPr>
        <w:t xml:space="preserve"> bydlení </w:t>
      </w:r>
      <w:r w:rsidR="006828A2" w:rsidRPr="006070EA">
        <w:rPr>
          <w:rFonts w:asciiTheme="majorHAnsi" w:hAnsiTheme="majorHAnsi" w:cstheme="majorHAnsi"/>
          <w:lang w:eastAsia="cs-CZ"/>
        </w:rPr>
        <w:t xml:space="preserve">a související hospodářské funkce venkovských sídel. </w:t>
      </w:r>
      <w:r w:rsidRPr="006070EA">
        <w:rPr>
          <w:rFonts w:asciiTheme="majorHAnsi" w:hAnsiTheme="majorHAnsi" w:cstheme="majorHAnsi"/>
          <w:lang w:eastAsia="cs-CZ"/>
        </w:rPr>
        <w:t xml:space="preserve">Řešením ÚP je zachováno </w:t>
      </w:r>
      <w:r w:rsidR="006828A2" w:rsidRPr="006070EA">
        <w:rPr>
          <w:rFonts w:asciiTheme="majorHAnsi" w:hAnsiTheme="majorHAnsi" w:cstheme="majorHAnsi"/>
          <w:lang w:eastAsia="cs-CZ"/>
        </w:rPr>
        <w:t xml:space="preserve">a posíleno </w:t>
      </w:r>
      <w:r w:rsidRPr="006070EA">
        <w:rPr>
          <w:rFonts w:asciiTheme="majorHAnsi" w:hAnsiTheme="majorHAnsi" w:cstheme="majorHAnsi"/>
          <w:lang w:eastAsia="cs-CZ"/>
        </w:rPr>
        <w:t xml:space="preserve">dosavadní postavení </w:t>
      </w:r>
      <w:r w:rsidR="006828A2" w:rsidRPr="006070EA">
        <w:rPr>
          <w:rFonts w:asciiTheme="majorHAnsi" w:hAnsiTheme="majorHAnsi" w:cstheme="majorHAnsi"/>
          <w:lang w:eastAsia="cs-CZ"/>
        </w:rPr>
        <w:t xml:space="preserve">obce </w:t>
      </w:r>
      <w:r w:rsidRPr="006070EA">
        <w:rPr>
          <w:rFonts w:asciiTheme="majorHAnsi" w:hAnsiTheme="majorHAnsi" w:cstheme="majorHAnsi"/>
          <w:lang w:eastAsia="cs-CZ"/>
        </w:rPr>
        <w:t xml:space="preserve">v rámci sídelní struktury. </w:t>
      </w:r>
      <w:r w:rsidR="006828A2" w:rsidRPr="006070EA">
        <w:rPr>
          <w:rFonts w:asciiTheme="majorHAnsi" w:hAnsiTheme="majorHAnsi" w:cstheme="majorHAnsi"/>
          <w:lang w:eastAsia="cs-CZ"/>
        </w:rPr>
        <w:t>Kostomlaty nad Labem jsou rozvíjeny jakožto lokální centrum se stabilizovanými plochami občanského vybavení, smíšených městských funkcí i bydlení individuálního příměstského charakteru; současně jsou vytvořeny podmínky pro rozvoj ekonomických aktivit. Venkovská sídla Lány, Rozkoš, Hronětice a</w:t>
      </w:r>
      <w:r w:rsidR="00106C28" w:rsidRPr="006070EA">
        <w:rPr>
          <w:rFonts w:asciiTheme="majorHAnsi" w:hAnsiTheme="majorHAnsi" w:cstheme="majorHAnsi"/>
          <w:lang w:eastAsia="cs-CZ"/>
        </w:rPr>
        <w:t> </w:t>
      </w:r>
      <w:r w:rsidR="006828A2" w:rsidRPr="006070EA">
        <w:rPr>
          <w:rFonts w:asciiTheme="majorHAnsi" w:hAnsiTheme="majorHAnsi" w:cstheme="majorHAnsi"/>
          <w:lang w:eastAsia="cs-CZ"/>
        </w:rPr>
        <w:t xml:space="preserve">Vápensko jsou rozvíjeny v souladu s jejich stávajícím charakterem, který není územním plánem narušen, a to jako sídla s převahou obytné a rekreační </w:t>
      </w:r>
      <w:r w:rsidR="00192B59" w:rsidRPr="006070EA">
        <w:rPr>
          <w:rFonts w:asciiTheme="majorHAnsi" w:hAnsiTheme="majorHAnsi" w:cstheme="majorHAnsi"/>
          <w:lang w:eastAsia="cs-CZ"/>
        </w:rPr>
        <w:t>funkce.</w:t>
      </w:r>
      <w:r w:rsidR="006828A2" w:rsidRPr="006070EA">
        <w:rPr>
          <w:rFonts w:asciiTheme="majorHAnsi" w:hAnsiTheme="majorHAnsi" w:cstheme="majorHAnsi"/>
          <w:lang w:eastAsia="cs-CZ"/>
        </w:rPr>
        <w:t xml:space="preserve"> </w:t>
      </w:r>
    </w:p>
    <w:p w14:paraId="3EC62AE3" w14:textId="03E7B3E5" w:rsidR="0075767B" w:rsidRPr="006070EA" w:rsidRDefault="0075767B" w:rsidP="009E07E1">
      <w:pPr>
        <w:pStyle w:val="Atext"/>
        <w:rPr>
          <w:rFonts w:asciiTheme="majorHAnsi" w:hAnsiTheme="majorHAnsi" w:cstheme="majorHAnsi"/>
        </w:rPr>
      </w:pPr>
      <w:r w:rsidRPr="006070EA">
        <w:rPr>
          <w:rFonts w:asciiTheme="majorHAnsi" w:hAnsiTheme="majorHAnsi" w:cstheme="majorHAnsi"/>
          <w:lang w:eastAsia="cs-CZ"/>
        </w:rPr>
        <w:t xml:space="preserve">Hlavním cílem koncepce je stabilizace existující struktury </w:t>
      </w:r>
      <w:r w:rsidR="00192B59" w:rsidRPr="006070EA">
        <w:rPr>
          <w:rFonts w:asciiTheme="majorHAnsi" w:hAnsiTheme="majorHAnsi" w:cstheme="majorHAnsi"/>
          <w:lang w:eastAsia="cs-CZ"/>
        </w:rPr>
        <w:t>sídel</w:t>
      </w:r>
      <w:r w:rsidRPr="006070EA">
        <w:rPr>
          <w:rFonts w:asciiTheme="majorHAnsi" w:hAnsiTheme="majorHAnsi" w:cstheme="majorHAnsi"/>
          <w:lang w:eastAsia="cs-CZ"/>
        </w:rPr>
        <w:t xml:space="preserve"> a vytvoření podmínek pro jej</w:t>
      </w:r>
      <w:r w:rsidR="00192B59" w:rsidRPr="006070EA">
        <w:rPr>
          <w:rFonts w:asciiTheme="majorHAnsi" w:hAnsiTheme="majorHAnsi" w:cstheme="majorHAnsi"/>
          <w:lang w:eastAsia="cs-CZ"/>
        </w:rPr>
        <w:t>ich</w:t>
      </w:r>
      <w:r w:rsidRPr="006070EA">
        <w:rPr>
          <w:rFonts w:asciiTheme="majorHAnsi" w:hAnsiTheme="majorHAnsi" w:cstheme="majorHAnsi"/>
          <w:lang w:eastAsia="cs-CZ"/>
        </w:rPr>
        <w:t xml:space="preserve"> plošný a kvalitativní rozvoj zejména z důvodu zvyšování kvality bydlení, kvality a dostupnosti veřejné infrastruktury, </w:t>
      </w:r>
      <w:r w:rsidRPr="006070EA">
        <w:rPr>
          <w:rFonts w:asciiTheme="majorHAnsi" w:hAnsiTheme="majorHAnsi" w:cstheme="majorHAnsi"/>
        </w:rPr>
        <w:t>zejména dopravní a technické infrastruktury, ale také kvality a rozsahu občanského vybavení s cílem vytvořit přiměřenou nabídku ploch pro trvalé bydlení a</w:t>
      </w:r>
      <w:r w:rsidR="00FA0488" w:rsidRPr="006070EA">
        <w:rPr>
          <w:rFonts w:asciiTheme="majorHAnsi" w:hAnsiTheme="majorHAnsi" w:cstheme="majorHAnsi"/>
        </w:rPr>
        <w:t> </w:t>
      </w:r>
      <w:r w:rsidRPr="006070EA">
        <w:rPr>
          <w:rFonts w:asciiTheme="majorHAnsi" w:hAnsiTheme="majorHAnsi" w:cstheme="majorHAnsi"/>
        </w:rPr>
        <w:t xml:space="preserve">základní socioekonomické struktury přispívající k zajištění optimálních životních podmínek pro obyvatelstvo. </w:t>
      </w:r>
    </w:p>
    <w:p w14:paraId="5368221A" w14:textId="347DA70B" w:rsidR="00FA6A9A" w:rsidRPr="006070EA" w:rsidRDefault="00FA6A9A" w:rsidP="00433C39">
      <w:pPr>
        <w:keepLines/>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lastRenderedPageBreak/>
        <w:t xml:space="preserve">Jedním z úkolů územního plánu je vytvoření předpokladů pro dosažení udržitelného rozvoje území, který je podmíněn vytvořením podmínek pro odpovídající hospodářský rozvoj, pro zvyšování soudržnosti obyvatel a pro zlepšování životního prostředí v území. ÚP </w:t>
      </w:r>
      <w:r w:rsidR="00192B59" w:rsidRPr="006070EA">
        <w:rPr>
          <w:rFonts w:asciiTheme="majorHAnsi" w:hAnsiTheme="majorHAnsi" w:cstheme="majorHAnsi"/>
          <w:sz w:val="18"/>
        </w:rPr>
        <w:t xml:space="preserve">Kostomlaty nad Labem </w:t>
      </w:r>
      <w:r w:rsidRPr="006070EA">
        <w:rPr>
          <w:rFonts w:asciiTheme="majorHAnsi" w:hAnsiTheme="majorHAnsi" w:cstheme="majorHAnsi"/>
          <w:sz w:val="18"/>
        </w:rPr>
        <w:t xml:space="preserve">vymezenými zastavitelnými plochami respektuje původní urbanistickou strukturu </w:t>
      </w:r>
      <w:r w:rsidR="00192B59" w:rsidRPr="006070EA">
        <w:rPr>
          <w:rFonts w:asciiTheme="majorHAnsi" w:hAnsiTheme="majorHAnsi" w:cstheme="majorHAnsi"/>
          <w:sz w:val="18"/>
        </w:rPr>
        <w:t xml:space="preserve">území </w:t>
      </w:r>
      <w:r w:rsidRPr="006070EA">
        <w:rPr>
          <w:rFonts w:asciiTheme="majorHAnsi" w:hAnsiTheme="majorHAnsi" w:cstheme="majorHAnsi"/>
          <w:sz w:val="18"/>
        </w:rPr>
        <w:t>a charakter krajiny a usiluje o posilování identity obce</w:t>
      </w:r>
      <w:r w:rsidR="00192B59" w:rsidRPr="006070EA">
        <w:rPr>
          <w:rFonts w:asciiTheme="majorHAnsi" w:hAnsiTheme="majorHAnsi" w:cstheme="majorHAnsi"/>
          <w:sz w:val="18"/>
        </w:rPr>
        <w:t xml:space="preserve"> a charakteristických znaků jednotlivých sídel</w:t>
      </w:r>
      <w:r w:rsidRPr="006070EA">
        <w:rPr>
          <w:rFonts w:asciiTheme="majorHAnsi" w:hAnsiTheme="majorHAnsi" w:cstheme="majorHAnsi"/>
          <w:sz w:val="18"/>
        </w:rPr>
        <w:t xml:space="preserve">. </w:t>
      </w:r>
    </w:p>
    <w:p w14:paraId="293B6D7E" w14:textId="6EB359B6" w:rsidR="00FA6A9A" w:rsidRPr="006070EA" w:rsidRDefault="00FA6A9A" w:rsidP="009E07E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Východisky pro </w:t>
      </w:r>
      <w:r w:rsidR="00192B59" w:rsidRPr="006070EA">
        <w:rPr>
          <w:rFonts w:asciiTheme="majorHAnsi" w:hAnsiTheme="majorHAnsi" w:cstheme="majorHAnsi"/>
          <w:sz w:val="18"/>
        </w:rPr>
        <w:t xml:space="preserve">koncepci </w:t>
      </w:r>
      <w:r w:rsidRPr="006070EA">
        <w:rPr>
          <w:rFonts w:asciiTheme="majorHAnsi" w:hAnsiTheme="majorHAnsi" w:cstheme="majorHAnsi"/>
          <w:sz w:val="18"/>
        </w:rPr>
        <w:t>rozvoj</w:t>
      </w:r>
      <w:r w:rsidR="00192B59" w:rsidRPr="006070EA">
        <w:rPr>
          <w:rFonts w:asciiTheme="majorHAnsi" w:hAnsiTheme="majorHAnsi" w:cstheme="majorHAnsi"/>
          <w:sz w:val="18"/>
        </w:rPr>
        <w:t>e</w:t>
      </w:r>
      <w:r w:rsidRPr="006070EA">
        <w:rPr>
          <w:rFonts w:asciiTheme="majorHAnsi" w:hAnsiTheme="majorHAnsi" w:cstheme="majorHAnsi"/>
          <w:sz w:val="18"/>
        </w:rPr>
        <w:t xml:space="preserve"> území obce jsou kromě dobré dopravní dostupnosti rovněž současný progresivní populační vývoj obce, existence základních sítí technické infrastruktury a základní občanské vybavenosti a další</w:t>
      </w:r>
      <w:r w:rsidR="00192B59" w:rsidRPr="006070EA">
        <w:rPr>
          <w:rFonts w:asciiTheme="majorHAnsi" w:hAnsiTheme="majorHAnsi" w:cstheme="majorHAnsi"/>
          <w:sz w:val="18"/>
        </w:rPr>
        <w:t xml:space="preserve"> předpoklady</w:t>
      </w:r>
      <w:r w:rsidRPr="006070EA">
        <w:rPr>
          <w:rFonts w:asciiTheme="majorHAnsi" w:hAnsiTheme="majorHAnsi" w:cstheme="majorHAnsi"/>
          <w:sz w:val="18"/>
        </w:rPr>
        <w:t xml:space="preserve">. Tato východiska vytvářejí předpoklad pro budoucí poptávku po plochách bydlení. S ohledem na výše popsané je cílem stanovené koncepce rozvoje území ÚP </w:t>
      </w:r>
      <w:r w:rsidR="00192B59" w:rsidRPr="006070EA">
        <w:rPr>
          <w:rFonts w:asciiTheme="majorHAnsi" w:hAnsiTheme="majorHAnsi" w:cstheme="majorHAnsi"/>
          <w:sz w:val="18"/>
        </w:rPr>
        <w:t>Kostomlaty nad Labem</w:t>
      </w:r>
      <w:r w:rsidRPr="006070EA">
        <w:rPr>
          <w:rFonts w:asciiTheme="majorHAnsi" w:hAnsiTheme="majorHAnsi" w:cstheme="majorHAnsi"/>
          <w:sz w:val="18"/>
        </w:rPr>
        <w:t xml:space="preserve"> umožnění pokračování pozitivního populačního vývoje obce a</w:t>
      </w:r>
      <w:r w:rsidR="00192B59" w:rsidRPr="006070EA">
        <w:rPr>
          <w:rFonts w:asciiTheme="majorHAnsi" w:hAnsiTheme="majorHAnsi" w:cstheme="majorHAnsi"/>
          <w:sz w:val="18"/>
        </w:rPr>
        <w:t> </w:t>
      </w:r>
      <w:r w:rsidRPr="006070EA">
        <w:rPr>
          <w:rFonts w:asciiTheme="majorHAnsi" w:hAnsiTheme="majorHAnsi" w:cstheme="majorHAnsi"/>
          <w:sz w:val="18"/>
        </w:rPr>
        <w:t>postupná stabilizace počtu obyvatel</w:t>
      </w:r>
      <w:r w:rsidR="00192B59" w:rsidRPr="006070EA">
        <w:rPr>
          <w:rFonts w:asciiTheme="majorHAnsi" w:hAnsiTheme="majorHAnsi" w:cstheme="majorHAnsi"/>
          <w:sz w:val="18"/>
        </w:rPr>
        <w:t xml:space="preserve"> mezi 2 000 a 2 100</w:t>
      </w:r>
      <w:r w:rsidRPr="006070EA">
        <w:rPr>
          <w:rFonts w:asciiTheme="majorHAnsi" w:hAnsiTheme="majorHAnsi" w:cstheme="majorHAnsi"/>
          <w:sz w:val="18"/>
        </w:rPr>
        <w:t>.</w:t>
      </w:r>
    </w:p>
    <w:p w14:paraId="67E451FD" w14:textId="15CAF777" w:rsidR="00FA6A9A" w:rsidRPr="006070EA" w:rsidRDefault="00FA6A9A" w:rsidP="009E07E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Rozsah zastavitelných ploch pro bydlení byl územním plánem vymezen na základě vyhodnocení využití zastavitelných ploch, vymezených předcházející ÚPD obce (ÚPO </w:t>
      </w:r>
      <w:r w:rsidR="00192B59" w:rsidRPr="006070EA">
        <w:rPr>
          <w:rFonts w:asciiTheme="majorHAnsi" w:hAnsiTheme="majorHAnsi" w:cstheme="majorHAnsi"/>
          <w:sz w:val="18"/>
        </w:rPr>
        <w:t>Kostomlaty nad Labem</w:t>
      </w:r>
      <w:r w:rsidRPr="006070EA">
        <w:rPr>
          <w:rFonts w:asciiTheme="majorHAnsi" w:hAnsiTheme="majorHAnsi" w:cstheme="majorHAnsi"/>
          <w:sz w:val="18"/>
        </w:rPr>
        <w:t xml:space="preserve">, </w:t>
      </w:r>
      <w:r w:rsidR="00192B59" w:rsidRPr="006070EA">
        <w:rPr>
          <w:rFonts w:asciiTheme="majorHAnsi" w:hAnsiTheme="majorHAnsi" w:cstheme="majorHAnsi"/>
          <w:sz w:val="18"/>
        </w:rPr>
        <w:t>2003</w:t>
      </w:r>
      <w:r w:rsidR="00FA0488" w:rsidRPr="006070EA">
        <w:rPr>
          <w:rFonts w:asciiTheme="majorHAnsi" w:hAnsiTheme="majorHAnsi" w:cstheme="majorHAnsi"/>
          <w:sz w:val="18"/>
        </w:rPr>
        <w:t>)</w:t>
      </w:r>
      <w:r w:rsidRPr="006070EA">
        <w:rPr>
          <w:rFonts w:asciiTheme="majorHAnsi" w:hAnsiTheme="majorHAnsi" w:cstheme="majorHAnsi"/>
          <w:sz w:val="18"/>
        </w:rPr>
        <w:t>,</w:t>
      </w:r>
      <w:r w:rsidR="00B50F4A" w:rsidRPr="006070EA">
        <w:rPr>
          <w:rFonts w:asciiTheme="majorHAnsi" w:hAnsiTheme="majorHAnsi" w:cstheme="majorHAnsi"/>
          <w:sz w:val="18"/>
        </w:rPr>
        <w:t xml:space="preserve"> stupně projektové přípravy výstavby v rozvojových plochách, </w:t>
      </w:r>
      <w:r w:rsidRPr="006070EA">
        <w:rPr>
          <w:rFonts w:asciiTheme="majorHAnsi" w:hAnsiTheme="majorHAnsi" w:cstheme="majorHAnsi"/>
          <w:sz w:val="18"/>
        </w:rPr>
        <w:t>za současného zohlednění analýzy dlouhodobého demografického vývoje obce, a</w:t>
      </w:r>
      <w:r w:rsidR="00FA0488" w:rsidRPr="006070EA">
        <w:rPr>
          <w:rFonts w:asciiTheme="majorHAnsi" w:hAnsiTheme="majorHAnsi" w:cstheme="majorHAnsi"/>
          <w:sz w:val="18"/>
        </w:rPr>
        <w:t> </w:t>
      </w:r>
      <w:r w:rsidRPr="006070EA">
        <w:rPr>
          <w:rFonts w:asciiTheme="majorHAnsi" w:hAnsiTheme="majorHAnsi" w:cstheme="majorHAnsi"/>
          <w:sz w:val="18"/>
        </w:rPr>
        <w:t xml:space="preserve">s přihlédnutím k současným požadavkům, rozvojovým limitům, poloze obce v systému osídlení, koncepci dané </w:t>
      </w:r>
      <w:r w:rsidR="0075767B" w:rsidRPr="006070EA">
        <w:rPr>
          <w:rFonts w:asciiTheme="majorHAnsi" w:hAnsiTheme="majorHAnsi" w:cstheme="majorHAnsi"/>
          <w:sz w:val="18"/>
        </w:rPr>
        <w:t>stávající ÚPD, kvalitě bytového a domovního fondu v obci</w:t>
      </w:r>
      <w:r w:rsidRPr="006070EA">
        <w:rPr>
          <w:rFonts w:asciiTheme="majorHAnsi" w:hAnsiTheme="majorHAnsi" w:cstheme="majorHAnsi"/>
          <w:sz w:val="18"/>
        </w:rPr>
        <w:t xml:space="preserve"> apod. </w:t>
      </w:r>
    </w:p>
    <w:p w14:paraId="3D2A413C" w14:textId="07F162C9" w:rsidR="00FA6A9A" w:rsidRPr="006070EA" w:rsidRDefault="00FA6A9A" w:rsidP="009E07E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V rámci koncepce rozvoje vytváří ÚP podmínky pro posilování rezidenčního charakteru obce, a to zejména vymezením zastavěného území, ve kterém dominuje funkční využití ploch s rozdílným způsobem využití</w:t>
      </w:r>
      <w:r w:rsidR="00FA0488" w:rsidRPr="006070EA">
        <w:rPr>
          <w:rFonts w:asciiTheme="majorHAnsi" w:hAnsiTheme="majorHAnsi" w:cstheme="majorHAnsi"/>
          <w:i/>
          <w:sz w:val="18"/>
        </w:rPr>
        <w:t xml:space="preserve"> smíšených obytných venkovských</w:t>
      </w:r>
      <w:r w:rsidR="00FA0488" w:rsidRPr="006070EA">
        <w:rPr>
          <w:rFonts w:asciiTheme="majorHAnsi" w:hAnsiTheme="majorHAnsi" w:cstheme="majorHAnsi"/>
          <w:sz w:val="18"/>
        </w:rPr>
        <w:t xml:space="preserve"> (SV) </w:t>
      </w:r>
      <w:r w:rsidR="00192B59" w:rsidRPr="006070EA">
        <w:rPr>
          <w:rFonts w:asciiTheme="majorHAnsi" w:hAnsiTheme="majorHAnsi" w:cstheme="majorHAnsi"/>
          <w:sz w:val="18"/>
        </w:rPr>
        <w:t xml:space="preserve">a </w:t>
      </w:r>
      <w:r w:rsidR="00804E2A" w:rsidRPr="006070EA">
        <w:rPr>
          <w:rFonts w:asciiTheme="majorHAnsi" w:hAnsiTheme="majorHAnsi" w:cstheme="majorHAnsi"/>
          <w:i/>
          <w:iCs/>
          <w:sz w:val="18"/>
        </w:rPr>
        <w:t xml:space="preserve">smíšených obytných </w:t>
      </w:r>
      <w:r w:rsidR="00192B59" w:rsidRPr="006070EA">
        <w:rPr>
          <w:rFonts w:asciiTheme="majorHAnsi" w:hAnsiTheme="majorHAnsi" w:cstheme="majorHAnsi"/>
          <w:i/>
          <w:iCs/>
          <w:sz w:val="18"/>
        </w:rPr>
        <w:t xml:space="preserve">městských </w:t>
      </w:r>
      <w:r w:rsidR="00192B59" w:rsidRPr="006070EA">
        <w:rPr>
          <w:rFonts w:asciiTheme="majorHAnsi" w:hAnsiTheme="majorHAnsi" w:cstheme="majorHAnsi"/>
          <w:sz w:val="18"/>
        </w:rPr>
        <w:t xml:space="preserve">(SM) </w:t>
      </w:r>
      <w:r w:rsidR="00FA0488" w:rsidRPr="006070EA">
        <w:rPr>
          <w:rFonts w:asciiTheme="majorHAnsi" w:hAnsiTheme="majorHAnsi" w:cstheme="majorHAnsi"/>
          <w:sz w:val="18"/>
        </w:rPr>
        <w:t xml:space="preserve">a </w:t>
      </w:r>
      <w:r w:rsidR="0075767B" w:rsidRPr="006070EA">
        <w:rPr>
          <w:rFonts w:asciiTheme="majorHAnsi" w:hAnsiTheme="majorHAnsi" w:cstheme="majorHAnsi"/>
          <w:i/>
          <w:sz w:val="18"/>
        </w:rPr>
        <w:t xml:space="preserve">bydlení </w:t>
      </w:r>
      <w:r w:rsidR="00804E2A" w:rsidRPr="006070EA">
        <w:rPr>
          <w:rFonts w:asciiTheme="majorHAnsi" w:hAnsiTheme="majorHAnsi" w:cstheme="majorHAnsi"/>
          <w:i/>
          <w:sz w:val="18"/>
        </w:rPr>
        <w:t xml:space="preserve">individuální </w:t>
      </w:r>
      <w:r w:rsidR="0075767B" w:rsidRPr="006070EA">
        <w:rPr>
          <w:rFonts w:asciiTheme="majorHAnsi" w:hAnsiTheme="majorHAnsi" w:cstheme="majorHAnsi"/>
          <w:sz w:val="18"/>
        </w:rPr>
        <w:t>(B</w:t>
      </w:r>
      <w:r w:rsidR="00192B59" w:rsidRPr="006070EA">
        <w:rPr>
          <w:rFonts w:asciiTheme="majorHAnsi" w:hAnsiTheme="majorHAnsi" w:cstheme="majorHAnsi"/>
          <w:sz w:val="18"/>
        </w:rPr>
        <w:t>I</w:t>
      </w:r>
      <w:r w:rsidR="0075767B" w:rsidRPr="006070EA">
        <w:rPr>
          <w:rFonts w:asciiTheme="majorHAnsi" w:hAnsiTheme="majorHAnsi" w:cstheme="majorHAnsi"/>
          <w:sz w:val="18"/>
        </w:rPr>
        <w:t>)</w:t>
      </w:r>
      <w:r w:rsidRPr="006070EA">
        <w:rPr>
          <w:rFonts w:asciiTheme="majorHAnsi" w:hAnsiTheme="majorHAnsi" w:cstheme="majorHAnsi"/>
          <w:sz w:val="18"/>
        </w:rPr>
        <w:t xml:space="preserve">. V rámci těchto ploch je umožněna integrace vzájemně se nerušících funkcí bydlení, lehké výroby, občanského vybavení, rekreace, individuálních ekonomických aktivit apod. </w:t>
      </w:r>
    </w:p>
    <w:p w14:paraId="19156AF9" w14:textId="271877D1" w:rsidR="00FA0488" w:rsidRPr="006070EA" w:rsidRDefault="0075767B" w:rsidP="009E07E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Významným východiskem koncepce rozvoje území obce je stav, struktura a hodnoty volné krajiny. ÚP vytváří předpoklady pro dílčí obnovu a posílení ekostabilizačních složek krajiny, zajišťuje v maximální možné míře ochranu nezastavěného území – definuje urbanistický rozvoj v přímé vazbě na existující zástavbu a systémy veřejné dopravní a</w:t>
      </w:r>
      <w:r w:rsidR="00FA0488" w:rsidRPr="006070EA">
        <w:rPr>
          <w:rFonts w:asciiTheme="majorHAnsi" w:hAnsiTheme="majorHAnsi" w:cstheme="majorHAnsi"/>
          <w:sz w:val="18"/>
        </w:rPr>
        <w:t> </w:t>
      </w:r>
      <w:r w:rsidRPr="006070EA">
        <w:rPr>
          <w:rFonts w:asciiTheme="majorHAnsi" w:hAnsiTheme="majorHAnsi" w:cstheme="majorHAnsi"/>
          <w:sz w:val="18"/>
        </w:rPr>
        <w:t xml:space="preserve">technické infrastruktury, vymezuje plochy v principu dotváření kompaktních urbanistických útvarů zajišťujících efektivní využití ploch a minimalizaci záborů zemědělské půdy. </w:t>
      </w:r>
      <w:r w:rsidR="00192B59" w:rsidRPr="006070EA">
        <w:rPr>
          <w:rFonts w:asciiTheme="majorHAnsi" w:hAnsiTheme="majorHAnsi" w:cstheme="majorHAnsi"/>
          <w:sz w:val="18"/>
        </w:rPr>
        <w:t xml:space="preserve">Záměrem stanovené koncepce územního plánu je rozvíjet extenzivní rekreační využití krajiny (například vymezením ploch smíšených nezastavěného území – </w:t>
      </w:r>
      <w:r w:rsidR="00804E2A" w:rsidRPr="006070EA">
        <w:rPr>
          <w:rFonts w:asciiTheme="majorHAnsi" w:hAnsiTheme="majorHAnsi" w:cstheme="majorHAnsi"/>
          <w:sz w:val="18"/>
        </w:rPr>
        <w:t xml:space="preserve">rekreace nepobytová </w:t>
      </w:r>
      <w:r w:rsidR="00192B59" w:rsidRPr="006070EA">
        <w:rPr>
          <w:rFonts w:asciiTheme="majorHAnsi" w:hAnsiTheme="majorHAnsi" w:cstheme="majorHAnsi"/>
          <w:sz w:val="18"/>
        </w:rPr>
        <w:t>(</w:t>
      </w:r>
      <w:proofErr w:type="gramStart"/>
      <w:r w:rsidR="00804E2A" w:rsidRPr="006070EA">
        <w:rPr>
          <w:rFonts w:asciiTheme="majorHAnsi" w:hAnsiTheme="majorHAnsi" w:cstheme="majorHAnsi"/>
          <w:sz w:val="18"/>
        </w:rPr>
        <w:t>MU.r</w:t>
      </w:r>
      <w:proofErr w:type="gramEnd"/>
      <w:r w:rsidR="00192B59" w:rsidRPr="006070EA">
        <w:rPr>
          <w:rFonts w:asciiTheme="majorHAnsi" w:hAnsiTheme="majorHAnsi" w:cstheme="majorHAnsi"/>
          <w:sz w:val="18"/>
        </w:rPr>
        <w:t>) a sportovní</w:t>
      </w:r>
      <w:r w:rsidR="00804E2A" w:rsidRPr="006070EA">
        <w:rPr>
          <w:rFonts w:asciiTheme="majorHAnsi" w:hAnsiTheme="majorHAnsi" w:cstheme="majorHAnsi"/>
          <w:sz w:val="18"/>
        </w:rPr>
        <w:t xml:space="preserve"> využití</w:t>
      </w:r>
      <w:r w:rsidR="00192B59" w:rsidRPr="006070EA">
        <w:rPr>
          <w:rFonts w:asciiTheme="majorHAnsi" w:hAnsiTheme="majorHAnsi" w:cstheme="majorHAnsi"/>
          <w:sz w:val="18"/>
        </w:rPr>
        <w:t xml:space="preserve"> (</w:t>
      </w:r>
      <w:proofErr w:type="gramStart"/>
      <w:r w:rsidR="00804E2A" w:rsidRPr="006070EA">
        <w:rPr>
          <w:rFonts w:asciiTheme="majorHAnsi" w:hAnsiTheme="majorHAnsi" w:cstheme="majorHAnsi"/>
          <w:sz w:val="18"/>
        </w:rPr>
        <w:t>MU.s</w:t>
      </w:r>
      <w:proofErr w:type="gramEnd"/>
      <w:r w:rsidR="00192B59" w:rsidRPr="006070EA">
        <w:rPr>
          <w:rFonts w:asciiTheme="majorHAnsi" w:hAnsiTheme="majorHAnsi" w:cstheme="majorHAnsi"/>
          <w:sz w:val="18"/>
        </w:rPr>
        <w:t>), zejména zlepšovat prostupnost krajiny ve vazbě na sousední území (např. v rámci směrů zajištění prostupnosti území veřejným prostranstvím)</w:t>
      </w:r>
      <w:r w:rsidR="00A3720B" w:rsidRPr="006070EA">
        <w:rPr>
          <w:rFonts w:asciiTheme="majorHAnsi" w:hAnsiTheme="majorHAnsi" w:cstheme="majorHAnsi"/>
          <w:sz w:val="18"/>
        </w:rPr>
        <w:t xml:space="preserve">. Současně územní plán vytváří podmínky pro využití částí krajiny v přímé návaznosti na zastavěné území sídel pro každodenní rekreaci obyvatel, konkrétním způsobem se tento princip uplatňuje například vymezením ploch smíšených nezastavěného území – </w:t>
      </w:r>
      <w:r w:rsidR="00804E2A" w:rsidRPr="006070EA">
        <w:rPr>
          <w:rFonts w:asciiTheme="majorHAnsi" w:hAnsiTheme="majorHAnsi" w:cstheme="majorHAnsi"/>
          <w:sz w:val="18"/>
        </w:rPr>
        <w:t>rekreace nepobytová</w:t>
      </w:r>
      <w:r w:rsidR="00A3720B" w:rsidRPr="006070EA">
        <w:rPr>
          <w:rFonts w:asciiTheme="majorHAnsi" w:hAnsiTheme="majorHAnsi" w:cstheme="majorHAnsi"/>
          <w:sz w:val="18"/>
        </w:rPr>
        <w:t xml:space="preserve"> (</w:t>
      </w:r>
      <w:proofErr w:type="gramStart"/>
      <w:r w:rsidR="00804E2A" w:rsidRPr="006070EA">
        <w:rPr>
          <w:rFonts w:asciiTheme="majorHAnsi" w:hAnsiTheme="majorHAnsi" w:cstheme="majorHAnsi"/>
          <w:sz w:val="18"/>
        </w:rPr>
        <w:t>MU.r</w:t>
      </w:r>
      <w:proofErr w:type="gramEnd"/>
      <w:r w:rsidR="00A3720B" w:rsidRPr="006070EA">
        <w:rPr>
          <w:rFonts w:asciiTheme="majorHAnsi" w:hAnsiTheme="majorHAnsi" w:cstheme="majorHAnsi"/>
          <w:sz w:val="18"/>
        </w:rPr>
        <w:t>) v prstenci okolo zastavěného území a rozvojových ploch sídla Kostomlaty nad Labem.</w:t>
      </w:r>
    </w:p>
    <w:p w14:paraId="65B59391" w14:textId="079A2C62" w:rsidR="00FA6A9A" w:rsidRPr="006070EA" w:rsidRDefault="0075767B" w:rsidP="009E07E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V nezastavěném území obce jsou v největší míře zastoupeny </w:t>
      </w:r>
      <w:r w:rsidR="00FA0488" w:rsidRPr="006070EA">
        <w:rPr>
          <w:rFonts w:asciiTheme="majorHAnsi" w:hAnsiTheme="majorHAnsi" w:cstheme="majorHAnsi"/>
          <w:iCs/>
          <w:sz w:val="18"/>
        </w:rPr>
        <w:t>plochy</w:t>
      </w:r>
      <w:r w:rsidR="00FA0488" w:rsidRPr="006070EA">
        <w:rPr>
          <w:rFonts w:asciiTheme="majorHAnsi" w:hAnsiTheme="majorHAnsi" w:cstheme="majorHAnsi"/>
          <w:i/>
          <w:sz w:val="18"/>
        </w:rPr>
        <w:t xml:space="preserve"> zemědělské</w:t>
      </w:r>
      <w:r w:rsidR="00FA0488" w:rsidRPr="006070EA">
        <w:rPr>
          <w:rFonts w:asciiTheme="majorHAnsi" w:hAnsiTheme="majorHAnsi" w:cstheme="majorHAnsi"/>
          <w:sz w:val="18"/>
        </w:rPr>
        <w:t xml:space="preserve"> </w:t>
      </w:r>
      <w:r w:rsidR="00804E2A" w:rsidRPr="006070EA">
        <w:rPr>
          <w:rFonts w:asciiTheme="majorHAnsi" w:hAnsiTheme="majorHAnsi" w:cstheme="majorHAnsi"/>
          <w:i/>
          <w:iCs/>
          <w:sz w:val="18"/>
        </w:rPr>
        <w:t xml:space="preserve">všeobecné </w:t>
      </w:r>
      <w:r w:rsidR="00FA0488" w:rsidRPr="006070EA">
        <w:rPr>
          <w:rFonts w:asciiTheme="majorHAnsi" w:hAnsiTheme="majorHAnsi" w:cstheme="majorHAnsi"/>
          <w:sz w:val="18"/>
        </w:rPr>
        <w:t>(</w:t>
      </w:r>
      <w:r w:rsidR="00804E2A" w:rsidRPr="006070EA">
        <w:rPr>
          <w:rFonts w:asciiTheme="majorHAnsi" w:hAnsiTheme="majorHAnsi" w:cstheme="majorHAnsi"/>
          <w:sz w:val="18"/>
        </w:rPr>
        <w:t>AU</w:t>
      </w:r>
      <w:r w:rsidR="00FA0488" w:rsidRPr="006070EA">
        <w:rPr>
          <w:rFonts w:asciiTheme="majorHAnsi" w:hAnsiTheme="majorHAnsi" w:cstheme="majorHAnsi"/>
          <w:sz w:val="18"/>
        </w:rPr>
        <w:t xml:space="preserve">), </w:t>
      </w:r>
      <w:r w:rsidR="00FA0488" w:rsidRPr="006070EA">
        <w:rPr>
          <w:rFonts w:asciiTheme="majorHAnsi" w:hAnsiTheme="majorHAnsi" w:cstheme="majorHAnsi"/>
          <w:i/>
          <w:sz w:val="18"/>
        </w:rPr>
        <w:t>lesní</w:t>
      </w:r>
      <w:r w:rsidR="00804E2A" w:rsidRPr="006070EA">
        <w:rPr>
          <w:rFonts w:asciiTheme="majorHAnsi" w:hAnsiTheme="majorHAnsi" w:cstheme="majorHAnsi"/>
          <w:i/>
          <w:sz w:val="18"/>
        </w:rPr>
        <w:t xml:space="preserve"> všeobecné</w:t>
      </w:r>
      <w:r w:rsidR="00FA0488" w:rsidRPr="006070EA">
        <w:rPr>
          <w:rFonts w:asciiTheme="majorHAnsi" w:hAnsiTheme="majorHAnsi" w:cstheme="majorHAnsi"/>
          <w:sz w:val="18"/>
        </w:rPr>
        <w:t xml:space="preserve"> (</w:t>
      </w:r>
      <w:r w:rsidR="00804E2A" w:rsidRPr="006070EA">
        <w:rPr>
          <w:rFonts w:asciiTheme="majorHAnsi" w:hAnsiTheme="majorHAnsi" w:cstheme="majorHAnsi"/>
          <w:sz w:val="18"/>
        </w:rPr>
        <w:t>LU</w:t>
      </w:r>
      <w:r w:rsidR="00FA0488" w:rsidRPr="006070EA">
        <w:rPr>
          <w:rFonts w:asciiTheme="majorHAnsi" w:hAnsiTheme="majorHAnsi" w:cstheme="majorHAnsi"/>
          <w:sz w:val="18"/>
        </w:rPr>
        <w:t xml:space="preserve">) a </w:t>
      </w:r>
      <w:r w:rsidR="009E3A49" w:rsidRPr="006070EA">
        <w:rPr>
          <w:rFonts w:asciiTheme="majorHAnsi" w:hAnsiTheme="majorHAnsi" w:cstheme="majorHAnsi"/>
          <w:i/>
          <w:sz w:val="18"/>
        </w:rPr>
        <w:t xml:space="preserve">smíšené nezastavěného území </w:t>
      </w:r>
      <w:r w:rsidR="00804E2A" w:rsidRPr="006070EA">
        <w:rPr>
          <w:rFonts w:asciiTheme="majorHAnsi" w:hAnsiTheme="majorHAnsi" w:cstheme="majorHAnsi"/>
          <w:i/>
          <w:sz w:val="18"/>
        </w:rPr>
        <w:t>–</w:t>
      </w:r>
      <w:r w:rsidR="009E3A49" w:rsidRPr="006070EA">
        <w:rPr>
          <w:rFonts w:asciiTheme="majorHAnsi" w:hAnsiTheme="majorHAnsi" w:cstheme="majorHAnsi"/>
          <w:i/>
          <w:sz w:val="18"/>
        </w:rPr>
        <w:t xml:space="preserve"> zeměděls</w:t>
      </w:r>
      <w:r w:rsidR="00804E2A" w:rsidRPr="006070EA">
        <w:rPr>
          <w:rFonts w:asciiTheme="majorHAnsi" w:hAnsiTheme="majorHAnsi" w:cstheme="majorHAnsi"/>
          <w:i/>
          <w:sz w:val="18"/>
        </w:rPr>
        <w:t>tví extenzivní</w:t>
      </w:r>
      <w:r w:rsidR="009E3A49" w:rsidRPr="006070EA">
        <w:rPr>
          <w:rFonts w:asciiTheme="majorHAnsi" w:hAnsiTheme="majorHAnsi" w:cstheme="majorHAnsi"/>
          <w:i/>
          <w:sz w:val="18"/>
        </w:rPr>
        <w:t>, přírodní</w:t>
      </w:r>
      <w:r w:rsidR="00804E2A" w:rsidRPr="006070EA">
        <w:rPr>
          <w:rFonts w:asciiTheme="majorHAnsi" w:hAnsiTheme="majorHAnsi" w:cstheme="majorHAnsi"/>
          <w:sz w:val="18"/>
        </w:rPr>
        <w:t xml:space="preserve"> </w:t>
      </w:r>
      <w:r w:rsidR="00804E2A" w:rsidRPr="006070EA">
        <w:rPr>
          <w:rFonts w:asciiTheme="majorHAnsi" w:hAnsiTheme="majorHAnsi" w:cstheme="majorHAnsi"/>
          <w:i/>
          <w:iCs/>
          <w:sz w:val="18"/>
        </w:rPr>
        <w:t xml:space="preserve">priority </w:t>
      </w:r>
      <w:r w:rsidR="00FA0488" w:rsidRPr="006070EA">
        <w:rPr>
          <w:rFonts w:asciiTheme="majorHAnsi" w:hAnsiTheme="majorHAnsi" w:cstheme="majorHAnsi"/>
          <w:sz w:val="18"/>
        </w:rPr>
        <w:t>(</w:t>
      </w:r>
      <w:proofErr w:type="gramStart"/>
      <w:r w:rsidR="00804E2A" w:rsidRPr="006070EA">
        <w:rPr>
          <w:rFonts w:asciiTheme="majorHAnsi" w:hAnsiTheme="majorHAnsi" w:cstheme="majorHAnsi"/>
          <w:sz w:val="18"/>
        </w:rPr>
        <w:t>MU.zp</w:t>
      </w:r>
      <w:proofErr w:type="gramEnd"/>
      <w:r w:rsidR="00FA0488" w:rsidRPr="006070EA">
        <w:rPr>
          <w:rFonts w:asciiTheme="majorHAnsi" w:hAnsiTheme="majorHAnsi" w:cstheme="majorHAnsi"/>
          <w:sz w:val="18"/>
        </w:rPr>
        <w:t>)</w:t>
      </w:r>
      <w:r w:rsidRPr="006070EA">
        <w:rPr>
          <w:rFonts w:asciiTheme="majorHAnsi" w:hAnsiTheme="majorHAnsi" w:cstheme="majorHAnsi"/>
          <w:sz w:val="18"/>
        </w:rPr>
        <w:t>, v nichž je primárním cílem podpora historicky vytvořeného lesozemědělského charakteru území a ochrana, popř. obnova ekologicky nejstabilnějších částí krajiny. Rozvoj obce nelze koncipovat bez zohlednění jejích přírodních a krajinných hodnot. V tomto směru je klíčové zajistit ochranu nezastavěného území a krajiny před nekoordinovaným rozvojem zástavby.</w:t>
      </w:r>
      <w:r w:rsidR="009E3A49" w:rsidRPr="006070EA">
        <w:rPr>
          <w:rFonts w:asciiTheme="majorHAnsi" w:hAnsiTheme="majorHAnsi" w:cstheme="majorHAnsi"/>
          <w:sz w:val="18"/>
        </w:rPr>
        <w:t xml:space="preserve"> </w:t>
      </w:r>
      <w:r w:rsidR="00FA6A9A" w:rsidRPr="006070EA">
        <w:rPr>
          <w:rFonts w:asciiTheme="majorHAnsi" w:hAnsiTheme="majorHAnsi" w:cstheme="majorHAnsi"/>
          <w:sz w:val="18"/>
        </w:rPr>
        <w:t>Rozvoj obce nelze koncipovat bez zohlednění jejích přírodních a</w:t>
      </w:r>
      <w:r w:rsidR="00FA0488" w:rsidRPr="006070EA">
        <w:rPr>
          <w:rFonts w:asciiTheme="majorHAnsi" w:hAnsiTheme="majorHAnsi" w:cstheme="majorHAnsi"/>
          <w:sz w:val="18"/>
        </w:rPr>
        <w:t> </w:t>
      </w:r>
      <w:r w:rsidR="00FA6A9A" w:rsidRPr="006070EA">
        <w:rPr>
          <w:rFonts w:asciiTheme="majorHAnsi" w:hAnsiTheme="majorHAnsi" w:cstheme="majorHAnsi"/>
          <w:sz w:val="18"/>
        </w:rPr>
        <w:t>krajinných hodnot. V tomto směru je klíčové zajistit ochranu nezastavěného území a krajiny před nekoordinovaným rozvojem zástavby</w:t>
      </w:r>
      <w:r w:rsidR="009E3A49" w:rsidRPr="006070EA">
        <w:rPr>
          <w:rFonts w:asciiTheme="majorHAnsi" w:hAnsiTheme="majorHAnsi" w:cstheme="majorHAnsi"/>
          <w:sz w:val="18"/>
        </w:rPr>
        <w:t xml:space="preserve"> a současná priorita hospodárného využívání zastavěného území</w:t>
      </w:r>
      <w:r w:rsidR="00FA6A9A" w:rsidRPr="006070EA">
        <w:rPr>
          <w:rFonts w:asciiTheme="majorHAnsi" w:hAnsiTheme="majorHAnsi" w:cstheme="majorHAnsi"/>
          <w:sz w:val="18"/>
        </w:rPr>
        <w:t>.</w:t>
      </w:r>
      <w:r w:rsidR="00A3720B" w:rsidRPr="006070EA">
        <w:rPr>
          <w:rFonts w:asciiTheme="majorHAnsi" w:hAnsiTheme="majorHAnsi" w:cstheme="majorHAnsi"/>
          <w:sz w:val="18"/>
        </w:rPr>
        <w:t xml:space="preserve"> Současně územní plán vymezuje provázaný a koordinovaný územní systém ekologické stability a vytváří podmínky pro posílení vodního režimu území přírodě blízkými opatřeními.</w:t>
      </w:r>
    </w:p>
    <w:p w14:paraId="01EB1BF6" w14:textId="77777777" w:rsidR="004254E6" w:rsidRPr="006070EA" w:rsidRDefault="004254E6"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246" w:name="_Toc204678190"/>
      <w:r w:rsidRPr="006070EA">
        <w:rPr>
          <w:rFonts w:asciiTheme="majorHAnsi" w:hAnsiTheme="majorHAnsi" w:cstheme="majorHAnsi"/>
          <w:b/>
        </w:rPr>
        <w:t>Odůvodnění koncepce ochrany a rozvoje hodnot území</w:t>
      </w:r>
      <w:bookmarkEnd w:id="246"/>
    </w:p>
    <w:p w14:paraId="339C70A1" w14:textId="77777777" w:rsidR="00BE019F" w:rsidRPr="006070EA" w:rsidRDefault="00BE019F" w:rsidP="009E07E1">
      <w:pPr>
        <w:pStyle w:val="Mra2-reakceern"/>
        <w:pBdr>
          <w:left w:val="none" w:sz="0" w:space="0" w:color="auto"/>
        </w:pBdr>
        <w:spacing w:before="120" w:after="60"/>
        <w:ind w:left="0"/>
        <w:jc w:val="right"/>
        <w:rPr>
          <w:rFonts w:asciiTheme="majorHAnsi" w:hAnsiTheme="majorHAnsi" w:cstheme="majorHAnsi"/>
          <w:i/>
          <w:color w:val="auto"/>
          <w:u w:val="single"/>
        </w:rPr>
      </w:pPr>
      <w:bookmarkStart w:id="247" w:name="_Toc415755983"/>
      <w:bookmarkStart w:id="248" w:name="_Toc415756349"/>
      <w:bookmarkStart w:id="249" w:name="_Toc415756708"/>
      <w:bookmarkStart w:id="250" w:name="_Toc415756958"/>
      <w:bookmarkStart w:id="251" w:name="_Toc415757208"/>
      <w:bookmarkStart w:id="252" w:name="_Toc415757457"/>
      <w:bookmarkStart w:id="253" w:name="_Toc415757615"/>
      <w:bookmarkStart w:id="254" w:name="_Toc424050140"/>
      <w:bookmarkStart w:id="255" w:name="_Toc424050314"/>
      <w:bookmarkStart w:id="256" w:name="_Toc424050472"/>
      <w:bookmarkStart w:id="257" w:name="_Toc424112334"/>
      <w:bookmarkStart w:id="258" w:name="_Toc424119358"/>
      <w:bookmarkStart w:id="259" w:name="_Toc424119837"/>
      <w:bookmarkStart w:id="260" w:name="_Toc424120093"/>
      <w:bookmarkStart w:id="261" w:name="_Toc424120519"/>
      <w:bookmarkStart w:id="262" w:name="_Toc424126225"/>
      <w:bookmarkStart w:id="263" w:name="_Toc424138806"/>
      <w:bookmarkStart w:id="264" w:name="_Toc445291927"/>
      <w:bookmarkStart w:id="265" w:name="_Toc445910440"/>
      <w:bookmarkStart w:id="266" w:name="_Toc448831924"/>
      <w:bookmarkStart w:id="267" w:name="_Toc448832114"/>
      <w:bookmarkStart w:id="268" w:name="_Toc450037774"/>
      <w:bookmarkStart w:id="269" w:name="_Toc450223068"/>
      <w:bookmarkStart w:id="270" w:name="_Toc472325703"/>
      <w:bookmarkStart w:id="271" w:name="_Toc485214919"/>
      <w:bookmarkStart w:id="272" w:name="_Toc485378072"/>
      <w:bookmarkStart w:id="273" w:name="_Toc485378194"/>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(4)</w:t>
      </w:r>
      <w:r w:rsidRPr="006070EA">
        <w:rPr>
          <w:rFonts w:asciiTheme="majorHAnsi" w:hAnsiTheme="majorHAnsi" w:cstheme="majorHAnsi"/>
          <w:i/>
          <w:color w:val="auto"/>
          <w:u w:val="single"/>
        </w:rPr>
        <w:t xml:space="preserve"> výrokové části</w:t>
      </w:r>
    </w:p>
    <w:p w14:paraId="1399962D" w14:textId="6E9FD1F4" w:rsidR="00BE019F" w:rsidRPr="006070EA" w:rsidRDefault="00BE019F" w:rsidP="009E07E1">
      <w:pPr>
        <w:spacing w:line="240" w:lineRule="auto"/>
        <w:rPr>
          <w:rFonts w:asciiTheme="majorHAnsi" w:hAnsiTheme="majorHAnsi" w:cstheme="majorHAnsi"/>
          <w:b/>
          <w:sz w:val="18"/>
          <w:szCs w:val="18"/>
          <w:u w:val="single"/>
        </w:rPr>
      </w:pPr>
      <w:r w:rsidRPr="006070EA">
        <w:rPr>
          <w:rFonts w:asciiTheme="majorHAnsi" w:hAnsiTheme="majorHAnsi" w:cstheme="majorHAnsi"/>
          <w:b/>
          <w:sz w:val="18"/>
          <w:szCs w:val="18"/>
          <w:u w:val="single"/>
        </w:rPr>
        <w:t xml:space="preserve">Ochrana </w:t>
      </w:r>
      <w:r w:rsidR="00E22D6E" w:rsidRPr="006070EA">
        <w:rPr>
          <w:rFonts w:asciiTheme="majorHAnsi" w:hAnsiTheme="majorHAnsi" w:cstheme="majorHAnsi"/>
          <w:b/>
          <w:sz w:val="18"/>
          <w:szCs w:val="18"/>
          <w:u w:val="single"/>
        </w:rPr>
        <w:t xml:space="preserve">kulturních, </w:t>
      </w:r>
      <w:r w:rsidRPr="006070EA">
        <w:rPr>
          <w:rFonts w:asciiTheme="majorHAnsi" w:hAnsiTheme="majorHAnsi" w:cstheme="majorHAnsi"/>
          <w:b/>
          <w:sz w:val="18"/>
          <w:szCs w:val="18"/>
          <w:u w:val="single"/>
        </w:rPr>
        <w:t>urbanistických</w:t>
      </w:r>
      <w:r w:rsidR="00E22D6E" w:rsidRPr="006070EA">
        <w:rPr>
          <w:rFonts w:asciiTheme="majorHAnsi" w:hAnsiTheme="majorHAnsi" w:cstheme="majorHAnsi"/>
          <w:b/>
          <w:sz w:val="18"/>
          <w:szCs w:val="18"/>
          <w:u w:val="single"/>
        </w:rPr>
        <w:t xml:space="preserve"> a</w:t>
      </w:r>
      <w:r w:rsidRPr="006070EA">
        <w:rPr>
          <w:rFonts w:asciiTheme="majorHAnsi" w:hAnsiTheme="majorHAnsi" w:cstheme="majorHAnsi"/>
          <w:b/>
          <w:sz w:val="18"/>
          <w:szCs w:val="18"/>
          <w:u w:val="single"/>
        </w:rPr>
        <w:t xml:space="preserve"> architektonických hodnot</w:t>
      </w:r>
    </w:p>
    <w:p w14:paraId="62923894" w14:textId="77777777" w:rsidR="00031996" w:rsidRPr="006070EA" w:rsidRDefault="00031996" w:rsidP="00031996">
      <w:pPr>
        <w:pStyle w:val="Atext"/>
        <w:rPr>
          <w:rFonts w:asciiTheme="majorHAnsi" w:hAnsiTheme="majorHAnsi" w:cstheme="majorHAnsi"/>
        </w:rPr>
      </w:pPr>
      <w:r w:rsidRPr="006070EA">
        <w:rPr>
          <w:rFonts w:asciiTheme="majorHAnsi" w:hAnsiTheme="majorHAnsi" w:cstheme="majorHAnsi"/>
        </w:rPr>
        <w:t xml:space="preserve">Ochrana kulturních hodnot vyplývá z cílů a úkolů územního plánování v § 18 odst. 4 a v § 19 odst. 1 písm. a) a b) stavebního zákona. Ochrana kulturních hodnot v území dále vyplývá především ze zákona č. 20/1987 Sb., o státní památkové péči, ve znění pozdějších předpisů. Řešení územního plánu tyto hodnoty respektuje, stabilizuje, případně rozvíjí. </w:t>
      </w:r>
    </w:p>
    <w:p w14:paraId="1E9178C8" w14:textId="23A4CF49" w:rsidR="00031996" w:rsidRPr="006070EA" w:rsidRDefault="00031996" w:rsidP="00031996">
      <w:pPr>
        <w:pStyle w:val="Atext"/>
        <w:rPr>
          <w:rFonts w:asciiTheme="majorHAnsi" w:hAnsiTheme="majorHAnsi" w:cstheme="majorHAnsi"/>
        </w:rPr>
      </w:pPr>
      <w:r w:rsidRPr="006070EA">
        <w:rPr>
          <w:rFonts w:asciiTheme="majorHAnsi" w:hAnsiTheme="majorHAnsi" w:cstheme="majorHAnsi"/>
        </w:rPr>
        <w:t>Pro zajištění ochrany a rozvoje identifikovaných urbanistických, architektonických a kulturních hodnot na území obce jsou v řešení ÚP stanoveny obecné zásady uplatnitelné při rozhodování o změnách v území. Nezbytnost zajištění ochrany, respektování a vhodného rozvoje hodnot vychází mimo jiné z požadavku</w:t>
      </w:r>
      <w:r w:rsidRPr="006070EA">
        <w:rPr>
          <w:rFonts w:asciiTheme="majorHAnsi" w:hAnsiTheme="majorHAnsi" w:cstheme="majorHAnsi"/>
          <w:i/>
        </w:rPr>
        <w:t xml:space="preserve"> PÚR ČR, priorita 14</w:t>
      </w:r>
      <w:r w:rsidRPr="006070EA">
        <w:rPr>
          <w:rFonts w:asciiTheme="majorHAnsi" w:hAnsiTheme="majorHAnsi" w:cstheme="majorHAnsi"/>
        </w:rPr>
        <w:t xml:space="preserve">: </w:t>
      </w:r>
      <w:r w:rsidRPr="006070EA">
        <w:rPr>
          <w:rFonts w:asciiTheme="majorHAnsi" w:hAnsiTheme="majorHAnsi" w:cstheme="majorHAnsi"/>
          <w:i/>
        </w:rPr>
        <w:t>„Ve veřejném zájmu chránit a</w:t>
      </w:r>
      <w:r w:rsidR="00804E2A" w:rsidRPr="006070EA">
        <w:rPr>
          <w:rFonts w:asciiTheme="majorHAnsi" w:hAnsiTheme="majorHAnsi" w:cstheme="majorHAnsi"/>
          <w:i/>
        </w:rPr>
        <w:t> </w:t>
      </w:r>
      <w:r w:rsidRPr="006070EA">
        <w:rPr>
          <w:rFonts w:asciiTheme="majorHAnsi" w:hAnsiTheme="majorHAnsi" w:cstheme="majorHAnsi"/>
          <w:i/>
        </w:rPr>
        <w:t>rozvíjet přírodní, civilizační a kulturní hodnoty území, včetně urbanistického, architektonického a archeologického dědictví. Zachovat ráz jedinečné urbanistické struktury území, struktury osídlení a jedinečné kulturní krajiny, které jsou výrazem identity území, jeho historie a tradice. Tato území mají značnou hodnotu, např. i jako turistické atraktivity.“</w:t>
      </w:r>
      <w:r w:rsidRPr="006070EA">
        <w:rPr>
          <w:rFonts w:asciiTheme="majorHAnsi" w:hAnsiTheme="majorHAnsi" w:cstheme="majorHAnsi"/>
          <w:iCs w:val="0"/>
        </w:rPr>
        <w:t xml:space="preserve"> Ochrana hodnot se dále propisuje do řešení ÚP ve formě stanovení prostorové struktury zástavby, ochrany a vymezení veřejných prostranství, stanovení podmínek využití atd. </w:t>
      </w:r>
    </w:p>
    <w:p w14:paraId="062303FC" w14:textId="77777777" w:rsidR="00BE019F" w:rsidRPr="006070EA" w:rsidRDefault="00BE019F" w:rsidP="009E07E1">
      <w:pPr>
        <w:pStyle w:val="Atext"/>
        <w:rPr>
          <w:rFonts w:asciiTheme="majorHAnsi" w:hAnsiTheme="majorHAnsi" w:cstheme="majorHAnsi"/>
          <w:szCs w:val="18"/>
        </w:rPr>
      </w:pPr>
      <w:r w:rsidRPr="006070EA">
        <w:rPr>
          <w:rFonts w:asciiTheme="majorHAnsi" w:hAnsiTheme="majorHAnsi" w:cstheme="majorHAnsi"/>
          <w:szCs w:val="18"/>
        </w:rPr>
        <w:t xml:space="preserve">Ochrana kulturních hodnot v území vyplývá především ze zákona 20/1987 Sb., o státní památkové péči, ve znění pozdějších předpisů. Řešení ÚP tyto hodnoty respektuje a stabilizuje. Jedná se o následující: </w:t>
      </w:r>
    </w:p>
    <w:p w14:paraId="085C808A" w14:textId="77777777" w:rsidR="004254E6" w:rsidRPr="006070EA" w:rsidRDefault="004254E6" w:rsidP="00985509">
      <w:pPr>
        <w:keepNext/>
        <w:spacing w:before="120" w:after="60" w:line="240" w:lineRule="auto"/>
        <w:jc w:val="both"/>
        <w:rPr>
          <w:rFonts w:asciiTheme="majorHAnsi" w:hAnsiTheme="majorHAnsi" w:cstheme="majorHAnsi"/>
          <w:b/>
          <w:sz w:val="18"/>
          <w:szCs w:val="18"/>
        </w:rPr>
      </w:pPr>
      <w:r w:rsidRPr="006070EA">
        <w:rPr>
          <w:rFonts w:asciiTheme="majorHAnsi" w:hAnsiTheme="majorHAnsi" w:cstheme="majorHAnsi"/>
          <w:b/>
          <w:sz w:val="18"/>
          <w:szCs w:val="18"/>
        </w:rPr>
        <w:lastRenderedPageBreak/>
        <w:t>Nemovité kulturní památky</w:t>
      </w:r>
    </w:p>
    <w:p w14:paraId="720C0F11" w14:textId="05736498" w:rsidR="002F3880" w:rsidRPr="006070EA" w:rsidRDefault="002F3880" w:rsidP="00985509">
      <w:pPr>
        <w:pStyle w:val="Atext"/>
        <w:keepNext/>
        <w:rPr>
          <w:rFonts w:asciiTheme="majorHAnsi" w:hAnsiTheme="majorHAnsi" w:cstheme="majorHAnsi"/>
          <w:szCs w:val="18"/>
        </w:rPr>
      </w:pPr>
      <w:r w:rsidRPr="006070EA">
        <w:rPr>
          <w:rFonts w:asciiTheme="majorHAnsi" w:hAnsiTheme="majorHAnsi" w:cstheme="majorHAnsi"/>
          <w:szCs w:val="18"/>
        </w:rPr>
        <w:t>V ústředním seznamu nemovitých kulturních památek České republiky jsou zapsány následující objekty</w:t>
      </w:r>
      <w:r w:rsidR="00985509" w:rsidRPr="006070EA">
        <w:rPr>
          <w:rFonts w:asciiTheme="majorHAnsi" w:hAnsiTheme="majorHAnsi" w:cstheme="majorHAnsi"/>
          <w:szCs w:val="18"/>
        </w:rPr>
        <w:t xml:space="preserve"> v řešeném území</w:t>
      </w:r>
      <w:r w:rsidRPr="006070EA">
        <w:rPr>
          <w:rFonts w:asciiTheme="majorHAnsi" w:hAnsiTheme="majorHAnsi" w:cstheme="majorHAnsi"/>
          <w:szCs w:val="18"/>
        </w:rPr>
        <w:t xml:space="preserve">: </w:t>
      </w:r>
    </w:p>
    <w:tbl>
      <w:tblPr>
        <w:tblW w:w="90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9"/>
        <w:gridCol w:w="1798"/>
        <w:gridCol w:w="3065"/>
        <w:gridCol w:w="2552"/>
      </w:tblGrid>
      <w:tr w:rsidR="002F3880" w:rsidRPr="006070EA" w14:paraId="5F94A8F7" w14:textId="77777777" w:rsidTr="00985509">
        <w:trPr>
          <w:cantSplit/>
          <w:trHeight w:val="20"/>
          <w:tblHeader/>
          <w:jc w:val="center"/>
        </w:trPr>
        <w:tc>
          <w:tcPr>
            <w:tcW w:w="1589" w:type="dxa"/>
            <w:tcBorders>
              <w:top w:val="nil"/>
              <w:left w:val="nil"/>
              <w:bottom w:val="single" w:sz="12" w:space="0" w:color="auto"/>
              <w:right w:val="single" w:sz="12" w:space="0" w:color="auto"/>
            </w:tcBorders>
            <w:vAlign w:val="center"/>
            <w:hideMark/>
          </w:tcPr>
          <w:p w14:paraId="53AAE800" w14:textId="77777777" w:rsidR="002F3880" w:rsidRPr="006070EA" w:rsidRDefault="002F3880" w:rsidP="00985509">
            <w:pPr>
              <w:pStyle w:val="Bezmezer"/>
              <w:keepNext/>
              <w:jc w:val="center"/>
              <w:rPr>
                <w:rFonts w:asciiTheme="majorHAnsi" w:hAnsiTheme="majorHAnsi" w:cstheme="majorHAnsi"/>
                <w:b/>
                <w:lang w:val="cs-CZ"/>
              </w:rPr>
            </w:pPr>
            <w:r w:rsidRPr="006070EA">
              <w:rPr>
                <w:rFonts w:asciiTheme="majorHAnsi" w:hAnsiTheme="majorHAnsi" w:cstheme="majorHAnsi"/>
                <w:b/>
                <w:lang w:val="cs-CZ"/>
              </w:rPr>
              <w:t>číslo rejstříku</w:t>
            </w:r>
          </w:p>
        </w:tc>
        <w:tc>
          <w:tcPr>
            <w:tcW w:w="1798" w:type="dxa"/>
            <w:tcBorders>
              <w:top w:val="nil"/>
              <w:left w:val="single" w:sz="12" w:space="0" w:color="auto"/>
              <w:bottom w:val="single" w:sz="12" w:space="0" w:color="auto"/>
              <w:right w:val="single" w:sz="12" w:space="0" w:color="auto"/>
            </w:tcBorders>
            <w:vAlign w:val="center"/>
            <w:hideMark/>
          </w:tcPr>
          <w:p w14:paraId="5E932655" w14:textId="77777777" w:rsidR="002F3880" w:rsidRPr="006070EA" w:rsidRDefault="002F3880" w:rsidP="00985509">
            <w:pPr>
              <w:pStyle w:val="Bezmezer"/>
              <w:keepNext/>
              <w:jc w:val="center"/>
              <w:rPr>
                <w:rFonts w:asciiTheme="majorHAnsi" w:hAnsiTheme="majorHAnsi" w:cstheme="majorHAnsi"/>
                <w:b/>
                <w:lang w:val="cs-CZ"/>
              </w:rPr>
            </w:pPr>
            <w:r w:rsidRPr="006070EA">
              <w:rPr>
                <w:rFonts w:asciiTheme="majorHAnsi" w:hAnsiTheme="majorHAnsi" w:cstheme="majorHAnsi"/>
                <w:b/>
                <w:lang w:val="cs-CZ"/>
              </w:rPr>
              <w:t>sídlo</w:t>
            </w:r>
          </w:p>
        </w:tc>
        <w:tc>
          <w:tcPr>
            <w:tcW w:w="3065" w:type="dxa"/>
            <w:tcBorders>
              <w:top w:val="nil"/>
              <w:left w:val="single" w:sz="12" w:space="0" w:color="auto"/>
              <w:bottom w:val="single" w:sz="12" w:space="0" w:color="auto"/>
              <w:right w:val="single" w:sz="12" w:space="0" w:color="auto"/>
            </w:tcBorders>
            <w:vAlign w:val="center"/>
            <w:hideMark/>
          </w:tcPr>
          <w:p w14:paraId="4E327F04" w14:textId="77777777" w:rsidR="002F3880" w:rsidRPr="006070EA" w:rsidRDefault="002F3880" w:rsidP="00985509">
            <w:pPr>
              <w:pStyle w:val="Bezmezer"/>
              <w:keepNext/>
              <w:jc w:val="center"/>
              <w:rPr>
                <w:rFonts w:asciiTheme="majorHAnsi" w:hAnsiTheme="majorHAnsi" w:cstheme="majorHAnsi"/>
                <w:b/>
                <w:lang w:val="cs-CZ"/>
              </w:rPr>
            </w:pPr>
            <w:r w:rsidRPr="006070EA">
              <w:rPr>
                <w:rFonts w:asciiTheme="majorHAnsi" w:hAnsiTheme="majorHAnsi" w:cstheme="majorHAnsi"/>
                <w:b/>
                <w:lang w:val="cs-CZ"/>
              </w:rPr>
              <w:t>památka</w:t>
            </w:r>
          </w:p>
        </w:tc>
        <w:tc>
          <w:tcPr>
            <w:tcW w:w="2552" w:type="dxa"/>
            <w:tcBorders>
              <w:top w:val="nil"/>
              <w:left w:val="single" w:sz="12" w:space="0" w:color="auto"/>
              <w:bottom w:val="single" w:sz="12" w:space="0" w:color="auto"/>
              <w:right w:val="nil"/>
            </w:tcBorders>
            <w:vAlign w:val="center"/>
            <w:hideMark/>
          </w:tcPr>
          <w:p w14:paraId="023FAB20" w14:textId="77777777" w:rsidR="002F3880" w:rsidRPr="006070EA" w:rsidRDefault="002F3880" w:rsidP="00985509">
            <w:pPr>
              <w:pStyle w:val="Bezmezer"/>
              <w:keepNext/>
              <w:jc w:val="center"/>
              <w:rPr>
                <w:rFonts w:asciiTheme="majorHAnsi" w:hAnsiTheme="majorHAnsi" w:cstheme="majorHAnsi"/>
                <w:b/>
                <w:lang w:val="cs-CZ"/>
              </w:rPr>
            </w:pPr>
            <w:r w:rsidRPr="006070EA">
              <w:rPr>
                <w:rFonts w:asciiTheme="majorHAnsi" w:hAnsiTheme="majorHAnsi" w:cstheme="majorHAnsi"/>
                <w:b/>
                <w:lang w:val="cs-CZ"/>
              </w:rPr>
              <w:t>ulice, nám. / umístění</w:t>
            </w:r>
          </w:p>
        </w:tc>
      </w:tr>
      <w:tr w:rsidR="002F3880" w:rsidRPr="006070EA" w14:paraId="46F0B576" w14:textId="77777777" w:rsidTr="00985509">
        <w:trPr>
          <w:trHeight w:val="20"/>
          <w:jc w:val="center"/>
        </w:trPr>
        <w:tc>
          <w:tcPr>
            <w:tcW w:w="1589" w:type="dxa"/>
            <w:tcBorders>
              <w:top w:val="single" w:sz="12" w:space="0" w:color="auto"/>
              <w:left w:val="nil"/>
              <w:bottom w:val="single" w:sz="4" w:space="0" w:color="auto"/>
              <w:right w:val="single" w:sz="4" w:space="0" w:color="auto"/>
            </w:tcBorders>
            <w:vAlign w:val="center"/>
            <w:hideMark/>
          </w:tcPr>
          <w:p w14:paraId="6522EA5E"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b/>
                <w:bCs/>
                <w:sz w:val="18"/>
                <w:szCs w:val="18"/>
              </w:rPr>
              <w:t>12963 / 2-1834</w:t>
            </w:r>
          </w:p>
        </w:tc>
        <w:tc>
          <w:tcPr>
            <w:tcW w:w="1798" w:type="dxa"/>
            <w:tcBorders>
              <w:top w:val="single" w:sz="12" w:space="0" w:color="auto"/>
              <w:left w:val="single" w:sz="4" w:space="0" w:color="auto"/>
              <w:bottom w:val="single" w:sz="4" w:space="0" w:color="auto"/>
              <w:right w:val="single" w:sz="4" w:space="0" w:color="auto"/>
            </w:tcBorders>
            <w:vAlign w:val="center"/>
            <w:hideMark/>
          </w:tcPr>
          <w:p w14:paraId="0785F271"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Kostomlaty nad Labem</w:t>
            </w:r>
          </w:p>
        </w:tc>
        <w:tc>
          <w:tcPr>
            <w:tcW w:w="3065" w:type="dxa"/>
            <w:tcBorders>
              <w:top w:val="single" w:sz="12" w:space="0" w:color="auto"/>
              <w:left w:val="single" w:sz="4" w:space="0" w:color="auto"/>
              <w:bottom w:val="single" w:sz="4" w:space="0" w:color="auto"/>
              <w:right w:val="single" w:sz="4" w:space="0" w:color="auto"/>
            </w:tcBorders>
            <w:vAlign w:val="center"/>
            <w:hideMark/>
          </w:tcPr>
          <w:p w14:paraId="38B287CF"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kostel sv. Bartoloměje</w:t>
            </w:r>
          </w:p>
        </w:tc>
        <w:tc>
          <w:tcPr>
            <w:tcW w:w="2552" w:type="dxa"/>
            <w:tcBorders>
              <w:top w:val="single" w:sz="12" w:space="0" w:color="auto"/>
              <w:left w:val="single" w:sz="4" w:space="0" w:color="auto"/>
              <w:bottom w:val="single" w:sz="4" w:space="0" w:color="auto"/>
              <w:right w:val="nil"/>
            </w:tcBorders>
            <w:vAlign w:val="center"/>
            <w:hideMark/>
          </w:tcPr>
          <w:p w14:paraId="3410D0DD"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náves, st. č. 1</w:t>
            </w:r>
          </w:p>
          <w:p w14:paraId="04297EC3"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p>
        </w:tc>
      </w:tr>
      <w:tr w:rsidR="002F3880" w:rsidRPr="006070EA" w14:paraId="71FF3FCD" w14:textId="77777777" w:rsidTr="00985509">
        <w:trPr>
          <w:trHeight w:val="20"/>
          <w:jc w:val="center"/>
        </w:trPr>
        <w:tc>
          <w:tcPr>
            <w:tcW w:w="1589" w:type="dxa"/>
            <w:tcBorders>
              <w:top w:val="single" w:sz="4" w:space="0" w:color="auto"/>
              <w:left w:val="nil"/>
              <w:bottom w:val="single" w:sz="4" w:space="0" w:color="auto"/>
              <w:right w:val="single" w:sz="4" w:space="0" w:color="auto"/>
            </w:tcBorders>
            <w:vAlign w:val="center"/>
            <w:hideMark/>
          </w:tcPr>
          <w:p w14:paraId="1B6E59AB" w14:textId="77777777" w:rsidR="002F3880" w:rsidRPr="006070EA" w:rsidRDefault="002F3880" w:rsidP="00985509">
            <w:pPr>
              <w:autoSpaceDE w:val="0"/>
              <w:autoSpaceDN w:val="0"/>
              <w:adjustRightInd w:val="0"/>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32800 / 2-3141</w:t>
            </w:r>
          </w:p>
        </w:tc>
        <w:tc>
          <w:tcPr>
            <w:tcW w:w="1798" w:type="dxa"/>
            <w:tcBorders>
              <w:top w:val="single" w:sz="4" w:space="0" w:color="auto"/>
              <w:left w:val="single" w:sz="4" w:space="0" w:color="auto"/>
              <w:bottom w:val="single" w:sz="4" w:space="0" w:color="auto"/>
              <w:right w:val="single" w:sz="4" w:space="0" w:color="auto"/>
            </w:tcBorders>
            <w:vAlign w:val="center"/>
            <w:hideMark/>
          </w:tcPr>
          <w:p w14:paraId="7372BAE0"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Kostomlaty nad Labem</w:t>
            </w:r>
          </w:p>
        </w:tc>
        <w:tc>
          <w:tcPr>
            <w:tcW w:w="3065" w:type="dxa"/>
            <w:tcBorders>
              <w:top w:val="single" w:sz="4" w:space="0" w:color="auto"/>
              <w:left w:val="single" w:sz="4" w:space="0" w:color="auto"/>
              <w:bottom w:val="single" w:sz="4" w:space="0" w:color="auto"/>
              <w:right w:val="single" w:sz="4" w:space="0" w:color="auto"/>
            </w:tcBorders>
            <w:vAlign w:val="center"/>
            <w:hideMark/>
          </w:tcPr>
          <w:p w14:paraId="137827B4"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socha sv. Jana Nepomuckého</w:t>
            </w:r>
          </w:p>
        </w:tc>
        <w:tc>
          <w:tcPr>
            <w:tcW w:w="2552" w:type="dxa"/>
            <w:tcBorders>
              <w:top w:val="single" w:sz="4" w:space="0" w:color="auto"/>
              <w:left w:val="single" w:sz="4" w:space="0" w:color="auto"/>
              <w:bottom w:val="single" w:sz="4" w:space="0" w:color="auto"/>
              <w:right w:val="nil"/>
            </w:tcBorders>
            <w:vAlign w:val="center"/>
            <w:hideMark/>
          </w:tcPr>
          <w:p w14:paraId="0397CF7A"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u Farského potoka, proti čp. 42</w:t>
            </w:r>
          </w:p>
        </w:tc>
      </w:tr>
      <w:tr w:rsidR="002F3880" w:rsidRPr="006070EA" w14:paraId="1D99BBE8" w14:textId="77777777" w:rsidTr="00985509">
        <w:trPr>
          <w:trHeight w:val="20"/>
          <w:jc w:val="center"/>
        </w:trPr>
        <w:tc>
          <w:tcPr>
            <w:tcW w:w="1589" w:type="dxa"/>
            <w:tcBorders>
              <w:top w:val="single" w:sz="4" w:space="0" w:color="auto"/>
              <w:left w:val="nil"/>
              <w:bottom w:val="single" w:sz="4" w:space="0" w:color="auto"/>
              <w:right w:val="single" w:sz="4" w:space="0" w:color="auto"/>
            </w:tcBorders>
            <w:vAlign w:val="center"/>
          </w:tcPr>
          <w:p w14:paraId="683F9C6C"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b/>
                <w:bCs/>
                <w:sz w:val="18"/>
                <w:szCs w:val="18"/>
              </w:rPr>
              <w:t>41022 / 2-3142</w:t>
            </w:r>
          </w:p>
        </w:tc>
        <w:tc>
          <w:tcPr>
            <w:tcW w:w="1798" w:type="dxa"/>
            <w:tcBorders>
              <w:top w:val="single" w:sz="4" w:space="0" w:color="auto"/>
              <w:left w:val="single" w:sz="4" w:space="0" w:color="auto"/>
              <w:bottom w:val="single" w:sz="4" w:space="0" w:color="auto"/>
              <w:right w:val="single" w:sz="4" w:space="0" w:color="auto"/>
            </w:tcBorders>
            <w:vAlign w:val="center"/>
          </w:tcPr>
          <w:p w14:paraId="6B60CC4D"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Hronětice</w:t>
            </w:r>
          </w:p>
        </w:tc>
        <w:tc>
          <w:tcPr>
            <w:tcW w:w="3065" w:type="dxa"/>
            <w:tcBorders>
              <w:top w:val="single" w:sz="4" w:space="0" w:color="auto"/>
              <w:left w:val="single" w:sz="4" w:space="0" w:color="auto"/>
              <w:bottom w:val="single" w:sz="4" w:space="0" w:color="auto"/>
              <w:right w:val="single" w:sz="4" w:space="0" w:color="auto"/>
            </w:tcBorders>
            <w:vAlign w:val="center"/>
          </w:tcPr>
          <w:p w14:paraId="7B8A837B"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kaplička sv. Vojtěcha</w:t>
            </w:r>
          </w:p>
        </w:tc>
        <w:tc>
          <w:tcPr>
            <w:tcW w:w="2552" w:type="dxa"/>
            <w:tcBorders>
              <w:top w:val="single" w:sz="4" w:space="0" w:color="auto"/>
              <w:left w:val="single" w:sz="4" w:space="0" w:color="auto"/>
              <w:bottom w:val="single" w:sz="4" w:space="0" w:color="auto"/>
              <w:right w:val="nil"/>
            </w:tcBorders>
            <w:vAlign w:val="center"/>
          </w:tcPr>
          <w:p w14:paraId="0BE2F9E7" w14:textId="77777777" w:rsidR="002F3880" w:rsidRPr="006070EA" w:rsidRDefault="002F3880" w:rsidP="00985509">
            <w:pPr>
              <w:pStyle w:val="Bezmezer"/>
              <w:jc w:val="center"/>
              <w:rPr>
                <w:rFonts w:asciiTheme="majorHAnsi" w:hAnsiTheme="majorHAnsi" w:cstheme="majorHAnsi"/>
                <w:szCs w:val="18"/>
                <w:lang w:val="cs-CZ"/>
              </w:rPr>
            </w:pPr>
          </w:p>
        </w:tc>
      </w:tr>
      <w:tr w:rsidR="002F3880" w:rsidRPr="006070EA" w14:paraId="1824359C" w14:textId="77777777" w:rsidTr="00985509">
        <w:trPr>
          <w:trHeight w:val="20"/>
          <w:jc w:val="center"/>
        </w:trPr>
        <w:tc>
          <w:tcPr>
            <w:tcW w:w="1589" w:type="dxa"/>
            <w:tcBorders>
              <w:top w:val="single" w:sz="4" w:space="0" w:color="auto"/>
              <w:left w:val="nil"/>
              <w:bottom w:val="nil"/>
              <w:right w:val="single" w:sz="4" w:space="0" w:color="auto"/>
            </w:tcBorders>
            <w:vAlign w:val="center"/>
          </w:tcPr>
          <w:p w14:paraId="2DCA7478"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b/>
                <w:bCs/>
                <w:sz w:val="18"/>
                <w:szCs w:val="18"/>
              </w:rPr>
              <w:t>45693 / 2-1818</w:t>
            </w:r>
          </w:p>
        </w:tc>
        <w:tc>
          <w:tcPr>
            <w:tcW w:w="1798" w:type="dxa"/>
            <w:tcBorders>
              <w:top w:val="single" w:sz="4" w:space="0" w:color="auto"/>
              <w:left w:val="single" w:sz="4" w:space="0" w:color="auto"/>
              <w:bottom w:val="nil"/>
              <w:right w:val="single" w:sz="4" w:space="0" w:color="auto"/>
            </w:tcBorders>
            <w:vAlign w:val="center"/>
          </w:tcPr>
          <w:p w14:paraId="4AE2FA7B"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Vápensko</w:t>
            </w:r>
          </w:p>
        </w:tc>
        <w:tc>
          <w:tcPr>
            <w:tcW w:w="3065" w:type="dxa"/>
            <w:tcBorders>
              <w:top w:val="single" w:sz="4" w:space="0" w:color="auto"/>
              <w:left w:val="single" w:sz="4" w:space="0" w:color="auto"/>
              <w:bottom w:val="nil"/>
              <w:right w:val="single" w:sz="4" w:space="0" w:color="auto"/>
            </w:tcBorders>
            <w:vAlign w:val="center"/>
          </w:tcPr>
          <w:p w14:paraId="00B02731"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venkovská usedlost, z toho jen: půdorys celé okrouhlice</w:t>
            </w:r>
          </w:p>
        </w:tc>
        <w:tc>
          <w:tcPr>
            <w:tcW w:w="2552" w:type="dxa"/>
            <w:tcBorders>
              <w:top w:val="single" w:sz="4" w:space="0" w:color="auto"/>
              <w:left w:val="single" w:sz="4" w:space="0" w:color="auto"/>
              <w:bottom w:val="nil"/>
              <w:right w:val="nil"/>
            </w:tcBorders>
            <w:vAlign w:val="center"/>
          </w:tcPr>
          <w:p w14:paraId="00DC2280" w14:textId="77777777" w:rsidR="002F3880" w:rsidRPr="006070EA" w:rsidRDefault="002F3880" w:rsidP="00985509">
            <w:pPr>
              <w:autoSpaceDE w:val="0"/>
              <w:autoSpaceDN w:val="0"/>
              <w:adjustRightInd w:val="0"/>
              <w:spacing w:after="0"/>
              <w:jc w:val="center"/>
              <w:rPr>
                <w:rFonts w:asciiTheme="majorHAnsi" w:hAnsiTheme="majorHAnsi" w:cstheme="majorHAnsi"/>
                <w:sz w:val="18"/>
                <w:szCs w:val="18"/>
              </w:rPr>
            </w:pPr>
            <w:r w:rsidRPr="006070EA">
              <w:rPr>
                <w:rFonts w:asciiTheme="majorHAnsi" w:hAnsiTheme="majorHAnsi" w:cstheme="majorHAnsi"/>
                <w:sz w:val="18"/>
                <w:szCs w:val="18"/>
              </w:rPr>
              <w:t>náves</w:t>
            </w:r>
          </w:p>
        </w:tc>
      </w:tr>
    </w:tbl>
    <w:p w14:paraId="499E127A" w14:textId="0FE6FE4B" w:rsidR="00985509" w:rsidRPr="006070EA" w:rsidRDefault="00985509" w:rsidP="00985509">
      <w:pPr>
        <w:pStyle w:val="Atext"/>
        <w:rPr>
          <w:rFonts w:asciiTheme="majorHAnsi" w:hAnsiTheme="majorHAnsi" w:cstheme="majorHAnsi"/>
          <w:szCs w:val="18"/>
        </w:rPr>
      </w:pPr>
      <w:r w:rsidRPr="006070EA">
        <w:rPr>
          <w:rFonts w:asciiTheme="majorHAnsi" w:hAnsiTheme="majorHAnsi" w:cstheme="majorHAnsi"/>
          <w:szCs w:val="18"/>
        </w:rPr>
        <w:t xml:space="preserve">Nemovité kulturní památky jsou vyznačeny v grafické části Odůvodnění územního plánu ve výkrese </w:t>
      </w:r>
      <w:r w:rsidR="00804E2A" w:rsidRPr="006070EA">
        <w:rPr>
          <w:rFonts w:asciiTheme="majorHAnsi" w:hAnsiTheme="majorHAnsi" w:cstheme="majorHAnsi"/>
          <w:i/>
          <w:szCs w:val="18"/>
        </w:rPr>
        <w:t>4</w:t>
      </w:r>
      <w:r w:rsidRPr="006070EA">
        <w:rPr>
          <w:rFonts w:asciiTheme="majorHAnsi" w:hAnsiTheme="majorHAnsi" w:cstheme="majorHAnsi"/>
          <w:i/>
          <w:szCs w:val="18"/>
        </w:rPr>
        <w:t xml:space="preserve"> Koordinační výkres</w:t>
      </w:r>
      <w:r w:rsidRPr="006070EA">
        <w:rPr>
          <w:rFonts w:asciiTheme="majorHAnsi" w:hAnsiTheme="majorHAnsi" w:cstheme="majorHAnsi"/>
          <w:szCs w:val="18"/>
        </w:rPr>
        <w:t>.</w:t>
      </w:r>
    </w:p>
    <w:p w14:paraId="1ACAD2F7" w14:textId="61E26D6E" w:rsidR="002F3880" w:rsidRPr="006070EA" w:rsidRDefault="002F3880" w:rsidP="009E07E1">
      <w:pPr>
        <w:pStyle w:val="Atext"/>
        <w:rPr>
          <w:rFonts w:asciiTheme="majorHAnsi" w:hAnsiTheme="majorHAnsi" w:cstheme="majorHAnsi"/>
          <w:szCs w:val="18"/>
        </w:rPr>
      </w:pPr>
      <w:r w:rsidRPr="006070EA">
        <w:rPr>
          <w:rFonts w:asciiTheme="majorHAnsi" w:hAnsiTheme="majorHAnsi" w:cstheme="majorHAnsi"/>
        </w:rPr>
        <w:t>V řešeném území se dále nacházejí jednotlivé objekty s historickou, uměleckou či obecně kulturní hodnotou, které si zaslouží zvýšenou pozornost. Jedná se zejména o památky místního významu (socha sv. Jana Nepomuckého, silniční kamenný most, budova železniční stanice v Kostomlatech n. L. a brána usedlosti v Hroněticích).</w:t>
      </w:r>
    </w:p>
    <w:p w14:paraId="1CC9F3D7" w14:textId="77777777" w:rsidR="002F3880" w:rsidRPr="006070EA" w:rsidRDefault="002F3880" w:rsidP="002F3880">
      <w:pPr>
        <w:pStyle w:val="Anadpispodtren"/>
        <w:rPr>
          <w:rFonts w:asciiTheme="majorHAnsi" w:hAnsiTheme="majorHAnsi" w:cstheme="majorHAnsi"/>
          <w:b/>
          <w:bCs/>
          <w:color w:val="000000"/>
          <w:szCs w:val="18"/>
          <w:u w:val="none"/>
        </w:rPr>
      </w:pPr>
      <w:r w:rsidRPr="006070EA">
        <w:rPr>
          <w:rFonts w:asciiTheme="majorHAnsi" w:hAnsiTheme="majorHAnsi" w:cstheme="majorHAnsi"/>
          <w:b/>
          <w:bCs/>
          <w:color w:val="000000"/>
          <w:szCs w:val="18"/>
          <w:u w:val="none"/>
        </w:rPr>
        <w:t>Válečné hroby</w:t>
      </w:r>
    </w:p>
    <w:p w14:paraId="0A9C50B5" w14:textId="58D5A68D" w:rsidR="002F3880" w:rsidRPr="006070EA" w:rsidRDefault="002F3880" w:rsidP="002F3880">
      <w:pPr>
        <w:pStyle w:val="Atext"/>
        <w:rPr>
          <w:rFonts w:asciiTheme="majorHAnsi" w:hAnsiTheme="majorHAnsi" w:cstheme="majorHAnsi"/>
          <w:color w:val="000000"/>
          <w:szCs w:val="18"/>
        </w:rPr>
      </w:pPr>
      <w:r w:rsidRPr="006070EA">
        <w:rPr>
          <w:rFonts w:asciiTheme="majorHAnsi" w:hAnsiTheme="majorHAnsi" w:cstheme="majorHAnsi"/>
          <w:color w:val="000000"/>
          <w:szCs w:val="18"/>
        </w:rPr>
        <w:t>Zákon č. 122/2004 Sb., o válečných hrobech a pietních místech a o změně zákona č. 256/2001 Sb., o pohřebnictví a</w:t>
      </w:r>
      <w:r w:rsidR="008F20FA" w:rsidRPr="006070EA">
        <w:rPr>
          <w:rFonts w:asciiTheme="majorHAnsi" w:hAnsiTheme="majorHAnsi" w:cstheme="majorHAnsi"/>
          <w:color w:val="000000"/>
          <w:szCs w:val="18"/>
        </w:rPr>
        <w:t> </w:t>
      </w:r>
      <w:r w:rsidRPr="006070EA">
        <w:rPr>
          <w:rFonts w:asciiTheme="majorHAnsi" w:hAnsiTheme="majorHAnsi" w:cstheme="majorHAnsi"/>
          <w:color w:val="000000"/>
          <w:szCs w:val="18"/>
        </w:rPr>
        <w:t>o</w:t>
      </w:r>
      <w:r w:rsidR="00485315" w:rsidRPr="006070EA">
        <w:rPr>
          <w:rFonts w:asciiTheme="majorHAnsi" w:hAnsiTheme="majorHAnsi" w:cstheme="majorHAnsi"/>
          <w:color w:val="000000"/>
          <w:szCs w:val="18"/>
        </w:rPr>
        <w:t> </w:t>
      </w:r>
      <w:r w:rsidRPr="006070EA">
        <w:rPr>
          <w:rFonts w:asciiTheme="majorHAnsi" w:hAnsiTheme="majorHAnsi" w:cstheme="majorHAnsi"/>
          <w:color w:val="000000"/>
          <w:szCs w:val="18"/>
        </w:rPr>
        <w:t>změně některých zákonů, ve znění pozdějších předpisů, stanovuje práva a povinnosti v oblasti péče o válečné hroby a</w:t>
      </w:r>
      <w:r w:rsidR="008F20FA" w:rsidRPr="006070EA">
        <w:rPr>
          <w:rFonts w:asciiTheme="majorHAnsi" w:hAnsiTheme="majorHAnsi" w:cstheme="majorHAnsi"/>
          <w:color w:val="000000"/>
          <w:szCs w:val="18"/>
        </w:rPr>
        <w:t> </w:t>
      </w:r>
      <w:r w:rsidRPr="006070EA">
        <w:rPr>
          <w:rFonts w:asciiTheme="majorHAnsi" w:hAnsiTheme="majorHAnsi" w:cstheme="majorHAnsi"/>
          <w:color w:val="000000"/>
          <w:szCs w:val="18"/>
        </w:rPr>
        <w:t>pietní místa.</w:t>
      </w:r>
    </w:p>
    <w:p w14:paraId="29D0DBD0" w14:textId="77777777" w:rsidR="002F3880" w:rsidRPr="006070EA" w:rsidRDefault="002F3880" w:rsidP="002F3880">
      <w:pPr>
        <w:pStyle w:val="Atext"/>
        <w:rPr>
          <w:rFonts w:asciiTheme="majorHAnsi" w:hAnsiTheme="majorHAnsi" w:cstheme="majorHAnsi"/>
          <w:color w:val="000000"/>
          <w:szCs w:val="18"/>
        </w:rPr>
      </w:pPr>
      <w:r w:rsidRPr="006070EA">
        <w:rPr>
          <w:rFonts w:asciiTheme="majorHAnsi" w:hAnsiTheme="majorHAnsi" w:cstheme="majorHAnsi"/>
          <w:color w:val="000000"/>
          <w:szCs w:val="18"/>
        </w:rPr>
        <w:t>Na území Kostomlat nad Labem se dle tohoto zákona nachází následující válečné hroby, přičemž válečným hrobem je pro účely tohoto zákona i pietní místo, kterým se rozumí pamětní deska, pomník, památník nebo obdobný symbol připomínající válečné události:</w:t>
      </w:r>
    </w:p>
    <w:p w14:paraId="4C8D8CE9" w14:textId="77777777" w:rsidR="002F3880" w:rsidRPr="006070EA" w:rsidRDefault="002F3880" w:rsidP="00EB05CF">
      <w:pPr>
        <w:pStyle w:val="Bezmezer"/>
        <w:numPr>
          <w:ilvl w:val="0"/>
          <w:numId w:val="36"/>
        </w:numP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Pietní </w:t>
      </w:r>
      <w:proofErr w:type="gramStart"/>
      <w:r w:rsidRPr="006070EA">
        <w:rPr>
          <w:rFonts w:asciiTheme="majorHAnsi" w:hAnsiTheme="majorHAnsi" w:cstheme="majorHAnsi"/>
          <w:color w:val="000000"/>
          <w:szCs w:val="18"/>
          <w:lang w:val="cs-CZ"/>
        </w:rPr>
        <w:t>místo - pamětní</w:t>
      </w:r>
      <w:proofErr w:type="gramEnd"/>
      <w:r w:rsidRPr="006070EA">
        <w:rPr>
          <w:rFonts w:asciiTheme="majorHAnsi" w:hAnsiTheme="majorHAnsi" w:cstheme="majorHAnsi"/>
          <w:color w:val="000000"/>
          <w:szCs w:val="18"/>
          <w:lang w:val="cs-CZ"/>
        </w:rPr>
        <w:t xml:space="preserve"> deska ČS legionářům na staré škole, č. </w:t>
      </w:r>
      <w:proofErr w:type="gramStart"/>
      <w:r w:rsidRPr="006070EA">
        <w:rPr>
          <w:rFonts w:asciiTheme="majorHAnsi" w:hAnsiTheme="majorHAnsi" w:cstheme="majorHAnsi"/>
          <w:color w:val="000000"/>
          <w:szCs w:val="18"/>
          <w:lang w:val="cs-CZ"/>
        </w:rPr>
        <w:t>VH - CZE2118</w:t>
      </w:r>
      <w:proofErr w:type="gramEnd"/>
      <w:r w:rsidRPr="006070EA">
        <w:rPr>
          <w:rFonts w:asciiTheme="majorHAnsi" w:hAnsiTheme="majorHAnsi" w:cstheme="majorHAnsi"/>
          <w:color w:val="000000"/>
          <w:szCs w:val="18"/>
          <w:lang w:val="cs-CZ"/>
        </w:rPr>
        <w:t>-3219</w:t>
      </w:r>
    </w:p>
    <w:p w14:paraId="6D639205" w14:textId="77777777" w:rsidR="002F3880" w:rsidRPr="006070EA" w:rsidRDefault="002F3880" w:rsidP="00EB05CF">
      <w:pPr>
        <w:pStyle w:val="Bezmezer"/>
        <w:numPr>
          <w:ilvl w:val="0"/>
          <w:numId w:val="36"/>
        </w:numP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Pietní </w:t>
      </w:r>
      <w:proofErr w:type="gramStart"/>
      <w:r w:rsidRPr="006070EA">
        <w:rPr>
          <w:rFonts w:asciiTheme="majorHAnsi" w:hAnsiTheme="majorHAnsi" w:cstheme="majorHAnsi"/>
          <w:color w:val="000000"/>
          <w:szCs w:val="18"/>
          <w:lang w:val="cs-CZ"/>
        </w:rPr>
        <w:t>místo - hrob</w:t>
      </w:r>
      <w:proofErr w:type="gramEnd"/>
      <w:r w:rsidRPr="006070EA">
        <w:rPr>
          <w:rFonts w:asciiTheme="majorHAnsi" w:hAnsiTheme="majorHAnsi" w:cstheme="majorHAnsi"/>
          <w:color w:val="000000"/>
          <w:szCs w:val="18"/>
          <w:lang w:val="cs-CZ"/>
        </w:rPr>
        <w:t xml:space="preserve"> tří příslušníků Rudé armády, č. </w:t>
      </w:r>
      <w:proofErr w:type="gramStart"/>
      <w:r w:rsidRPr="006070EA">
        <w:rPr>
          <w:rFonts w:asciiTheme="majorHAnsi" w:hAnsiTheme="majorHAnsi" w:cstheme="majorHAnsi"/>
          <w:color w:val="000000"/>
          <w:szCs w:val="18"/>
          <w:lang w:val="cs-CZ"/>
        </w:rPr>
        <w:t>VH - CZE2118</w:t>
      </w:r>
      <w:proofErr w:type="gramEnd"/>
      <w:r w:rsidRPr="006070EA">
        <w:rPr>
          <w:rFonts w:asciiTheme="majorHAnsi" w:hAnsiTheme="majorHAnsi" w:cstheme="majorHAnsi"/>
          <w:color w:val="000000"/>
          <w:szCs w:val="18"/>
          <w:lang w:val="cs-CZ"/>
        </w:rPr>
        <w:t>-3218</w:t>
      </w:r>
    </w:p>
    <w:p w14:paraId="1FE5BFAE" w14:textId="77777777" w:rsidR="002F3880" w:rsidRPr="006070EA" w:rsidRDefault="002F3880" w:rsidP="00EB05CF">
      <w:pPr>
        <w:pStyle w:val="Bezmezer"/>
        <w:numPr>
          <w:ilvl w:val="0"/>
          <w:numId w:val="36"/>
        </w:numP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Pietní </w:t>
      </w:r>
      <w:proofErr w:type="gramStart"/>
      <w:r w:rsidRPr="006070EA">
        <w:rPr>
          <w:rFonts w:asciiTheme="majorHAnsi" w:hAnsiTheme="majorHAnsi" w:cstheme="majorHAnsi"/>
          <w:color w:val="000000"/>
          <w:szCs w:val="18"/>
          <w:lang w:val="cs-CZ"/>
        </w:rPr>
        <w:t>místo - pomník</w:t>
      </w:r>
      <w:proofErr w:type="gramEnd"/>
      <w:r w:rsidRPr="006070EA">
        <w:rPr>
          <w:rFonts w:asciiTheme="majorHAnsi" w:hAnsiTheme="majorHAnsi" w:cstheme="majorHAnsi"/>
          <w:color w:val="000000"/>
          <w:szCs w:val="18"/>
          <w:lang w:val="cs-CZ"/>
        </w:rPr>
        <w:t xml:space="preserve"> u sokolovny čp. 226 na počest padlých ve II světové válce, č. </w:t>
      </w:r>
      <w:proofErr w:type="gramStart"/>
      <w:r w:rsidRPr="006070EA">
        <w:rPr>
          <w:rFonts w:asciiTheme="majorHAnsi" w:hAnsiTheme="majorHAnsi" w:cstheme="majorHAnsi"/>
          <w:color w:val="000000"/>
          <w:szCs w:val="18"/>
          <w:lang w:val="cs-CZ"/>
        </w:rPr>
        <w:t>VH - CZE2118</w:t>
      </w:r>
      <w:proofErr w:type="gramEnd"/>
      <w:r w:rsidRPr="006070EA">
        <w:rPr>
          <w:rFonts w:asciiTheme="majorHAnsi" w:hAnsiTheme="majorHAnsi" w:cstheme="majorHAnsi"/>
          <w:color w:val="000000"/>
          <w:szCs w:val="18"/>
          <w:lang w:val="cs-CZ"/>
        </w:rPr>
        <w:t>-3168</w:t>
      </w:r>
    </w:p>
    <w:p w14:paraId="2041F112" w14:textId="4BF74569" w:rsidR="002F3880" w:rsidRPr="006070EA" w:rsidRDefault="002F3880" w:rsidP="008F20FA">
      <w:pPr>
        <w:pStyle w:val="Bezmezer"/>
        <w:numPr>
          <w:ilvl w:val="0"/>
          <w:numId w:val="36"/>
        </w:numP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Pietní </w:t>
      </w:r>
      <w:proofErr w:type="gramStart"/>
      <w:r w:rsidRPr="006070EA">
        <w:rPr>
          <w:rFonts w:asciiTheme="majorHAnsi" w:hAnsiTheme="majorHAnsi" w:cstheme="majorHAnsi"/>
          <w:color w:val="000000"/>
          <w:szCs w:val="18"/>
          <w:lang w:val="cs-CZ"/>
        </w:rPr>
        <w:t>místo - pomník</w:t>
      </w:r>
      <w:proofErr w:type="gramEnd"/>
      <w:r w:rsidRPr="006070EA">
        <w:rPr>
          <w:rFonts w:asciiTheme="majorHAnsi" w:hAnsiTheme="majorHAnsi" w:cstheme="majorHAnsi"/>
          <w:color w:val="000000"/>
          <w:szCs w:val="18"/>
          <w:lang w:val="cs-CZ"/>
        </w:rPr>
        <w:t xml:space="preserve"> v Lánech padlým občanům Lán a Rozkoše - </w:t>
      </w:r>
      <w:proofErr w:type="gramStart"/>
      <w:r w:rsidRPr="006070EA">
        <w:rPr>
          <w:rFonts w:asciiTheme="majorHAnsi" w:hAnsiTheme="majorHAnsi" w:cstheme="majorHAnsi"/>
          <w:color w:val="000000"/>
          <w:szCs w:val="18"/>
          <w:lang w:val="cs-CZ"/>
        </w:rPr>
        <w:t>1914 – 1918</w:t>
      </w:r>
      <w:proofErr w:type="gramEnd"/>
      <w:r w:rsidRPr="006070EA">
        <w:rPr>
          <w:rFonts w:asciiTheme="majorHAnsi" w:hAnsiTheme="majorHAnsi" w:cstheme="majorHAnsi"/>
          <w:color w:val="000000"/>
          <w:szCs w:val="18"/>
          <w:lang w:val="cs-CZ"/>
        </w:rPr>
        <w:t xml:space="preserve">, č. </w:t>
      </w:r>
      <w:proofErr w:type="gramStart"/>
      <w:r w:rsidRPr="006070EA">
        <w:rPr>
          <w:rFonts w:asciiTheme="majorHAnsi" w:hAnsiTheme="majorHAnsi" w:cstheme="majorHAnsi"/>
          <w:color w:val="000000"/>
          <w:szCs w:val="18"/>
          <w:lang w:val="cs-CZ"/>
        </w:rPr>
        <w:t>VH - CZE2118</w:t>
      </w:r>
      <w:proofErr w:type="gramEnd"/>
      <w:r w:rsidRPr="006070EA">
        <w:rPr>
          <w:rFonts w:asciiTheme="majorHAnsi" w:hAnsiTheme="majorHAnsi" w:cstheme="majorHAnsi"/>
          <w:color w:val="000000"/>
          <w:szCs w:val="18"/>
          <w:lang w:val="cs-CZ"/>
        </w:rPr>
        <w:t>-3220</w:t>
      </w:r>
    </w:p>
    <w:p w14:paraId="78499AE4" w14:textId="0B5A7749" w:rsidR="004254E6" w:rsidRPr="006070EA" w:rsidRDefault="004254E6" w:rsidP="008F20FA">
      <w:pPr>
        <w:pStyle w:val="Anadpispodtren"/>
        <w:rPr>
          <w:rFonts w:asciiTheme="majorHAnsi" w:hAnsiTheme="majorHAnsi" w:cstheme="majorHAnsi"/>
          <w:b/>
          <w:bCs/>
          <w:color w:val="000000"/>
          <w:szCs w:val="18"/>
          <w:u w:val="none"/>
        </w:rPr>
      </w:pPr>
      <w:bookmarkStart w:id="274" w:name="_Toc424119840"/>
      <w:r w:rsidRPr="006070EA">
        <w:rPr>
          <w:rFonts w:asciiTheme="majorHAnsi" w:hAnsiTheme="majorHAnsi" w:cstheme="majorHAnsi"/>
          <w:b/>
          <w:bCs/>
          <w:color w:val="000000"/>
          <w:szCs w:val="18"/>
          <w:u w:val="none"/>
        </w:rPr>
        <w:t>Archeologické lokality</w:t>
      </w:r>
      <w:bookmarkEnd w:id="274"/>
      <w:r w:rsidR="00985509" w:rsidRPr="006070EA">
        <w:rPr>
          <w:rFonts w:asciiTheme="majorHAnsi" w:hAnsiTheme="majorHAnsi" w:cstheme="majorHAnsi"/>
          <w:b/>
          <w:bCs/>
          <w:color w:val="000000"/>
          <w:szCs w:val="18"/>
          <w:u w:val="none"/>
        </w:rPr>
        <w:t xml:space="preserve"> – území s archeologickými nálezy</w:t>
      </w:r>
    </w:p>
    <w:p w14:paraId="3AC818E9" w14:textId="6E08F9E4" w:rsidR="00867305" w:rsidRPr="006070EA" w:rsidRDefault="00DE7ABA" w:rsidP="009E07E1">
      <w:pPr>
        <w:pStyle w:val="Atext"/>
        <w:rPr>
          <w:rFonts w:asciiTheme="majorHAnsi" w:hAnsiTheme="majorHAnsi" w:cstheme="majorHAnsi"/>
          <w:szCs w:val="18"/>
        </w:rPr>
      </w:pPr>
      <w:r w:rsidRPr="006070EA">
        <w:rPr>
          <w:rFonts w:asciiTheme="majorHAnsi" w:hAnsiTheme="majorHAnsi" w:cstheme="majorHAnsi"/>
          <w:szCs w:val="18"/>
        </w:rPr>
        <w:t xml:space="preserve">Celé správní území obce </w:t>
      </w:r>
      <w:r w:rsidR="008F20FA" w:rsidRPr="006070EA">
        <w:rPr>
          <w:rFonts w:asciiTheme="majorHAnsi" w:hAnsiTheme="majorHAnsi" w:cstheme="majorHAnsi"/>
          <w:szCs w:val="18"/>
        </w:rPr>
        <w:t>Kostomlaty nad Labem</w:t>
      </w:r>
      <w:r w:rsidRPr="006070EA">
        <w:rPr>
          <w:rFonts w:asciiTheme="majorHAnsi" w:hAnsiTheme="majorHAnsi" w:cstheme="majorHAnsi"/>
          <w:szCs w:val="18"/>
        </w:rPr>
        <w:t xml:space="preserve"> je územím s archeologickými nálezy (ÚAN) a je zde nutné postupovat v souladu s ustanovením § 22 zákona č. 20/1987 Sb., o státní památkové péči, v platném znění (dále též jen „zákon o státní památkové péči). Kromě jmenovaných lokalit náleží zbylé území obce do kategorie ÚAN III, tedy do území, na němž dosud nebyl rozpoznán a pozitivně prokázán výskyt archeologických nálezů a</w:t>
      </w:r>
      <w:r w:rsidR="00867305" w:rsidRPr="006070EA">
        <w:rPr>
          <w:rFonts w:asciiTheme="majorHAnsi" w:hAnsiTheme="majorHAnsi" w:cstheme="majorHAnsi"/>
          <w:szCs w:val="18"/>
        </w:rPr>
        <w:t> </w:t>
      </w:r>
      <w:r w:rsidRPr="006070EA">
        <w:rPr>
          <w:rFonts w:asciiTheme="majorHAnsi" w:hAnsiTheme="majorHAnsi" w:cstheme="majorHAnsi"/>
          <w:szCs w:val="18"/>
        </w:rPr>
        <w:t xml:space="preserve">prozatím tomu nenasvědčují žádné indicie, ale předmětné území mohlo být osídleno či jinak využito člověkem, a proto existuje </w:t>
      </w:r>
      <w:r w:rsidR="00867305" w:rsidRPr="006070EA">
        <w:rPr>
          <w:rFonts w:asciiTheme="majorHAnsi" w:hAnsiTheme="majorHAnsi" w:cstheme="majorHAnsi"/>
          <w:szCs w:val="18"/>
        </w:rPr>
        <w:t>pravděpodobnost výskytu nálezů.</w:t>
      </w:r>
    </w:p>
    <w:p w14:paraId="297074B1" w14:textId="44A1A50A" w:rsidR="00DE7ABA" w:rsidRPr="006070EA" w:rsidRDefault="00DE7ABA" w:rsidP="009E07E1">
      <w:pPr>
        <w:pStyle w:val="Atext"/>
        <w:rPr>
          <w:rFonts w:asciiTheme="majorHAnsi" w:hAnsiTheme="majorHAnsi" w:cstheme="majorHAnsi"/>
          <w:szCs w:val="18"/>
        </w:rPr>
      </w:pPr>
      <w:r w:rsidRPr="006070EA">
        <w:rPr>
          <w:rFonts w:asciiTheme="majorHAnsi" w:hAnsiTheme="majorHAnsi" w:cstheme="majorHAnsi"/>
          <w:szCs w:val="18"/>
        </w:rPr>
        <w:t xml:space="preserve">Za území s archeologickými nálezy lze přitom považovat prostor, </w:t>
      </w:r>
      <w:proofErr w:type="gramStart"/>
      <w:r w:rsidRPr="006070EA">
        <w:rPr>
          <w:rFonts w:asciiTheme="majorHAnsi" w:hAnsiTheme="majorHAnsi" w:cstheme="majorHAnsi"/>
          <w:szCs w:val="18"/>
        </w:rPr>
        <w:t>kde</w:t>
      </w:r>
      <w:proofErr w:type="gramEnd"/>
      <w:r w:rsidRPr="006070EA">
        <w:rPr>
          <w:rFonts w:asciiTheme="majorHAnsi" w:hAnsiTheme="majorHAnsi" w:cstheme="majorHAnsi"/>
          <w:szCs w:val="18"/>
        </w:rPr>
        <w:t xml:space="preserve"> již byly jakékoliv archeologické nálezy movité či nemovité povahy identifikovány a rovněž tak prostor, kde je možné vzhledem k dosavadnímu historickému vývoji tyto nálezy s vysokou pravděpodobností očekávat. Proto je nutné dále upozornit na § 23 zákona o státní památkové péči, ve kterém jsou upraveny povinnosti potenciálního nálezce a obce, v jejímž územním obvodu k archeologickému nálezu došlo.</w:t>
      </w:r>
    </w:p>
    <w:p w14:paraId="64FEF8DC" w14:textId="09F96910" w:rsidR="008F20FA" w:rsidRPr="006070EA" w:rsidRDefault="008F20FA" w:rsidP="008F20FA">
      <w:pPr>
        <w:pStyle w:val="Atext"/>
        <w:rPr>
          <w:rFonts w:asciiTheme="majorHAnsi" w:hAnsiTheme="majorHAnsi" w:cstheme="majorHAnsi"/>
          <w:lang w:eastAsia="cs-CZ"/>
        </w:rPr>
      </w:pPr>
      <w:r w:rsidRPr="006070EA">
        <w:rPr>
          <w:rFonts w:asciiTheme="majorHAnsi" w:hAnsiTheme="majorHAnsi" w:cstheme="majorHAnsi"/>
        </w:rPr>
        <w:t>V řešeném území se dle Státního archeologického seznamu (SAS ČR) nachází následující území s archeologickými nálezy (ÚAN) I. a II. kategorie:</w:t>
      </w:r>
    </w:p>
    <w:tbl>
      <w:tblPr>
        <w:tblW w:w="0" w:type="auto"/>
        <w:jc w:val="center"/>
        <w:tblBorders>
          <w:insideH w:val="single" w:sz="6" w:space="0" w:color="000000"/>
          <w:insideV w:val="single" w:sz="6" w:space="0" w:color="000000"/>
        </w:tblBorders>
        <w:tblLook w:val="04A0" w:firstRow="1" w:lastRow="0" w:firstColumn="1" w:lastColumn="0" w:noHBand="0" w:noVBand="1"/>
      </w:tblPr>
      <w:tblGrid>
        <w:gridCol w:w="1031"/>
        <w:gridCol w:w="3379"/>
        <w:gridCol w:w="1270"/>
        <w:gridCol w:w="1867"/>
        <w:gridCol w:w="1092"/>
      </w:tblGrid>
      <w:tr w:rsidR="00EF1675" w:rsidRPr="006070EA" w14:paraId="036F1125" w14:textId="77777777" w:rsidTr="008F20FA">
        <w:trPr>
          <w:trHeight w:val="20"/>
          <w:jc w:val="center"/>
        </w:trPr>
        <w:tc>
          <w:tcPr>
            <w:tcW w:w="0" w:type="auto"/>
            <w:vAlign w:val="center"/>
            <w:hideMark/>
          </w:tcPr>
          <w:p w14:paraId="59D92A37" w14:textId="77777777" w:rsidR="002F3880" w:rsidRPr="006070EA" w:rsidRDefault="002F3880" w:rsidP="008F20FA">
            <w:pPr>
              <w:pStyle w:val="Bezmezer"/>
              <w:keepNext/>
              <w:suppressAutoHyphens/>
              <w:jc w:val="center"/>
              <w:rPr>
                <w:rFonts w:asciiTheme="majorHAnsi" w:hAnsiTheme="majorHAnsi" w:cstheme="majorHAnsi"/>
                <w:b/>
                <w:bCs/>
                <w:szCs w:val="18"/>
                <w:lang w:val="cs-CZ"/>
              </w:rPr>
            </w:pPr>
            <w:r w:rsidRPr="006070EA">
              <w:rPr>
                <w:rFonts w:asciiTheme="majorHAnsi" w:hAnsiTheme="majorHAnsi" w:cstheme="majorHAnsi"/>
                <w:b/>
                <w:bCs/>
                <w:szCs w:val="18"/>
                <w:lang w:val="cs-CZ"/>
              </w:rPr>
              <w:t>poř. č. SAS</w:t>
            </w:r>
          </w:p>
        </w:tc>
        <w:tc>
          <w:tcPr>
            <w:tcW w:w="0" w:type="auto"/>
            <w:vAlign w:val="center"/>
            <w:hideMark/>
          </w:tcPr>
          <w:p w14:paraId="7B355A0A" w14:textId="77777777" w:rsidR="002F3880" w:rsidRPr="006070EA" w:rsidRDefault="002F3880" w:rsidP="008F20FA">
            <w:pPr>
              <w:pStyle w:val="Bezmezer"/>
              <w:keepNext/>
              <w:suppressAutoHyphens/>
              <w:jc w:val="center"/>
              <w:rPr>
                <w:rFonts w:asciiTheme="majorHAnsi" w:hAnsiTheme="majorHAnsi" w:cstheme="majorHAnsi"/>
                <w:b/>
                <w:bCs/>
                <w:szCs w:val="18"/>
                <w:lang w:val="cs-CZ"/>
              </w:rPr>
            </w:pPr>
            <w:r w:rsidRPr="006070EA">
              <w:rPr>
                <w:rFonts w:asciiTheme="majorHAnsi" w:hAnsiTheme="majorHAnsi" w:cstheme="majorHAnsi"/>
                <w:b/>
                <w:bCs/>
                <w:szCs w:val="18"/>
                <w:lang w:val="cs-CZ"/>
              </w:rPr>
              <w:t>název ÚAN</w:t>
            </w:r>
          </w:p>
        </w:tc>
        <w:tc>
          <w:tcPr>
            <w:tcW w:w="0" w:type="auto"/>
            <w:vAlign w:val="center"/>
            <w:hideMark/>
          </w:tcPr>
          <w:p w14:paraId="48CC3E93" w14:textId="77777777" w:rsidR="002F3880" w:rsidRPr="006070EA" w:rsidRDefault="002F3880" w:rsidP="008F20FA">
            <w:pPr>
              <w:pStyle w:val="Bezmezer"/>
              <w:keepNext/>
              <w:suppressAutoHyphens/>
              <w:jc w:val="center"/>
              <w:rPr>
                <w:rFonts w:asciiTheme="majorHAnsi" w:hAnsiTheme="majorHAnsi" w:cstheme="majorHAnsi"/>
                <w:b/>
                <w:bCs/>
                <w:szCs w:val="18"/>
                <w:lang w:val="cs-CZ"/>
              </w:rPr>
            </w:pPr>
            <w:r w:rsidRPr="006070EA">
              <w:rPr>
                <w:rFonts w:asciiTheme="majorHAnsi" w:hAnsiTheme="majorHAnsi" w:cstheme="majorHAnsi"/>
                <w:b/>
                <w:bCs/>
                <w:szCs w:val="18"/>
                <w:lang w:val="cs-CZ"/>
              </w:rPr>
              <w:t>kategorie ÚAN</w:t>
            </w:r>
          </w:p>
        </w:tc>
        <w:tc>
          <w:tcPr>
            <w:tcW w:w="0" w:type="auto"/>
            <w:vAlign w:val="center"/>
            <w:hideMark/>
          </w:tcPr>
          <w:p w14:paraId="5E895A81" w14:textId="77777777" w:rsidR="002F3880" w:rsidRPr="006070EA" w:rsidRDefault="002F3880" w:rsidP="008F20FA">
            <w:pPr>
              <w:pStyle w:val="Bezmezer"/>
              <w:keepNext/>
              <w:suppressAutoHyphens/>
              <w:jc w:val="center"/>
              <w:rPr>
                <w:rFonts w:asciiTheme="majorHAnsi" w:hAnsiTheme="majorHAnsi" w:cstheme="majorHAnsi"/>
                <w:b/>
                <w:bCs/>
                <w:szCs w:val="18"/>
                <w:lang w:val="cs-CZ"/>
              </w:rPr>
            </w:pPr>
            <w:r w:rsidRPr="006070EA">
              <w:rPr>
                <w:rFonts w:asciiTheme="majorHAnsi" w:hAnsiTheme="majorHAnsi" w:cstheme="majorHAnsi"/>
                <w:b/>
                <w:bCs/>
                <w:szCs w:val="18"/>
                <w:lang w:val="cs-CZ"/>
              </w:rPr>
              <w:t>k. ú.</w:t>
            </w:r>
          </w:p>
        </w:tc>
        <w:tc>
          <w:tcPr>
            <w:tcW w:w="0" w:type="auto"/>
            <w:vAlign w:val="center"/>
            <w:hideMark/>
          </w:tcPr>
          <w:p w14:paraId="5661DD2E" w14:textId="77777777" w:rsidR="002F3880" w:rsidRPr="006070EA" w:rsidRDefault="002F3880" w:rsidP="008F20FA">
            <w:pPr>
              <w:pStyle w:val="Bezmezer"/>
              <w:keepNext/>
              <w:suppressAutoHyphens/>
              <w:jc w:val="center"/>
              <w:rPr>
                <w:rFonts w:asciiTheme="majorHAnsi" w:hAnsiTheme="majorHAnsi" w:cstheme="majorHAnsi"/>
                <w:b/>
                <w:bCs/>
                <w:szCs w:val="18"/>
                <w:lang w:val="cs-CZ"/>
              </w:rPr>
            </w:pPr>
            <w:r w:rsidRPr="006070EA">
              <w:rPr>
                <w:rFonts w:asciiTheme="majorHAnsi" w:hAnsiTheme="majorHAnsi" w:cstheme="majorHAnsi"/>
                <w:b/>
                <w:bCs/>
                <w:szCs w:val="18"/>
                <w:lang w:val="cs-CZ"/>
              </w:rPr>
              <w:t>reg. správce</w:t>
            </w:r>
          </w:p>
        </w:tc>
      </w:tr>
      <w:tr w:rsidR="00EF1675" w:rsidRPr="006070EA" w14:paraId="26B56239" w14:textId="77777777" w:rsidTr="008F20FA">
        <w:trPr>
          <w:trHeight w:val="20"/>
          <w:jc w:val="center"/>
        </w:trPr>
        <w:tc>
          <w:tcPr>
            <w:tcW w:w="0" w:type="auto"/>
            <w:vAlign w:val="center"/>
            <w:hideMark/>
          </w:tcPr>
          <w:p w14:paraId="56F16D57" w14:textId="4D2DE861" w:rsidR="002F3880" w:rsidRPr="006070EA" w:rsidRDefault="002F3880" w:rsidP="008F20FA">
            <w:pPr>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13-13-05/2</w:t>
            </w:r>
          </w:p>
          <w:p w14:paraId="06FC8597" w14:textId="77777777" w:rsidR="002F3880" w:rsidRPr="006070EA" w:rsidRDefault="002F3880" w:rsidP="008F20FA">
            <w:pPr>
              <w:pStyle w:val="Bezmezer"/>
              <w:suppressAutoHyphens/>
              <w:jc w:val="center"/>
              <w:rPr>
                <w:rFonts w:asciiTheme="majorHAnsi" w:hAnsiTheme="majorHAnsi" w:cstheme="majorHAnsi"/>
                <w:b/>
                <w:bCs/>
                <w:szCs w:val="18"/>
                <w:lang w:val="cs-CZ"/>
              </w:rPr>
            </w:pPr>
          </w:p>
        </w:tc>
        <w:tc>
          <w:tcPr>
            <w:tcW w:w="0" w:type="auto"/>
            <w:vAlign w:val="center"/>
          </w:tcPr>
          <w:p w14:paraId="5A8EE30B" w14:textId="30F8A064" w:rsidR="002F3880" w:rsidRPr="006070EA" w:rsidRDefault="002F3880" w:rsidP="008F20FA">
            <w:pPr>
              <w:spacing w:after="0"/>
              <w:jc w:val="center"/>
              <w:rPr>
                <w:rFonts w:asciiTheme="majorHAnsi" w:hAnsiTheme="majorHAnsi" w:cstheme="majorHAnsi"/>
                <w:sz w:val="18"/>
                <w:szCs w:val="18"/>
              </w:rPr>
            </w:pPr>
            <w:proofErr w:type="gramStart"/>
            <w:r w:rsidRPr="006070EA">
              <w:rPr>
                <w:rFonts w:asciiTheme="majorHAnsi" w:hAnsiTheme="majorHAnsi" w:cstheme="majorHAnsi"/>
                <w:sz w:val="18"/>
                <w:szCs w:val="18"/>
              </w:rPr>
              <w:t>Hronětice - středověké</w:t>
            </w:r>
            <w:proofErr w:type="gramEnd"/>
            <w:r w:rsidRPr="006070EA">
              <w:rPr>
                <w:rFonts w:asciiTheme="majorHAnsi" w:hAnsiTheme="majorHAnsi" w:cstheme="majorHAnsi"/>
                <w:sz w:val="18"/>
                <w:szCs w:val="18"/>
              </w:rPr>
              <w:t xml:space="preserve"> a novověké jádro vsi</w:t>
            </w:r>
          </w:p>
        </w:tc>
        <w:tc>
          <w:tcPr>
            <w:tcW w:w="0" w:type="auto"/>
            <w:vAlign w:val="center"/>
          </w:tcPr>
          <w:p w14:paraId="36A8F291"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II</w:t>
            </w:r>
          </w:p>
        </w:tc>
        <w:tc>
          <w:tcPr>
            <w:tcW w:w="0" w:type="auto"/>
            <w:vAlign w:val="center"/>
          </w:tcPr>
          <w:p w14:paraId="0A6E68CA"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Hronětice</w:t>
            </w:r>
          </w:p>
        </w:tc>
        <w:tc>
          <w:tcPr>
            <w:tcW w:w="0" w:type="auto"/>
            <w:vAlign w:val="center"/>
          </w:tcPr>
          <w:p w14:paraId="48B6C521"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78E49900" w14:textId="77777777" w:rsidTr="008F20FA">
        <w:trPr>
          <w:trHeight w:val="20"/>
          <w:jc w:val="center"/>
        </w:trPr>
        <w:tc>
          <w:tcPr>
            <w:tcW w:w="0" w:type="auto"/>
            <w:vAlign w:val="center"/>
            <w:hideMark/>
          </w:tcPr>
          <w:p w14:paraId="1785F961" w14:textId="77777777" w:rsidR="002F3880" w:rsidRPr="006070EA" w:rsidRDefault="002F3880" w:rsidP="008F20FA">
            <w:pPr>
              <w:pStyle w:val="Bezmezer"/>
              <w:suppressAutoHyphens/>
              <w:jc w:val="center"/>
              <w:rPr>
                <w:rFonts w:asciiTheme="majorHAnsi" w:hAnsiTheme="majorHAnsi" w:cstheme="majorHAnsi"/>
                <w:b/>
                <w:bCs/>
                <w:szCs w:val="18"/>
                <w:lang w:val="cs-CZ"/>
              </w:rPr>
            </w:pPr>
            <w:r w:rsidRPr="006070EA">
              <w:rPr>
                <w:rFonts w:asciiTheme="majorHAnsi" w:hAnsiTheme="majorHAnsi" w:cstheme="majorHAnsi"/>
                <w:b/>
                <w:bCs/>
                <w:szCs w:val="18"/>
                <w:shd w:val="clear" w:color="auto" w:fill="FBFBFB"/>
                <w:lang w:val="cs-CZ"/>
              </w:rPr>
              <w:t>13-13-05/3</w:t>
            </w:r>
          </w:p>
        </w:tc>
        <w:tc>
          <w:tcPr>
            <w:tcW w:w="0" w:type="auto"/>
            <w:vAlign w:val="center"/>
          </w:tcPr>
          <w:p w14:paraId="28703A57" w14:textId="1C2177C2" w:rsidR="002F3880" w:rsidRPr="006070EA" w:rsidRDefault="002F3880" w:rsidP="008F20FA">
            <w:pPr>
              <w:spacing w:after="0"/>
              <w:jc w:val="center"/>
              <w:rPr>
                <w:rFonts w:asciiTheme="majorHAnsi" w:hAnsiTheme="majorHAnsi" w:cstheme="majorHAnsi"/>
                <w:sz w:val="18"/>
                <w:szCs w:val="18"/>
              </w:rPr>
            </w:pPr>
            <w:r w:rsidRPr="006070EA">
              <w:rPr>
                <w:rFonts w:asciiTheme="majorHAnsi" w:hAnsiTheme="majorHAnsi" w:cstheme="majorHAnsi"/>
                <w:sz w:val="18"/>
                <w:szCs w:val="18"/>
              </w:rPr>
              <w:t>Kostomlaty n/L - "V Komínech"</w:t>
            </w:r>
          </w:p>
        </w:tc>
        <w:tc>
          <w:tcPr>
            <w:tcW w:w="0" w:type="auto"/>
            <w:vAlign w:val="center"/>
          </w:tcPr>
          <w:p w14:paraId="747AF657"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vAlign w:val="center"/>
          </w:tcPr>
          <w:p w14:paraId="2C496689"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Kostomlaty nad Labem</w:t>
            </w:r>
          </w:p>
        </w:tc>
        <w:tc>
          <w:tcPr>
            <w:tcW w:w="0" w:type="auto"/>
            <w:vAlign w:val="center"/>
          </w:tcPr>
          <w:p w14:paraId="16EF6439"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40FA0EA5" w14:textId="77777777" w:rsidTr="008F20FA">
        <w:trPr>
          <w:trHeight w:val="20"/>
          <w:jc w:val="center"/>
        </w:trPr>
        <w:tc>
          <w:tcPr>
            <w:tcW w:w="0" w:type="auto"/>
            <w:vAlign w:val="center"/>
          </w:tcPr>
          <w:p w14:paraId="3050AAE7" w14:textId="420C363A" w:rsidR="002F3880" w:rsidRPr="006070EA" w:rsidRDefault="002F3880" w:rsidP="008F20FA">
            <w:pPr>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13-13-05/4</w:t>
            </w:r>
          </w:p>
        </w:tc>
        <w:tc>
          <w:tcPr>
            <w:tcW w:w="0" w:type="auto"/>
            <w:vAlign w:val="center"/>
          </w:tcPr>
          <w:p w14:paraId="58966868" w14:textId="402DA8C7" w:rsidR="002F3880" w:rsidRPr="006070EA" w:rsidRDefault="002F3880" w:rsidP="008F20FA">
            <w:pPr>
              <w:spacing w:after="0"/>
              <w:jc w:val="center"/>
              <w:rPr>
                <w:rFonts w:asciiTheme="majorHAnsi" w:hAnsiTheme="majorHAnsi" w:cstheme="majorHAnsi"/>
                <w:sz w:val="18"/>
                <w:szCs w:val="18"/>
              </w:rPr>
            </w:pPr>
            <w:r w:rsidRPr="006070EA">
              <w:rPr>
                <w:rFonts w:asciiTheme="majorHAnsi" w:hAnsiTheme="majorHAnsi" w:cstheme="majorHAnsi"/>
                <w:sz w:val="18"/>
                <w:szCs w:val="18"/>
              </w:rPr>
              <w:t xml:space="preserve">Kostomlaty nad </w:t>
            </w:r>
            <w:proofErr w:type="gramStart"/>
            <w:r w:rsidRPr="006070EA">
              <w:rPr>
                <w:rFonts w:asciiTheme="majorHAnsi" w:hAnsiTheme="majorHAnsi" w:cstheme="majorHAnsi"/>
                <w:sz w:val="18"/>
                <w:szCs w:val="18"/>
              </w:rPr>
              <w:t>Labem - jádro</w:t>
            </w:r>
            <w:proofErr w:type="gramEnd"/>
            <w:r w:rsidRPr="006070EA">
              <w:rPr>
                <w:rFonts w:asciiTheme="majorHAnsi" w:hAnsiTheme="majorHAnsi" w:cstheme="majorHAnsi"/>
                <w:sz w:val="18"/>
                <w:szCs w:val="18"/>
              </w:rPr>
              <w:t xml:space="preserve"> vsi</w:t>
            </w:r>
          </w:p>
        </w:tc>
        <w:tc>
          <w:tcPr>
            <w:tcW w:w="0" w:type="auto"/>
            <w:vAlign w:val="center"/>
          </w:tcPr>
          <w:p w14:paraId="1D305119"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vAlign w:val="center"/>
          </w:tcPr>
          <w:p w14:paraId="61A3F476"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Kostomlaty nad Labem</w:t>
            </w:r>
          </w:p>
        </w:tc>
        <w:tc>
          <w:tcPr>
            <w:tcW w:w="0" w:type="auto"/>
            <w:vAlign w:val="center"/>
          </w:tcPr>
          <w:p w14:paraId="69E63E89"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24F279F2" w14:textId="77777777" w:rsidTr="008F20FA">
        <w:trPr>
          <w:trHeight w:val="20"/>
          <w:jc w:val="center"/>
        </w:trPr>
        <w:tc>
          <w:tcPr>
            <w:tcW w:w="0" w:type="auto"/>
            <w:vAlign w:val="center"/>
          </w:tcPr>
          <w:p w14:paraId="20BB1365" w14:textId="4F3AF593" w:rsidR="002F3880" w:rsidRPr="006070EA" w:rsidRDefault="002F3880" w:rsidP="008F20FA">
            <w:pPr>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13-13-05/5</w:t>
            </w:r>
          </w:p>
        </w:tc>
        <w:tc>
          <w:tcPr>
            <w:tcW w:w="0" w:type="auto"/>
            <w:vAlign w:val="center"/>
          </w:tcPr>
          <w:p w14:paraId="1760784F" w14:textId="29D7C745" w:rsidR="002F3880" w:rsidRPr="006070EA" w:rsidRDefault="002F3880" w:rsidP="008F20FA">
            <w:pPr>
              <w:spacing w:after="0"/>
              <w:jc w:val="center"/>
              <w:rPr>
                <w:rFonts w:asciiTheme="majorHAnsi" w:hAnsiTheme="majorHAnsi" w:cstheme="majorHAnsi"/>
                <w:sz w:val="18"/>
                <w:szCs w:val="18"/>
              </w:rPr>
            </w:pPr>
            <w:r w:rsidRPr="006070EA">
              <w:rPr>
                <w:rFonts w:asciiTheme="majorHAnsi" w:hAnsiTheme="majorHAnsi" w:cstheme="majorHAnsi"/>
                <w:sz w:val="18"/>
                <w:szCs w:val="18"/>
              </w:rPr>
              <w:t>"Šibice"</w:t>
            </w:r>
          </w:p>
        </w:tc>
        <w:tc>
          <w:tcPr>
            <w:tcW w:w="0" w:type="auto"/>
            <w:vAlign w:val="center"/>
          </w:tcPr>
          <w:p w14:paraId="6AF41AAE"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vAlign w:val="center"/>
          </w:tcPr>
          <w:p w14:paraId="31B076F4"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Hronětice</w:t>
            </w:r>
          </w:p>
        </w:tc>
        <w:tc>
          <w:tcPr>
            <w:tcW w:w="0" w:type="auto"/>
            <w:vAlign w:val="center"/>
          </w:tcPr>
          <w:p w14:paraId="59D03E4A"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0559CC2B" w14:textId="77777777" w:rsidTr="008F20FA">
        <w:trPr>
          <w:trHeight w:val="20"/>
          <w:jc w:val="center"/>
        </w:trPr>
        <w:tc>
          <w:tcPr>
            <w:tcW w:w="0" w:type="auto"/>
            <w:vAlign w:val="center"/>
          </w:tcPr>
          <w:p w14:paraId="10B5226E" w14:textId="0049BC0D" w:rsidR="002F3880" w:rsidRPr="006070EA" w:rsidRDefault="002F3880" w:rsidP="008F20FA">
            <w:pPr>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13-13-05/6</w:t>
            </w:r>
          </w:p>
        </w:tc>
        <w:tc>
          <w:tcPr>
            <w:tcW w:w="0" w:type="auto"/>
            <w:vAlign w:val="center"/>
          </w:tcPr>
          <w:p w14:paraId="00AFD79B" w14:textId="084B70C2" w:rsidR="002F3880" w:rsidRPr="006070EA" w:rsidRDefault="002F3880" w:rsidP="008F20FA">
            <w:pPr>
              <w:spacing w:after="0"/>
              <w:jc w:val="center"/>
              <w:rPr>
                <w:rFonts w:asciiTheme="majorHAnsi" w:hAnsiTheme="majorHAnsi" w:cstheme="majorHAnsi"/>
                <w:sz w:val="18"/>
                <w:szCs w:val="18"/>
              </w:rPr>
            </w:pPr>
            <w:proofErr w:type="gramStart"/>
            <w:r w:rsidRPr="006070EA">
              <w:rPr>
                <w:rFonts w:asciiTheme="majorHAnsi" w:hAnsiTheme="majorHAnsi" w:cstheme="majorHAnsi"/>
                <w:sz w:val="18"/>
                <w:szCs w:val="18"/>
              </w:rPr>
              <w:t>Vápensko - středověké</w:t>
            </w:r>
            <w:proofErr w:type="gramEnd"/>
            <w:r w:rsidRPr="006070EA">
              <w:rPr>
                <w:rFonts w:asciiTheme="majorHAnsi" w:hAnsiTheme="majorHAnsi" w:cstheme="majorHAnsi"/>
                <w:sz w:val="18"/>
                <w:szCs w:val="18"/>
              </w:rPr>
              <w:t xml:space="preserve"> a novověké jádro vsi</w:t>
            </w:r>
          </w:p>
        </w:tc>
        <w:tc>
          <w:tcPr>
            <w:tcW w:w="0" w:type="auto"/>
            <w:vAlign w:val="center"/>
          </w:tcPr>
          <w:p w14:paraId="74EEF740"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II</w:t>
            </w:r>
          </w:p>
        </w:tc>
        <w:tc>
          <w:tcPr>
            <w:tcW w:w="0" w:type="auto"/>
            <w:vAlign w:val="center"/>
          </w:tcPr>
          <w:p w14:paraId="0E9036F5"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Hronětice</w:t>
            </w:r>
          </w:p>
        </w:tc>
        <w:tc>
          <w:tcPr>
            <w:tcW w:w="0" w:type="auto"/>
            <w:vAlign w:val="center"/>
          </w:tcPr>
          <w:p w14:paraId="4D9918D0"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1B3677BF" w14:textId="77777777" w:rsidTr="008F20FA">
        <w:trPr>
          <w:trHeight w:val="20"/>
          <w:jc w:val="center"/>
        </w:trPr>
        <w:tc>
          <w:tcPr>
            <w:tcW w:w="0" w:type="auto"/>
            <w:vAlign w:val="center"/>
          </w:tcPr>
          <w:p w14:paraId="7927CA34" w14:textId="722D9BCF" w:rsidR="002F3880" w:rsidRPr="006070EA" w:rsidRDefault="002F3880" w:rsidP="008F20FA">
            <w:pPr>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13-13-05/7</w:t>
            </w:r>
          </w:p>
        </w:tc>
        <w:tc>
          <w:tcPr>
            <w:tcW w:w="0" w:type="auto"/>
            <w:vAlign w:val="center"/>
          </w:tcPr>
          <w:p w14:paraId="3BF21C8E" w14:textId="77B15533" w:rsidR="002F3880" w:rsidRPr="006070EA" w:rsidRDefault="002F3880" w:rsidP="008F20FA">
            <w:pPr>
              <w:spacing w:after="0"/>
              <w:jc w:val="center"/>
              <w:rPr>
                <w:rFonts w:asciiTheme="majorHAnsi" w:hAnsiTheme="majorHAnsi" w:cstheme="majorHAnsi"/>
                <w:sz w:val="18"/>
                <w:szCs w:val="18"/>
              </w:rPr>
            </w:pPr>
            <w:r w:rsidRPr="006070EA">
              <w:rPr>
                <w:rFonts w:asciiTheme="majorHAnsi" w:hAnsiTheme="majorHAnsi" w:cstheme="majorHAnsi"/>
                <w:sz w:val="18"/>
                <w:szCs w:val="18"/>
              </w:rPr>
              <w:t>Písečník Z od obce</w:t>
            </w:r>
          </w:p>
        </w:tc>
        <w:tc>
          <w:tcPr>
            <w:tcW w:w="0" w:type="auto"/>
            <w:vAlign w:val="center"/>
          </w:tcPr>
          <w:p w14:paraId="523E4DCC"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vAlign w:val="center"/>
          </w:tcPr>
          <w:p w14:paraId="3B3B7FA0"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Kostomlaty nad Labem</w:t>
            </w:r>
          </w:p>
        </w:tc>
        <w:tc>
          <w:tcPr>
            <w:tcW w:w="0" w:type="auto"/>
            <w:vAlign w:val="center"/>
          </w:tcPr>
          <w:p w14:paraId="749BE1E8"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5FBF79C3" w14:textId="77777777" w:rsidTr="008F20FA">
        <w:trPr>
          <w:trHeight w:val="20"/>
          <w:jc w:val="center"/>
        </w:trPr>
        <w:tc>
          <w:tcPr>
            <w:tcW w:w="0" w:type="auto"/>
            <w:vAlign w:val="center"/>
          </w:tcPr>
          <w:p w14:paraId="78FDDD51" w14:textId="500EEA82" w:rsidR="002F3880" w:rsidRPr="006070EA" w:rsidRDefault="002F3880" w:rsidP="008F20FA">
            <w:pPr>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13-13-05/8</w:t>
            </w:r>
          </w:p>
        </w:tc>
        <w:tc>
          <w:tcPr>
            <w:tcW w:w="0" w:type="auto"/>
            <w:vAlign w:val="center"/>
          </w:tcPr>
          <w:p w14:paraId="790BDB3D" w14:textId="391FFF1D" w:rsidR="002F3880" w:rsidRPr="006070EA" w:rsidRDefault="002F3880" w:rsidP="008F20FA">
            <w:pPr>
              <w:spacing w:after="0"/>
              <w:jc w:val="center"/>
              <w:rPr>
                <w:rFonts w:asciiTheme="majorHAnsi" w:hAnsiTheme="majorHAnsi" w:cstheme="majorHAnsi"/>
                <w:sz w:val="18"/>
                <w:szCs w:val="18"/>
              </w:rPr>
            </w:pPr>
            <w:r w:rsidRPr="006070EA">
              <w:rPr>
                <w:rFonts w:asciiTheme="majorHAnsi" w:hAnsiTheme="majorHAnsi" w:cstheme="majorHAnsi"/>
                <w:sz w:val="18"/>
                <w:szCs w:val="18"/>
              </w:rPr>
              <w:t>Hliník, JV od nádraží</w:t>
            </w:r>
          </w:p>
        </w:tc>
        <w:tc>
          <w:tcPr>
            <w:tcW w:w="0" w:type="auto"/>
            <w:vAlign w:val="center"/>
          </w:tcPr>
          <w:p w14:paraId="56E6A234"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vAlign w:val="center"/>
          </w:tcPr>
          <w:p w14:paraId="68E98638"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Kostomlaty nad Labem</w:t>
            </w:r>
          </w:p>
        </w:tc>
        <w:tc>
          <w:tcPr>
            <w:tcW w:w="0" w:type="auto"/>
            <w:vAlign w:val="center"/>
          </w:tcPr>
          <w:p w14:paraId="61CF10AC"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2E851D87" w14:textId="77777777" w:rsidTr="008F20FA">
        <w:trPr>
          <w:trHeight w:val="20"/>
          <w:jc w:val="center"/>
        </w:trPr>
        <w:tc>
          <w:tcPr>
            <w:tcW w:w="0" w:type="auto"/>
            <w:vAlign w:val="center"/>
          </w:tcPr>
          <w:p w14:paraId="4FAF2187" w14:textId="77777777" w:rsidR="002F3880" w:rsidRPr="006070EA" w:rsidRDefault="002F3880" w:rsidP="008F20FA">
            <w:pPr>
              <w:pStyle w:val="Bezmezer"/>
              <w:suppressAutoHyphens/>
              <w:jc w:val="center"/>
              <w:rPr>
                <w:rFonts w:asciiTheme="majorHAnsi" w:hAnsiTheme="majorHAnsi" w:cstheme="majorHAnsi"/>
                <w:b/>
                <w:bCs/>
                <w:szCs w:val="18"/>
                <w:lang w:val="cs-CZ"/>
              </w:rPr>
            </w:pPr>
            <w:r w:rsidRPr="006070EA">
              <w:rPr>
                <w:rFonts w:asciiTheme="majorHAnsi" w:hAnsiTheme="majorHAnsi" w:cstheme="majorHAnsi"/>
                <w:b/>
                <w:bCs/>
                <w:szCs w:val="18"/>
                <w:lang w:val="cs-CZ"/>
              </w:rPr>
              <w:t>13-13-05/9</w:t>
            </w:r>
          </w:p>
        </w:tc>
        <w:tc>
          <w:tcPr>
            <w:tcW w:w="0" w:type="auto"/>
            <w:vAlign w:val="center"/>
          </w:tcPr>
          <w:p w14:paraId="5CA3BEC5" w14:textId="35EC8F49" w:rsidR="002F3880" w:rsidRPr="006070EA" w:rsidRDefault="002F3880" w:rsidP="008F20FA">
            <w:pPr>
              <w:spacing w:after="0"/>
              <w:jc w:val="center"/>
              <w:rPr>
                <w:rFonts w:asciiTheme="majorHAnsi" w:hAnsiTheme="majorHAnsi" w:cstheme="majorHAnsi"/>
                <w:sz w:val="18"/>
                <w:szCs w:val="18"/>
              </w:rPr>
            </w:pPr>
            <w:r w:rsidRPr="006070EA">
              <w:rPr>
                <w:rFonts w:asciiTheme="majorHAnsi" w:hAnsiTheme="majorHAnsi" w:cstheme="majorHAnsi"/>
                <w:sz w:val="18"/>
                <w:szCs w:val="18"/>
              </w:rPr>
              <w:t>Prostor nádraží a JV okolí</w:t>
            </w:r>
          </w:p>
        </w:tc>
        <w:tc>
          <w:tcPr>
            <w:tcW w:w="0" w:type="auto"/>
            <w:vAlign w:val="center"/>
          </w:tcPr>
          <w:p w14:paraId="10DA67F5"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vAlign w:val="center"/>
          </w:tcPr>
          <w:p w14:paraId="25D2D40F"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Kostomlaty nad Labem</w:t>
            </w:r>
          </w:p>
        </w:tc>
        <w:tc>
          <w:tcPr>
            <w:tcW w:w="0" w:type="auto"/>
            <w:vAlign w:val="center"/>
          </w:tcPr>
          <w:p w14:paraId="241E03D1"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343F6A10" w14:textId="77777777" w:rsidTr="008F20FA">
        <w:trPr>
          <w:trHeight w:val="20"/>
          <w:jc w:val="center"/>
        </w:trPr>
        <w:tc>
          <w:tcPr>
            <w:tcW w:w="0" w:type="auto"/>
            <w:vAlign w:val="center"/>
          </w:tcPr>
          <w:p w14:paraId="4C49191B" w14:textId="24640E20" w:rsidR="002F3880" w:rsidRPr="006070EA" w:rsidRDefault="002F3880" w:rsidP="008F20FA">
            <w:pPr>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13-13-10/3</w:t>
            </w:r>
          </w:p>
        </w:tc>
        <w:tc>
          <w:tcPr>
            <w:tcW w:w="0" w:type="auto"/>
            <w:vAlign w:val="center"/>
          </w:tcPr>
          <w:p w14:paraId="753A8E52" w14:textId="13D352CE" w:rsidR="002F3880" w:rsidRPr="006070EA" w:rsidRDefault="002F3880" w:rsidP="008F20FA">
            <w:pPr>
              <w:spacing w:after="0"/>
              <w:jc w:val="center"/>
              <w:rPr>
                <w:rFonts w:asciiTheme="majorHAnsi" w:hAnsiTheme="majorHAnsi" w:cstheme="majorHAnsi"/>
                <w:sz w:val="18"/>
                <w:szCs w:val="18"/>
              </w:rPr>
            </w:pPr>
            <w:r w:rsidRPr="006070EA">
              <w:rPr>
                <w:rFonts w:asciiTheme="majorHAnsi" w:hAnsiTheme="majorHAnsi" w:cstheme="majorHAnsi"/>
                <w:sz w:val="18"/>
                <w:szCs w:val="18"/>
              </w:rPr>
              <w:t>ul. Slepá č. 348</w:t>
            </w:r>
          </w:p>
        </w:tc>
        <w:tc>
          <w:tcPr>
            <w:tcW w:w="0" w:type="auto"/>
            <w:vAlign w:val="center"/>
          </w:tcPr>
          <w:p w14:paraId="6272CFF4"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vAlign w:val="center"/>
          </w:tcPr>
          <w:p w14:paraId="69A0C0B2"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Kostomlaty nad Labem</w:t>
            </w:r>
          </w:p>
        </w:tc>
        <w:tc>
          <w:tcPr>
            <w:tcW w:w="0" w:type="auto"/>
            <w:vAlign w:val="center"/>
          </w:tcPr>
          <w:p w14:paraId="570D4C92"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438ACBF6" w14:textId="77777777" w:rsidTr="008F20FA">
        <w:trPr>
          <w:trHeight w:val="20"/>
          <w:jc w:val="center"/>
        </w:trPr>
        <w:tc>
          <w:tcPr>
            <w:tcW w:w="0" w:type="auto"/>
            <w:vAlign w:val="center"/>
          </w:tcPr>
          <w:p w14:paraId="7FD4A64D" w14:textId="77777777" w:rsidR="002F3880" w:rsidRPr="006070EA" w:rsidRDefault="002F3880" w:rsidP="008F20FA">
            <w:pPr>
              <w:pStyle w:val="Bezmezer"/>
              <w:suppressAutoHyphens/>
              <w:jc w:val="center"/>
              <w:rPr>
                <w:rFonts w:asciiTheme="majorHAnsi" w:hAnsiTheme="majorHAnsi" w:cstheme="majorHAnsi"/>
                <w:b/>
                <w:bCs/>
                <w:szCs w:val="18"/>
                <w:lang w:val="cs-CZ"/>
              </w:rPr>
            </w:pPr>
            <w:r w:rsidRPr="006070EA">
              <w:rPr>
                <w:rFonts w:asciiTheme="majorHAnsi" w:hAnsiTheme="majorHAnsi" w:cstheme="majorHAnsi"/>
                <w:b/>
                <w:bCs/>
                <w:szCs w:val="18"/>
                <w:lang w:val="cs-CZ"/>
              </w:rPr>
              <w:t>13-13-10/3</w:t>
            </w:r>
          </w:p>
        </w:tc>
        <w:tc>
          <w:tcPr>
            <w:tcW w:w="0" w:type="auto"/>
            <w:vAlign w:val="center"/>
          </w:tcPr>
          <w:p w14:paraId="1BFCC48C"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pískovna Z od vsi</w:t>
            </w:r>
          </w:p>
        </w:tc>
        <w:tc>
          <w:tcPr>
            <w:tcW w:w="0" w:type="auto"/>
            <w:vAlign w:val="center"/>
          </w:tcPr>
          <w:p w14:paraId="4B0CE9FA"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vAlign w:val="center"/>
          </w:tcPr>
          <w:p w14:paraId="497901B9"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Kostomlaty nad Labem</w:t>
            </w:r>
          </w:p>
        </w:tc>
        <w:tc>
          <w:tcPr>
            <w:tcW w:w="0" w:type="auto"/>
            <w:vAlign w:val="center"/>
          </w:tcPr>
          <w:p w14:paraId="4243F13F"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r w:rsidR="00EF1675" w:rsidRPr="006070EA" w14:paraId="5B4938BC" w14:textId="77777777" w:rsidTr="008F20FA">
        <w:trPr>
          <w:trHeight w:val="20"/>
          <w:jc w:val="center"/>
        </w:trPr>
        <w:tc>
          <w:tcPr>
            <w:tcW w:w="0" w:type="auto"/>
            <w:vAlign w:val="center"/>
          </w:tcPr>
          <w:p w14:paraId="53B34F14" w14:textId="36DCDA67" w:rsidR="002F3880" w:rsidRPr="006070EA" w:rsidRDefault="002F3880" w:rsidP="008F20FA">
            <w:pPr>
              <w:spacing w:after="0"/>
              <w:jc w:val="center"/>
              <w:rPr>
                <w:rFonts w:asciiTheme="majorHAnsi" w:hAnsiTheme="majorHAnsi" w:cstheme="majorHAnsi"/>
                <w:b/>
                <w:bCs/>
                <w:sz w:val="18"/>
                <w:szCs w:val="18"/>
              </w:rPr>
            </w:pPr>
            <w:r w:rsidRPr="006070EA">
              <w:rPr>
                <w:rFonts w:asciiTheme="majorHAnsi" w:hAnsiTheme="majorHAnsi" w:cstheme="majorHAnsi"/>
                <w:b/>
                <w:bCs/>
                <w:sz w:val="18"/>
                <w:szCs w:val="18"/>
              </w:rPr>
              <w:t>13-13-10/5</w:t>
            </w:r>
          </w:p>
        </w:tc>
        <w:tc>
          <w:tcPr>
            <w:tcW w:w="0" w:type="auto"/>
            <w:vAlign w:val="center"/>
            <w:hideMark/>
          </w:tcPr>
          <w:p w14:paraId="20ED9267"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myslivna</w:t>
            </w:r>
          </w:p>
        </w:tc>
        <w:tc>
          <w:tcPr>
            <w:tcW w:w="0" w:type="auto"/>
            <w:vAlign w:val="center"/>
          </w:tcPr>
          <w:p w14:paraId="55162E9E"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I</w:t>
            </w:r>
          </w:p>
        </w:tc>
        <w:tc>
          <w:tcPr>
            <w:tcW w:w="0" w:type="auto"/>
            <w:vAlign w:val="center"/>
          </w:tcPr>
          <w:p w14:paraId="4F073BE3"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shd w:val="clear" w:color="auto" w:fill="FBFBFB"/>
                <w:lang w:val="cs-CZ"/>
              </w:rPr>
              <w:t>Kostomlaty nad Labem</w:t>
            </w:r>
          </w:p>
        </w:tc>
        <w:tc>
          <w:tcPr>
            <w:tcW w:w="0" w:type="auto"/>
            <w:vAlign w:val="center"/>
          </w:tcPr>
          <w:p w14:paraId="63916128" w14:textId="77777777" w:rsidR="002F3880" w:rsidRPr="006070EA" w:rsidRDefault="002F3880" w:rsidP="008F20FA">
            <w:pPr>
              <w:pStyle w:val="Bezmezer"/>
              <w:suppressAutoHyphens/>
              <w:jc w:val="center"/>
              <w:rPr>
                <w:rFonts w:asciiTheme="majorHAnsi" w:hAnsiTheme="majorHAnsi" w:cstheme="majorHAnsi"/>
                <w:szCs w:val="18"/>
                <w:lang w:val="cs-CZ"/>
              </w:rPr>
            </w:pPr>
            <w:r w:rsidRPr="006070EA">
              <w:rPr>
                <w:rFonts w:asciiTheme="majorHAnsi" w:hAnsiTheme="majorHAnsi" w:cstheme="majorHAnsi"/>
                <w:szCs w:val="18"/>
                <w:lang w:val="cs-CZ"/>
              </w:rPr>
              <w:t>Nymburk</w:t>
            </w:r>
          </w:p>
        </w:tc>
      </w:tr>
    </w:tbl>
    <w:p w14:paraId="2331C69B" w14:textId="1F555ED9" w:rsidR="002F3880" w:rsidRPr="006070EA" w:rsidRDefault="002F3880" w:rsidP="002F3880">
      <w:pPr>
        <w:pStyle w:val="Atext"/>
        <w:rPr>
          <w:rFonts w:asciiTheme="majorHAnsi" w:hAnsiTheme="majorHAnsi" w:cstheme="majorHAnsi"/>
        </w:rPr>
      </w:pPr>
      <w:r w:rsidRPr="006070EA">
        <w:rPr>
          <w:rFonts w:asciiTheme="majorHAnsi" w:hAnsiTheme="majorHAnsi" w:cstheme="majorHAnsi"/>
        </w:rPr>
        <w:lastRenderedPageBreak/>
        <w:t>ÚAN I. kategorie je území s pozitivně prokázaným a dále bezpečně předpokládaným výskytem archeologických nálezů. ÚAN II. kategorie je území, na němž nebyl dosud pozitivně prokázán výskyt archeologických nálezů, ale určité indicie mu nasvědčují</w:t>
      </w:r>
      <w:r w:rsidR="00EF1675" w:rsidRPr="006070EA">
        <w:rPr>
          <w:rFonts w:asciiTheme="majorHAnsi" w:hAnsiTheme="majorHAnsi" w:cstheme="majorHAnsi"/>
        </w:rPr>
        <w:t>,</w:t>
      </w:r>
      <w:r w:rsidRPr="006070EA">
        <w:rPr>
          <w:rFonts w:asciiTheme="majorHAnsi" w:hAnsiTheme="majorHAnsi" w:cstheme="majorHAnsi"/>
        </w:rPr>
        <w:t xml:space="preserve"> pravděpodobnost výskytu archeologických nálezů </w:t>
      </w:r>
      <w:r w:rsidR="00EF1675" w:rsidRPr="006070EA">
        <w:rPr>
          <w:rFonts w:asciiTheme="majorHAnsi" w:hAnsiTheme="majorHAnsi" w:cstheme="majorHAnsi"/>
        </w:rPr>
        <w:t xml:space="preserve">je zde </w:t>
      </w:r>
      <w:proofErr w:type="gramStart"/>
      <w:r w:rsidRPr="006070EA">
        <w:rPr>
          <w:rFonts w:asciiTheme="majorHAnsi" w:hAnsiTheme="majorHAnsi" w:cstheme="majorHAnsi"/>
        </w:rPr>
        <w:t>51 – 100</w:t>
      </w:r>
      <w:proofErr w:type="gramEnd"/>
      <w:r w:rsidRPr="006070EA">
        <w:rPr>
          <w:rFonts w:asciiTheme="majorHAnsi" w:hAnsiTheme="majorHAnsi" w:cstheme="majorHAnsi"/>
        </w:rPr>
        <w:t xml:space="preserve"> %. </w:t>
      </w:r>
    </w:p>
    <w:p w14:paraId="795EEF60" w14:textId="77777777" w:rsidR="005A5F53" w:rsidRPr="006070EA" w:rsidRDefault="005A5F53" w:rsidP="009E07E1">
      <w:pPr>
        <w:pStyle w:val="Atext"/>
        <w:rPr>
          <w:rFonts w:asciiTheme="majorHAnsi" w:hAnsiTheme="majorHAnsi" w:cstheme="majorHAnsi"/>
          <w:szCs w:val="18"/>
        </w:rPr>
      </w:pPr>
      <w:r w:rsidRPr="006070EA">
        <w:rPr>
          <w:rFonts w:asciiTheme="majorHAnsi" w:hAnsiTheme="majorHAnsi" w:cstheme="majorHAnsi"/>
          <w:szCs w:val="18"/>
        </w:rPr>
        <w:t>Na tyto typy území se vztahuje povinnost vyplývající z ustanovení § 21 - 24 zákona o památkové péči, což znamená, že stavebníci (potencionální nálezci) jsou již od přípravy stavby, tj. záměru provádět jakékoli zemní práce, při nichž může být objeven archeologický nález ve smyslu ustanovení § 23 tohoto zákona, povinni tento záměr oznámit Archeologickému ústavu Akademie věd České republiky a umožnit jemu nebo organizaci oprávněné k archeologickým výzkumům provést na dotčeném území záchranný archeologický výzkum.</w:t>
      </w:r>
    </w:p>
    <w:p w14:paraId="4A124091" w14:textId="5B26EC3F" w:rsidR="004254E6" w:rsidRPr="006070EA" w:rsidRDefault="004254E6" w:rsidP="009E07E1">
      <w:pPr>
        <w:spacing w:before="120"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Území s archeologickými nálezy také splňují podmínky pro to, aby mohla být považována za území s výskytem archeologického dědictví ve smyslu Úmluvy o ochraně archeologického dědictví Evropy (revidované) vyhlášené pod č.</w:t>
      </w:r>
      <w:r w:rsidR="009E3A49" w:rsidRPr="006070EA">
        <w:rPr>
          <w:rFonts w:asciiTheme="majorHAnsi" w:hAnsiTheme="majorHAnsi" w:cstheme="majorHAnsi"/>
          <w:sz w:val="18"/>
          <w:szCs w:val="18"/>
        </w:rPr>
        <w:t> </w:t>
      </w:r>
      <w:r w:rsidRPr="006070EA">
        <w:rPr>
          <w:rFonts w:asciiTheme="majorHAnsi" w:hAnsiTheme="majorHAnsi" w:cstheme="majorHAnsi"/>
          <w:sz w:val="18"/>
          <w:szCs w:val="18"/>
        </w:rPr>
        <w:t>99/2000</w:t>
      </w:r>
      <w:r w:rsidR="00485315" w:rsidRPr="006070EA">
        <w:rPr>
          <w:rFonts w:asciiTheme="majorHAnsi" w:hAnsiTheme="majorHAnsi" w:cstheme="majorHAnsi"/>
          <w:sz w:val="18"/>
          <w:szCs w:val="18"/>
        </w:rPr>
        <w:t> </w:t>
      </w:r>
      <w:r w:rsidRPr="006070EA">
        <w:rPr>
          <w:rFonts w:asciiTheme="majorHAnsi" w:hAnsiTheme="majorHAnsi" w:cstheme="majorHAnsi"/>
          <w:sz w:val="18"/>
          <w:szCs w:val="18"/>
        </w:rPr>
        <w:t>Sb. m. s.</w:t>
      </w:r>
    </w:p>
    <w:p w14:paraId="7B7E8F23" w14:textId="2293048C" w:rsidR="005A5F53" w:rsidRPr="006070EA" w:rsidRDefault="005A5F53" w:rsidP="009E07E1">
      <w:pPr>
        <w:pStyle w:val="Atext"/>
        <w:rPr>
          <w:rFonts w:asciiTheme="majorHAnsi" w:hAnsiTheme="majorHAnsi" w:cstheme="majorHAnsi"/>
          <w:szCs w:val="18"/>
        </w:rPr>
      </w:pPr>
      <w:bookmarkStart w:id="275" w:name="_Toc424119841"/>
      <w:r w:rsidRPr="006070EA">
        <w:rPr>
          <w:rFonts w:asciiTheme="majorHAnsi" w:hAnsiTheme="majorHAnsi" w:cstheme="majorHAnsi"/>
          <w:szCs w:val="18"/>
        </w:rPr>
        <w:t xml:space="preserve">V grafické části Odůvodnění územního plánu ve výkrese </w:t>
      </w:r>
      <w:r w:rsidR="00485315" w:rsidRPr="006070EA">
        <w:rPr>
          <w:rFonts w:asciiTheme="majorHAnsi" w:hAnsiTheme="majorHAnsi" w:cstheme="majorHAnsi"/>
          <w:i/>
          <w:szCs w:val="18"/>
        </w:rPr>
        <w:t>4</w:t>
      </w:r>
      <w:r w:rsidRPr="006070EA">
        <w:rPr>
          <w:rFonts w:asciiTheme="majorHAnsi" w:hAnsiTheme="majorHAnsi" w:cstheme="majorHAnsi"/>
          <w:i/>
          <w:szCs w:val="18"/>
        </w:rPr>
        <w:t xml:space="preserve"> Koordinační výkres</w:t>
      </w:r>
      <w:r w:rsidRPr="006070EA">
        <w:rPr>
          <w:rFonts w:asciiTheme="majorHAnsi" w:hAnsiTheme="majorHAnsi" w:cstheme="majorHAnsi"/>
          <w:szCs w:val="18"/>
        </w:rPr>
        <w:t xml:space="preserve"> </w:t>
      </w:r>
      <w:r w:rsidR="00860EB3" w:rsidRPr="006070EA">
        <w:rPr>
          <w:rFonts w:asciiTheme="majorHAnsi" w:hAnsiTheme="majorHAnsi" w:cstheme="majorHAnsi"/>
          <w:szCs w:val="18"/>
        </w:rPr>
        <w:t>jsou</w:t>
      </w:r>
      <w:r w:rsidRPr="006070EA">
        <w:rPr>
          <w:rFonts w:asciiTheme="majorHAnsi" w:hAnsiTheme="majorHAnsi" w:cstheme="majorHAnsi"/>
          <w:szCs w:val="18"/>
        </w:rPr>
        <w:t xml:space="preserve"> zakreslen</w:t>
      </w:r>
      <w:r w:rsidR="00860EB3" w:rsidRPr="006070EA">
        <w:rPr>
          <w:rFonts w:asciiTheme="majorHAnsi" w:hAnsiTheme="majorHAnsi" w:cstheme="majorHAnsi"/>
          <w:szCs w:val="18"/>
        </w:rPr>
        <w:t>a</w:t>
      </w:r>
      <w:r w:rsidRPr="006070EA">
        <w:rPr>
          <w:rFonts w:asciiTheme="majorHAnsi" w:hAnsiTheme="majorHAnsi" w:cstheme="majorHAnsi"/>
          <w:szCs w:val="18"/>
        </w:rPr>
        <w:t xml:space="preserve"> území s archeologickými nálezy (ÚAN </w:t>
      </w:r>
      <w:r w:rsidR="00EF1675" w:rsidRPr="006070EA">
        <w:rPr>
          <w:rFonts w:asciiTheme="majorHAnsi" w:hAnsiTheme="majorHAnsi" w:cstheme="majorHAnsi"/>
          <w:szCs w:val="18"/>
        </w:rPr>
        <w:t xml:space="preserve">I. a </w:t>
      </w:r>
      <w:r w:rsidR="00860EB3" w:rsidRPr="006070EA">
        <w:rPr>
          <w:rFonts w:asciiTheme="majorHAnsi" w:hAnsiTheme="majorHAnsi" w:cstheme="majorHAnsi"/>
          <w:szCs w:val="18"/>
        </w:rPr>
        <w:t>I</w:t>
      </w:r>
      <w:r w:rsidRPr="006070EA">
        <w:rPr>
          <w:rFonts w:asciiTheme="majorHAnsi" w:hAnsiTheme="majorHAnsi" w:cstheme="majorHAnsi"/>
          <w:szCs w:val="18"/>
        </w:rPr>
        <w:t>I. kategorie) dle Státního archeologického seznamu ČR.</w:t>
      </w:r>
    </w:p>
    <w:p w14:paraId="41463045" w14:textId="77777777" w:rsidR="00860EB3" w:rsidRPr="006070EA" w:rsidRDefault="00860EB3" w:rsidP="00860EB3">
      <w:pPr>
        <w:keepNext/>
        <w:spacing w:before="120" w:after="60" w:line="240" w:lineRule="auto"/>
        <w:jc w:val="both"/>
        <w:rPr>
          <w:rFonts w:asciiTheme="majorHAnsi" w:hAnsiTheme="majorHAnsi" w:cstheme="majorHAnsi"/>
          <w:b/>
          <w:sz w:val="18"/>
          <w:szCs w:val="18"/>
        </w:rPr>
      </w:pPr>
      <w:r w:rsidRPr="006070EA">
        <w:rPr>
          <w:rFonts w:asciiTheme="majorHAnsi" w:hAnsiTheme="majorHAnsi" w:cstheme="majorHAnsi"/>
          <w:b/>
          <w:sz w:val="18"/>
          <w:szCs w:val="18"/>
        </w:rPr>
        <w:t>Ostatní kulturní, architektonické a urbanistické hodnoty</w:t>
      </w:r>
    </w:p>
    <w:p w14:paraId="411CFD51" w14:textId="77777777" w:rsidR="002F3880" w:rsidRPr="006070EA" w:rsidRDefault="002F3880" w:rsidP="000D222D">
      <w:pPr>
        <w:pStyle w:val="Atext"/>
        <w:rPr>
          <w:rFonts w:asciiTheme="majorHAnsi" w:hAnsiTheme="majorHAnsi" w:cstheme="majorHAnsi"/>
          <w:szCs w:val="18"/>
        </w:rPr>
      </w:pPr>
      <w:r w:rsidRPr="006070EA">
        <w:rPr>
          <w:rFonts w:asciiTheme="majorHAnsi" w:hAnsiTheme="majorHAnsi" w:cstheme="majorHAnsi"/>
          <w:szCs w:val="18"/>
        </w:rPr>
        <w:t xml:space="preserve">Kromě kulturních hodnot chráněných dle platné legislativy se v řešeném území nacházejí další objekty a soubory objektů s kulturní, historickou, urbanistickou anebo architektonickou hodnotou. Jejich ochrana by měla být v rámci tvorby územního plánu prověřena. </w:t>
      </w:r>
    </w:p>
    <w:p w14:paraId="70EE7FC3" w14:textId="77777777" w:rsidR="002F3880" w:rsidRPr="006070EA" w:rsidRDefault="002F3880" w:rsidP="000D222D">
      <w:pPr>
        <w:pStyle w:val="Atext"/>
        <w:rPr>
          <w:rFonts w:asciiTheme="majorHAnsi" w:hAnsiTheme="majorHAnsi" w:cstheme="majorHAnsi"/>
          <w:szCs w:val="18"/>
        </w:rPr>
      </w:pPr>
      <w:r w:rsidRPr="006070EA">
        <w:rPr>
          <w:rFonts w:asciiTheme="majorHAnsi" w:hAnsiTheme="majorHAnsi" w:cstheme="majorHAnsi"/>
          <w:szCs w:val="18"/>
          <w:u w:val="single"/>
        </w:rPr>
        <w:t>Architektonické hodnoty</w:t>
      </w:r>
      <w:r w:rsidRPr="006070EA">
        <w:rPr>
          <w:rFonts w:asciiTheme="majorHAnsi" w:hAnsiTheme="majorHAnsi" w:cstheme="majorHAnsi"/>
          <w:szCs w:val="18"/>
        </w:rPr>
        <w:t xml:space="preserve"> (jednotlivé objekty): </w:t>
      </w:r>
    </w:p>
    <w:tbl>
      <w:tblPr>
        <w:tblW w:w="90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2183"/>
        <w:gridCol w:w="2330"/>
        <w:gridCol w:w="2397"/>
      </w:tblGrid>
      <w:tr w:rsidR="002F3880" w:rsidRPr="006070EA" w14:paraId="7CC612FC" w14:textId="77777777" w:rsidTr="00485315">
        <w:trPr>
          <w:cantSplit/>
          <w:trHeight w:val="227"/>
          <w:tblHeader/>
          <w:jc w:val="center"/>
        </w:trPr>
        <w:tc>
          <w:tcPr>
            <w:tcW w:w="2154" w:type="dxa"/>
            <w:tcBorders>
              <w:top w:val="nil"/>
              <w:left w:val="nil"/>
              <w:bottom w:val="single" w:sz="12" w:space="0" w:color="auto"/>
              <w:right w:val="single" w:sz="12" w:space="0" w:color="auto"/>
            </w:tcBorders>
            <w:vAlign w:val="center"/>
            <w:hideMark/>
          </w:tcPr>
          <w:p w14:paraId="08A85347" w14:textId="77777777" w:rsidR="002F3880" w:rsidRPr="006070EA" w:rsidRDefault="002F3880" w:rsidP="000D222D">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název objektu</w:t>
            </w:r>
          </w:p>
        </w:tc>
        <w:tc>
          <w:tcPr>
            <w:tcW w:w="2183" w:type="dxa"/>
            <w:tcBorders>
              <w:top w:val="nil"/>
              <w:left w:val="single" w:sz="12" w:space="0" w:color="auto"/>
              <w:bottom w:val="single" w:sz="12" w:space="0" w:color="auto"/>
              <w:right w:val="single" w:sz="12" w:space="0" w:color="auto"/>
            </w:tcBorders>
            <w:vAlign w:val="center"/>
            <w:hideMark/>
          </w:tcPr>
          <w:p w14:paraId="3C8F92F3" w14:textId="77777777" w:rsidR="002F3880" w:rsidRPr="006070EA" w:rsidRDefault="002F3880" w:rsidP="000D222D">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popis</w:t>
            </w:r>
          </w:p>
        </w:tc>
        <w:tc>
          <w:tcPr>
            <w:tcW w:w="2330" w:type="dxa"/>
            <w:tcBorders>
              <w:top w:val="nil"/>
              <w:left w:val="single" w:sz="12" w:space="0" w:color="auto"/>
              <w:bottom w:val="single" w:sz="12" w:space="0" w:color="auto"/>
              <w:right w:val="single" w:sz="12" w:space="0" w:color="auto"/>
            </w:tcBorders>
            <w:vAlign w:val="center"/>
          </w:tcPr>
          <w:p w14:paraId="6B054B0B" w14:textId="77777777" w:rsidR="002F3880" w:rsidRPr="006070EA" w:rsidRDefault="002F3880" w:rsidP="000D222D">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sídlo</w:t>
            </w:r>
          </w:p>
        </w:tc>
        <w:tc>
          <w:tcPr>
            <w:tcW w:w="2397" w:type="dxa"/>
            <w:tcBorders>
              <w:top w:val="nil"/>
              <w:left w:val="single" w:sz="12" w:space="0" w:color="auto"/>
              <w:bottom w:val="single" w:sz="12" w:space="0" w:color="auto"/>
              <w:right w:val="nil"/>
            </w:tcBorders>
            <w:vAlign w:val="center"/>
            <w:hideMark/>
          </w:tcPr>
          <w:p w14:paraId="451CCBDF" w14:textId="77777777" w:rsidR="002F3880" w:rsidRPr="006070EA" w:rsidRDefault="002F3880" w:rsidP="000D222D">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ulice, nám. / umístění</w:t>
            </w:r>
          </w:p>
        </w:tc>
      </w:tr>
      <w:tr w:rsidR="002F3880" w:rsidRPr="006070EA" w14:paraId="645E6900" w14:textId="77777777" w:rsidTr="00485315">
        <w:trPr>
          <w:trHeight w:val="227"/>
          <w:jc w:val="center"/>
        </w:trPr>
        <w:tc>
          <w:tcPr>
            <w:tcW w:w="2154" w:type="dxa"/>
            <w:tcBorders>
              <w:top w:val="single" w:sz="4" w:space="0" w:color="auto"/>
              <w:left w:val="nil"/>
              <w:bottom w:val="single" w:sz="4" w:space="0" w:color="auto"/>
              <w:right w:val="single" w:sz="4" w:space="0" w:color="auto"/>
            </w:tcBorders>
            <w:vAlign w:val="center"/>
          </w:tcPr>
          <w:p w14:paraId="55D339BE"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chalupa</w:t>
            </w:r>
          </w:p>
        </w:tc>
        <w:tc>
          <w:tcPr>
            <w:tcW w:w="2183" w:type="dxa"/>
            <w:tcBorders>
              <w:top w:val="single" w:sz="4" w:space="0" w:color="auto"/>
              <w:left w:val="single" w:sz="4" w:space="0" w:color="auto"/>
              <w:bottom w:val="single" w:sz="4" w:space="0" w:color="auto"/>
              <w:right w:val="single" w:sz="4" w:space="0" w:color="auto"/>
            </w:tcBorders>
            <w:vAlign w:val="center"/>
          </w:tcPr>
          <w:p w14:paraId="235B12F4"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77F2E7D0"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single" w:sz="4" w:space="0" w:color="auto"/>
              <w:right w:val="nil"/>
            </w:tcBorders>
            <w:vAlign w:val="center"/>
          </w:tcPr>
          <w:p w14:paraId="3CB41A36"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13</w:t>
            </w:r>
          </w:p>
        </w:tc>
      </w:tr>
      <w:tr w:rsidR="002F3880" w:rsidRPr="006070EA" w14:paraId="55DD4B79" w14:textId="77777777" w:rsidTr="00485315">
        <w:trPr>
          <w:trHeight w:val="227"/>
          <w:jc w:val="center"/>
        </w:trPr>
        <w:tc>
          <w:tcPr>
            <w:tcW w:w="2154" w:type="dxa"/>
            <w:tcBorders>
              <w:top w:val="single" w:sz="4" w:space="0" w:color="auto"/>
              <w:left w:val="nil"/>
              <w:bottom w:val="single" w:sz="4" w:space="0" w:color="auto"/>
              <w:right w:val="single" w:sz="4" w:space="0" w:color="auto"/>
            </w:tcBorders>
            <w:vAlign w:val="center"/>
          </w:tcPr>
          <w:p w14:paraId="14EF079C"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chalupa</w:t>
            </w:r>
          </w:p>
        </w:tc>
        <w:tc>
          <w:tcPr>
            <w:tcW w:w="2183" w:type="dxa"/>
            <w:tcBorders>
              <w:top w:val="single" w:sz="4" w:space="0" w:color="auto"/>
              <w:left w:val="single" w:sz="4" w:space="0" w:color="auto"/>
              <w:bottom w:val="single" w:sz="4" w:space="0" w:color="auto"/>
              <w:right w:val="single" w:sz="4" w:space="0" w:color="auto"/>
            </w:tcBorders>
            <w:vAlign w:val="center"/>
          </w:tcPr>
          <w:p w14:paraId="3103A0A6"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7336C3E3"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single" w:sz="4" w:space="0" w:color="auto"/>
              <w:right w:val="nil"/>
            </w:tcBorders>
            <w:vAlign w:val="center"/>
          </w:tcPr>
          <w:p w14:paraId="1705D587"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8</w:t>
            </w:r>
          </w:p>
        </w:tc>
      </w:tr>
      <w:tr w:rsidR="002F3880" w:rsidRPr="006070EA" w14:paraId="6D782242" w14:textId="77777777" w:rsidTr="00485315">
        <w:trPr>
          <w:trHeight w:val="227"/>
          <w:jc w:val="center"/>
        </w:trPr>
        <w:tc>
          <w:tcPr>
            <w:tcW w:w="2154" w:type="dxa"/>
            <w:tcBorders>
              <w:top w:val="single" w:sz="4" w:space="0" w:color="auto"/>
              <w:left w:val="nil"/>
              <w:bottom w:val="single" w:sz="4" w:space="0" w:color="auto"/>
              <w:right w:val="single" w:sz="4" w:space="0" w:color="auto"/>
            </w:tcBorders>
            <w:vAlign w:val="center"/>
          </w:tcPr>
          <w:p w14:paraId="25A539F9"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chalupa</w:t>
            </w:r>
          </w:p>
        </w:tc>
        <w:tc>
          <w:tcPr>
            <w:tcW w:w="2183" w:type="dxa"/>
            <w:tcBorders>
              <w:top w:val="single" w:sz="4" w:space="0" w:color="auto"/>
              <w:left w:val="single" w:sz="4" w:space="0" w:color="auto"/>
              <w:bottom w:val="single" w:sz="4" w:space="0" w:color="auto"/>
              <w:right w:val="single" w:sz="4" w:space="0" w:color="auto"/>
            </w:tcBorders>
            <w:vAlign w:val="center"/>
          </w:tcPr>
          <w:p w14:paraId="4EADD734"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7E25C63F"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single" w:sz="4" w:space="0" w:color="auto"/>
              <w:right w:val="nil"/>
            </w:tcBorders>
            <w:vAlign w:val="center"/>
          </w:tcPr>
          <w:p w14:paraId="0A334F5C"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6</w:t>
            </w:r>
          </w:p>
        </w:tc>
      </w:tr>
      <w:tr w:rsidR="002F3880" w:rsidRPr="006070EA" w14:paraId="746DA3F6" w14:textId="77777777" w:rsidTr="00485315">
        <w:trPr>
          <w:trHeight w:val="227"/>
          <w:jc w:val="center"/>
        </w:trPr>
        <w:tc>
          <w:tcPr>
            <w:tcW w:w="2154" w:type="dxa"/>
            <w:tcBorders>
              <w:top w:val="single" w:sz="4" w:space="0" w:color="auto"/>
              <w:left w:val="nil"/>
              <w:bottom w:val="single" w:sz="4" w:space="0" w:color="auto"/>
              <w:right w:val="single" w:sz="4" w:space="0" w:color="auto"/>
            </w:tcBorders>
            <w:vAlign w:val="center"/>
          </w:tcPr>
          <w:p w14:paraId="34C733C4"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usedlost</w:t>
            </w:r>
          </w:p>
        </w:tc>
        <w:tc>
          <w:tcPr>
            <w:tcW w:w="2183" w:type="dxa"/>
            <w:tcBorders>
              <w:top w:val="single" w:sz="4" w:space="0" w:color="auto"/>
              <w:left w:val="single" w:sz="4" w:space="0" w:color="auto"/>
              <w:bottom w:val="single" w:sz="4" w:space="0" w:color="auto"/>
              <w:right w:val="single" w:sz="4" w:space="0" w:color="auto"/>
            </w:tcBorders>
            <w:vAlign w:val="center"/>
          </w:tcPr>
          <w:p w14:paraId="5919AE5C"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4942D630"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single" w:sz="4" w:space="0" w:color="auto"/>
              <w:right w:val="nil"/>
            </w:tcBorders>
            <w:vAlign w:val="center"/>
          </w:tcPr>
          <w:p w14:paraId="241FD651"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5</w:t>
            </w:r>
          </w:p>
        </w:tc>
      </w:tr>
      <w:tr w:rsidR="002F3880" w:rsidRPr="006070EA" w14:paraId="57C14B42" w14:textId="77777777" w:rsidTr="00485315">
        <w:trPr>
          <w:trHeight w:val="227"/>
          <w:jc w:val="center"/>
        </w:trPr>
        <w:tc>
          <w:tcPr>
            <w:tcW w:w="2154" w:type="dxa"/>
            <w:tcBorders>
              <w:top w:val="single" w:sz="4" w:space="0" w:color="auto"/>
              <w:left w:val="nil"/>
              <w:bottom w:val="single" w:sz="4" w:space="0" w:color="auto"/>
              <w:right w:val="single" w:sz="4" w:space="0" w:color="auto"/>
            </w:tcBorders>
            <w:vAlign w:val="center"/>
          </w:tcPr>
          <w:p w14:paraId="2D37F999"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chalupa</w:t>
            </w:r>
          </w:p>
        </w:tc>
        <w:tc>
          <w:tcPr>
            <w:tcW w:w="2183" w:type="dxa"/>
            <w:tcBorders>
              <w:top w:val="single" w:sz="4" w:space="0" w:color="auto"/>
              <w:left w:val="single" w:sz="4" w:space="0" w:color="auto"/>
              <w:bottom w:val="single" w:sz="4" w:space="0" w:color="auto"/>
              <w:right w:val="single" w:sz="4" w:space="0" w:color="auto"/>
            </w:tcBorders>
            <w:vAlign w:val="center"/>
          </w:tcPr>
          <w:p w14:paraId="576F2558"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5DF874BD"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single" w:sz="4" w:space="0" w:color="auto"/>
              <w:right w:val="nil"/>
            </w:tcBorders>
            <w:vAlign w:val="center"/>
          </w:tcPr>
          <w:p w14:paraId="1FA35359"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18</w:t>
            </w:r>
          </w:p>
        </w:tc>
      </w:tr>
      <w:tr w:rsidR="002F3880" w:rsidRPr="006070EA" w14:paraId="0BC26A9E" w14:textId="77777777" w:rsidTr="00485315">
        <w:trPr>
          <w:trHeight w:val="227"/>
          <w:jc w:val="center"/>
        </w:trPr>
        <w:tc>
          <w:tcPr>
            <w:tcW w:w="2154" w:type="dxa"/>
            <w:tcBorders>
              <w:top w:val="single" w:sz="4" w:space="0" w:color="auto"/>
              <w:left w:val="nil"/>
              <w:bottom w:val="single" w:sz="4" w:space="0" w:color="auto"/>
              <w:right w:val="single" w:sz="4" w:space="0" w:color="auto"/>
            </w:tcBorders>
            <w:vAlign w:val="center"/>
          </w:tcPr>
          <w:p w14:paraId="2D70F938"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usedlost</w:t>
            </w:r>
          </w:p>
        </w:tc>
        <w:tc>
          <w:tcPr>
            <w:tcW w:w="2183" w:type="dxa"/>
            <w:tcBorders>
              <w:top w:val="single" w:sz="4" w:space="0" w:color="auto"/>
              <w:left w:val="single" w:sz="4" w:space="0" w:color="auto"/>
              <w:bottom w:val="single" w:sz="4" w:space="0" w:color="auto"/>
              <w:right w:val="single" w:sz="4" w:space="0" w:color="auto"/>
            </w:tcBorders>
            <w:vAlign w:val="center"/>
          </w:tcPr>
          <w:p w14:paraId="6215B5CE"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75EC7F37"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single" w:sz="4" w:space="0" w:color="auto"/>
              <w:right w:val="nil"/>
            </w:tcBorders>
            <w:vAlign w:val="center"/>
          </w:tcPr>
          <w:p w14:paraId="0CD969F4"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59</w:t>
            </w:r>
          </w:p>
        </w:tc>
      </w:tr>
      <w:tr w:rsidR="002F3880" w:rsidRPr="006070EA" w14:paraId="3DEA87E8" w14:textId="77777777" w:rsidTr="00485315">
        <w:trPr>
          <w:trHeight w:val="227"/>
          <w:jc w:val="center"/>
        </w:trPr>
        <w:tc>
          <w:tcPr>
            <w:tcW w:w="2154" w:type="dxa"/>
            <w:tcBorders>
              <w:top w:val="single" w:sz="4" w:space="0" w:color="auto"/>
              <w:left w:val="nil"/>
              <w:bottom w:val="single" w:sz="4" w:space="0" w:color="auto"/>
              <w:right w:val="single" w:sz="4" w:space="0" w:color="auto"/>
            </w:tcBorders>
            <w:vAlign w:val="center"/>
          </w:tcPr>
          <w:p w14:paraId="3C80F2FC"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usedlost</w:t>
            </w:r>
          </w:p>
        </w:tc>
        <w:tc>
          <w:tcPr>
            <w:tcW w:w="2183" w:type="dxa"/>
            <w:tcBorders>
              <w:top w:val="single" w:sz="4" w:space="0" w:color="auto"/>
              <w:left w:val="single" w:sz="4" w:space="0" w:color="auto"/>
              <w:bottom w:val="single" w:sz="4" w:space="0" w:color="auto"/>
              <w:right w:val="single" w:sz="4" w:space="0" w:color="auto"/>
            </w:tcBorders>
            <w:vAlign w:val="center"/>
          </w:tcPr>
          <w:p w14:paraId="39F6813E"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40C8FD3E"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2397" w:type="dxa"/>
            <w:tcBorders>
              <w:top w:val="single" w:sz="4" w:space="0" w:color="auto"/>
              <w:left w:val="single" w:sz="4" w:space="0" w:color="auto"/>
              <w:bottom w:val="single" w:sz="4" w:space="0" w:color="auto"/>
              <w:right w:val="nil"/>
            </w:tcBorders>
            <w:vAlign w:val="center"/>
          </w:tcPr>
          <w:p w14:paraId="79A80591"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3</w:t>
            </w:r>
          </w:p>
        </w:tc>
      </w:tr>
      <w:tr w:rsidR="002F3880" w:rsidRPr="006070EA" w14:paraId="323C8501" w14:textId="77777777" w:rsidTr="00485315">
        <w:trPr>
          <w:trHeight w:val="227"/>
          <w:jc w:val="center"/>
        </w:trPr>
        <w:tc>
          <w:tcPr>
            <w:tcW w:w="2154" w:type="dxa"/>
            <w:tcBorders>
              <w:top w:val="single" w:sz="4" w:space="0" w:color="auto"/>
              <w:left w:val="nil"/>
              <w:bottom w:val="single" w:sz="4" w:space="0" w:color="auto"/>
              <w:right w:val="single" w:sz="4" w:space="0" w:color="auto"/>
            </w:tcBorders>
            <w:vAlign w:val="center"/>
          </w:tcPr>
          <w:p w14:paraId="696CAF69"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usedlost</w:t>
            </w:r>
          </w:p>
        </w:tc>
        <w:tc>
          <w:tcPr>
            <w:tcW w:w="2183" w:type="dxa"/>
            <w:tcBorders>
              <w:top w:val="single" w:sz="4" w:space="0" w:color="auto"/>
              <w:left w:val="single" w:sz="4" w:space="0" w:color="auto"/>
              <w:bottom w:val="single" w:sz="4" w:space="0" w:color="auto"/>
              <w:right w:val="single" w:sz="4" w:space="0" w:color="auto"/>
            </w:tcBorders>
            <w:vAlign w:val="center"/>
          </w:tcPr>
          <w:p w14:paraId="09925113"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4D3CF807"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2397" w:type="dxa"/>
            <w:tcBorders>
              <w:top w:val="single" w:sz="4" w:space="0" w:color="auto"/>
              <w:left w:val="single" w:sz="4" w:space="0" w:color="auto"/>
              <w:bottom w:val="single" w:sz="4" w:space="0" w:color="auto"/>
              <w:right w:val="nil"/>
            </w:tcBorders>
            <w:vAlign w:val="center"/>
          </w:tcPr>
          <w:p w14:paraId="3704123D"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7</w:t>
            </w:r>
          </w:p>
        </w:tc>
      </w:tr>
      <w:tr w:rsidR="002F3880" w:rsidRPr="006070EA" w14:paraId="734B68BF" w14:textId="77777777" w:rsidTr="00485315">
        <w:trPr>
          <w:trHeight w:val="227"/>
          <w:jc w:val="center"/>
        </w:trPr>
        <w:tc>
          <w:tcPr>
            <w:tcW w:w="2154" w:type="dxa"/>
            <w:tcBorders>
              <w:top w:val="single" w:sz="4" w:space="0" w:color="auto"/>
              <w:left w:val="nil"/>
              <w:bottom w:val="single" w:sz="4" w:space="0" w:color="auto"/>
              <w:right w:val="single" w:sz="4" w:space="0" w:color="auto"/>
            </w:tcBorders>
            <w:vAlign w:val="center"/>
          </w:tcPr>
          <w:p w14:paraId="56C73ED8"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chalupa</w:t>
            </w:r>
          </w:p>
        </w:tc>
        <w:tc>
          <w:tcPr>
            <w:tcW w:w="2183" w:type="dxa"/>
            <w:tcBorders>
              <w:top w:val="single" w:sz="4" w:space="0" w:color="auto"/>
              <w:left w:val="single" w:sz="4" w:space="0" w:color="auto"/>
              <w:bottom w:val="single" w:sz="4" w:space="0" w:color="auto"/>
              <w:right w:val="single" w:sz="4" w:space="0" w:color="auto"/>
            </w:tcBorders>
            <w:vAlign w:val="center"/>
          </w:tcPr>
          <w:p w14:paraId="34C2C940"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2FAF5B7E"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2397" w:type="dxa"/>
            <w:tcBorders>
              <w:top w:val="single" w:sz="4" w:space="0" w:color="auto"/>
              <w:left w:val="single" w:sz="4" w:space="0" w:color="auto"/>
              <w:bottom w:val="single" w:sz="4" w:space="0" w:color="auto"/>
              <w:right w:val="nil"/>
            </w:tcBorders>
            <w:vAlign w:val="center"/>
          </w:tcPr>
          <w:p w14:paraId="7555AFEF"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26</w:t>
            </w:r>
          </w:p>
        </w:tc>
      </w:tr>
      <w:tr w:rsidR="002F3880" w:rsidRPr="006070EA" w14:paraId="1D1CE95A" w14:textId="77777777" w:rsidTr="00485315">
        <w:trPr>
          <w:trHeight w:val="227"/>
          <w:jc w:val="center"/>
        </w:trPr>
        <w:tc>
          <w:tcPr>
            <w:tcW w:w="2154" w:type="dxa"/>
            <w:tcBorders>
              <w:top w:val="single" w:sz="4" w:space="0" w:color="auto"/>
              <w:left w:val="nil"/>
              <w:bottom w:val="single" w:sz="4" w:space="0" w:color="auto"/>
              <w:right w:val="single" w:sz="4" w:space="0" w:color="auto"/>
            </w:tcBorders>
            <w:vAlign w:val="center"/>
          </w:tcPr>
          <w:p w14:paraId="2EFE4A38"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usedlost</w:t>
            </w:r>
          </w:p>
        </w:tc>
        <w:tc>
          <w:tcPr>
            <w:tcW w:w="2183" w:type="dxa"/>
            <w:tcBorders>
              <w:top w:val="single" w:sz="4" w:space="0" w:color="auto"/>
              <w:left w:val="single" w:sz="4" w:space="0" w:color="auto"/>
              <w:bottom w:val="single" w:sz="4" w:space="0" w:color="auto"/>
              <w:right w:val="single" w:sz="4" w:space="0" w:color="auto"/>
            </w:tcBorders>
            <w:vAlign w:val="center"/>
          </w:tcPr>
          <w:p w14:paraId="6C72104C"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6EE81829"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2397" w:type="dxa"/>
            <w:tcBorders>
              <w:top w:val="single" w:sz="4" w:space="0" w:color="auto"/>
              <w:left w:val="single" w:sz="4" w:space="0" w:color="auto"/>
              <w:bottom w:val="single" w:sz="4" w:space="0" w:color="auto"/>
              <w:right w:val="nil"/>
            </w:tcBorders>
            <w:vAlign w:val="center"/>
          </w:tcPr>
          <w:p w14:paraId="58F3D41B"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30</w:t>
            </w:r>
          </w:p>
        </w:tc>
      </w:tr>
      <w:tr w:rsidR="002F3880" w:rsidRPr="006070EA" w14:paraId="4E3789F3" w14:textId="77777777" w:rsidTr="00485315">
        <w:trPr>
          <w:trHeight w:val="227"/>
          <w:jc w:val="center"/>
        </w:trPr>
        <w:tc>
          <w:tcPr>
            <w:tcW w:w="2154" w:type="dxa"/>
            <w:tcBorders>
              <w:top w:val="single" w:sz="4" w:space="0" w:color="auto"/>
              <w:left w:val="nil"/>
              <w:bottom w:val="single" w:sz="4" w:space="0" w:color="auto"/>
              <w:right w:val="single" w:sz="4" w:space="0" w:color="auto"/>
            </w:tcBorders>
            <w:vAlign w:val="center"/>
          </w:tcPr>
          <w:p w14:paraId="7930D77E"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chalupa</w:t>
            </w:r>
          </w:p>
        </w:tc>
        <w:tc>
          <w:tcPr>
            <w:tcW w:w="2183" w:type="dxa"/>
            <w:tcBorders>
              <w:top w:val="single" w:sz="4" w:space="0" w:color="auto"/>
              <w:left w:val="single" w:sz="4" w:space="0" w:color="auto"/>
              <w:bottom w:val="single" w:sz="4" w:space="0" w:color="auto"/>
              <w:right w:val="single" w:sz="4" w:space="0" w:color="auto"/>
            </w:tcBorders>
            <w:vAlign w:val="center"/>
          </w:tcPr>
          <w:p w14:paraId="61C7E6A5"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4CE83B1B"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2397" w:type="dxa"/>
            <w:tcBorders>
              <w:top w:val="single" w:sz="4" w:space="0" w:color="auto"/>
              <w:left w:val="single" w:sz="4" w:space="0" w:color="auto"/>
              <w:bottom w:val="single" w:sz="4" w:space="0" w:color="auto"/>
              <w:right w:val="nil"/>
            </w:tcBorders>
            <w:vAlign w:val="center"/>
          </w:tcPr>
          <w:p w14:paraId="04305B9F"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34</w:t>
            </w:r>
          </w:p>
        </w:tc>
      </w:tr>
      <w:tr w:rsidR="002F3880" w:rsidRPr="006070EA" w14:paraId="5219FAD2" w14:textId="77777777" w:rsidTr="00485315">
        <w:trPr>
          <w:trHeight w:val="227"/>
          <w:jc w:val="center"/>
        </w:trPr>
        <w:tc>
          <w:tcPr>
            <w:tcW w:w="2154" w:type="dxa"/>
            <w:tcBorders>
              <w:top w:val="single" w:sz="4" w:space="0" w:color="auto"/>
              <w:left w:val="nil"/>
              <w:bottom w:val="single" w:sz="4" w:space="0" w:color="auto"/>
              <w:right w:val="single" w:sz="4" w:space="0" w:color="auto"/>
            </w:tcBorders>
            <w:vAlign w:val="center"/>
          </w:tcPr>
          <w:p w14:paraId="43B4090B"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chalupa</w:t>
            </w:r>
          </w:p>
        </w:tc>
        <w:tc>
          <w:tcPr>
            <w:tcW w:w="2183" w:type="dxa"/>
            <w:tcBorders>
              <w:top w:val="single" w:sz="4" w:space="0" w:color="auto"/>
              <w:left w:val="single" w:sz="4" w:space="0" w:color="auto"/>
              <w:bottom w:val="single" w:sz="4" w:space="0" w:color="auto"/>
              <w:right w:val="single" w:sz="4" w:space="0" w:color="auto"/>
            </w:tcBorders>
            <w:vAlign w:val="center"/>
          </w:tcPr>
          <w:p w14:paraId="6CCBB5B2"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5E067189"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2397" w:type="dxa"/>
            <w:tcBorders>
              <w:top w:val="single" w:sz="4" w:space="0" w:color="auto"/>
              <w:left w:val="single" w:sz="4" w:space="0" w:color="auto"/>
              <w:bottom w:val="single" w:sz="4" w:space="0" w:color="auto"/>
              <w:right w:val="nil"/>
            </w:tcBorders>
            <w:vAlign w:val="center"/>
          </w:tcPr>
          <w:p w14:paraId="383E88FC"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čp. 38</w:t>
            </w:r>
          </w:p>
        </w:tc>
      </w:tr>
      <w:tr w:rsidR="002F3880" w:rsidRPr="006070EA" w14:paraId="675ECBD9" w14:textId="77777777" w:rsidTr="00485315">
        <w:trPr>
          <w:trHeight w:val="227"/>
          <w:jc w:val="center"/>
        </w:trPr>
        <w:tc>
          <w:tcPr>
            <w:tcW w:w="2154" w:type="dxa"/>
            <w:tcBorders>
              <w:top w:val="single" w:sz="4" w:space="0" w:color="auto"/>
              <w:left w:val="nil"/>
              <w:bottom w:val="single" w:sz="4" w:space="0" w:color="auto"/>
              <w:right w:val="single" w:sz="4" w:space="0" w:color="auto"/>
            </w:tcBorders>
            <w:vAlign w:val="center"/>
          </w:tcPr>
          <w:p w14:paraId="49B82ADF"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kaple</w:t>
            </w:r>
          </w:p>
        </w:tc>
        <w:tc>
          <w:tcPr>
            <w:tcW w:w="2183" w:type="dxa"/>
            <w:tcBorders>
              <w:top w:val="single" w:sz="4" w:space="0" w:color="auto"/>
              <w:left w:val="single" w:sz="4" w:space="0" w:color="auto"/>
              <w:bottom w:val="single" w:sz="4" w:space="0" w:color="auto"/>
              <w:right w:val="single" w:sz="4" w:space="0" w:color="auto"/>
            </w:tcBorders>
            <w:vAlign w:val="center"/>
          </w:tcPr>
          <w:p w14:paraId="39518C06"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087581F3"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2397" w:type="dxa"/>
            <w:tcBorders>
              <w:top w:val="single" w:sz="4" w:space="0" w:color="auto"/>
              <w:left w:val="single" w:sz="4" w:space="0" w:color="auto"/>
              <w:bottom w:val="single" w:sz="4" w:space="0" w:color="auto"/>
              <w:right w:val="nil"/>
            </w:tcBorders>
            <w:vAlign w:val="center"/>
          </w:tcPr>
          <w:p w14:paraId="1F06EA7F"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střední část sídla</w:t>
            </w:r>
          </w:p>
        </w:tc>
      </w:tr>
      <w:tr w:rsidR="002F3880" w:rsidRPr="006070EA" w14:paraId="1CEC73A7" w14:textId="77777777" w:rsidTr="00485315">
        <w:trPr>
          <w:trHeight w:val="227"/>
          <w:jc w:val="center"/>
        </w:trPr>
        <w:tc>
          <w:tcPr>
            <w:tcW w:w="2154" w:type="dxa"/>
            <w:tcBorders>
              <w:top w:val="single" w:sz="4" w:space="0" w:color="auto"/>
              <w:left w:val="nil"/>
              <w:bottom w:val="single" w:sz="4" w:space="0" w:color="auto"/>
              <w:right w:val="single" w:sz="4" w:space="0" w:color="auto"/>
            </w:tcBorders>
            <w:vAlign w:val="center"/>
          </w:tcPr>
          <w:p w14:paraId="3ABF2923"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kříž</w:t>
            </w:r>
          </w:p>
        </w:tc>
        <w:tc>
          <w:tcPr>
            <w:tcW w:w="2183" w:type="dxa"/>
            <w:tcBorders>
              <w:top w:val="single" w:sz="4" w:space="0" w:color="auto"/>
              <w:left w:val="single" w:sz="4" w:space="0" w:color="auto"/>
              <w:bottom w:val="single" w:sz="4" w:space="0" w:color="auto"/>
              <w:right w:val="single" w:sz="4" w:space="0" w:color="auto"/>
            </w:tcBorders>
            <w:vAlign w:val="center"/>
          </w:tcPr>
          <w:p w14:paraId="5299ED5E"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památka</w:t>
            </w:r>
          </w:p>
        </w:tc>
        <w:tc>
          <w:tcPr>
            <w:tcW w:w="2330" w:type="dxa"/>
            <w:tcBorders>
              <w:top w:val="single" w:sz="4" w:space="0" w:color="auto"/>
              <w:left w:val="single" w:sz="4" w:space="0" w:color="auto"/>
              <w:bottom w:val="single" w:sz="4" w:space="0" w:color="auto"/>
              <w:right w:val="single" w:sz="4" w:space="0" w:color="auto"/>
            </w:tcBorders>
            <w:vAlign w:val="center"/>
          </w:tcPr>
          <w:p w14:paraId="76341E30"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2397" w:type="dxa"/>
            <w:tcBorders>
              <w:top w:val="single" w:sz="4" w:space="0" w:color="auto"/>
              <w:left w:val="single" w:sz="4" w:space="0" w:color="auto"/>
              <w:bottom w:val="single" w:sz="4" w:space="0" w:color="auto"/>
              <w:right w:val="nil"/>
            </w:tcBorders>
            <w:vAlign w:val="center"/>
          </w:tcPr>
          <w:p w14:paraId="48771EFC"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střední část sídla</w:t>
            </w:r>
          </w:p>
        </w:tc>
      </w:tr>
      <w:tr w:rsidR="002F3880" w:rsidRPr="006070EA" w14:paraId="6135694D" w14:textId="77777777" w:rsidTr="00485315">
        <w:trPr>
          <w:trHeight w:val="227"/>
          <w:jc w:val="center"/>
        </w:trPr>
        <w:tc>
          <w:tcPr>
            <w:tcW w:w="2154" w:type="dxa"/>
            <w:tcBorders>
              <w:top w:val="single" w:sz="4" w:space="0" w:color="auto"/>
              <w:left w:val="nil"/>
              <w:bottom w:val="single" w:sz="4" w:space="0" w:color="auto"/>
              <w:right w:val="single" w:sz="4" w:space="0" w:color="auto"/>
            </w:tcBorders>
            <w:vAlign w:val="center"/>
          </w:tcPr>
          <w:p w14:paraId="361D99CC"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zvonice</w:t>
            </w:r>
          </w:p>
        </w:tc>
        <w:tc>
          <w:tcPr>
            <w:tcW w:w="2183" w:type="dxa"/>
            <w:tcBorders>
              <w:top w:val="single" w:sz="4" w:space="0" w:color="auto"/>
              <w:left w:val="single" w:sz="4" w:space="0" w:color="auto"/>
              <w:bottom w:val="single" w:sz="4" w:space="0" w:color="auto"/>
              <w:right w:val="single" w:sz="4" w:space="0" w:color="auto"/>
            </w:tcBorders>
            <w:vAlign w:val="center"/>
          </w:tcPr>
          <w:p w14:paraId="28A1EF91"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stavba</w:t>
            </w:r>
          </w:p>
        </w:tc>
        <w:tc>
          <w:tcPr>
            <w:tcW w:w="2330" w:type="dxa"/>
            <w:tcBorders>
              <w:top w:val="single" w:sz="4" w:space="0" w:color="auto"/>
              <w:left w:val="single" w:sz="4" w:space="0" w:color="auto"/>
              <w:bottom w:val="single" w:sz="4" w:space="0" w:color="auto"/>
              <w:right w:val="single" w:sz="4" w:space="0" w:color="auto"/>
            </w:tcBorders>
            <w:vAlign w:val="center"/>
          </w:tcPr>
          <w:p w14:paraId="677059F3"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single" w:sz="4" w:space="0" w:color="auto"/>
              <w:right w:val="nil"/>
            </w:tcBorders>
            <w:vAlign w:val="center"/>
          </w:tcPr>
          <w:p w14:paraId="5C37BC08"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náves, st. č. 2</w:t>
            </w:r>
          </w:p>
        </w:tc>
      </w:tr>
      <w:tr w:rsidR="002F3880" w:rsidRPr="006070EA" w14:paraId="5A052427" w14:textId="77777777" w:rsidTr="00485315">
        <w:trPr>
          <w:trHeight w:val="227"/>
          <w:jc w:val="center"/>
        </w:trPr>
        <w:tc>
          <w:tcPr>
            <w:tcW w:w="2154" w:type="dxa"/>
            <w:tcBorders>
              <w:top w:val="single" w:sz="4" w:space="0" w:color="auto"/>
              <w:left w:val="nil"/>
              <w:bottom w:val="single" w:sz="4" w:space="0" w:color="auto"/>
              <w:right w:val="single" w:sz="4" w:space="0" w:color="auto"/>
            </w:tcBorders>
            <w:vAlign w:val="center"/>
          </w:tcPr>
          <w:p w14:paraId="5915AC7A"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terasa se schodišti a sochami</w:t>
            </w:r>
          </w:p>
        </w:tc>
        <w:tc>
          <w:tcPr>
            <w:tcW w:w="2183" w:type="dxa"/>
            <w:tcBorders>
              <w:top w:val="single" w:sz="4" w:space="0" w:color="auto"/>
              <w:left w:val="single" w:sz="4" w:space="0" w:color="auto"/>
              <w:bottom w:val="single" w:sz="4" w:space="0" w:color="auto"/>
              <w:right w:val="single" w:sz="4" w:space="0" w:color="auto"/>
            </w:tcBorders>
            <w:vAlign w:val="center"/>
          </w:tcPr>
          <w:p w14:paraId="2F86A7AD"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památka</w:t>
            </w:r>
          </w:p>
        </w:tc>
        <w:tc>
          <w:tcPr>
            <w:tcW w:w="2330" w:type="dxa"/>
            <w:tcBorders>
              <w:top w:val="single" w:sz="4" w:space="0" w:color="auto"/>
              <w:left w:val="single" w:sz="4" w:space="0" w:color="auto"/>
              <w:bottom w:val="single" w:sz="4" w:space="0" w:color="auto"/>
              <w:right w:val="single" w:sz="4" w:space="0" w:color="auto"/>
            </w:tcBorders>
            <w:vAlign w:val="center"/>
          </w:tcPr>
          <w:p w14:paraId="5BDB6C24"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single" w:sz="4" w:space="0" w:color="auto"/>
              <w:right w:val="nil"/>
            </w:tcBorders>
            <w:vAlign w:val="center"/>
          </w:tcPr>
          <w:p w14:paraId="0BD0882F"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náves (kostel)</w:t>
            </w:r>
          </w:p>
        </w:tc>
      </w:tr>
      <w:tr w:rsidR="002F3880" w:rsidRPr="006070EA" w14:paraId="707DD488" w14:textId="77777777" w:rsidTr="00485315">
        <w:trPr>
          <w:trHeight w:val="227"/>
          <w:jc w:val="center"/>
        </w:trPr>
        <w:tc>
          <w:tcPr>
            <w:tcW w:w="2154" w:type="dxa"/>
            <w:tcBorders>
              <w:top w:val="single" w:sz="4" w:space="0" w:color="auto"/>
              <w:left w:val="nil"/>
              <w:bottom w:val="nil"/>
              <w:right w:val="single" w:sz="4" w:space="0" w:color="auto"/>
            </w:tcBorders>
            <w:vAlign w:val="center"/>
          </w:tcPr>
          <w:p w14:paraId="1248C509"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Socha Ježíše salvátora</w:t>
            </w:r>
          </w:p>
        </w:tc>
        <w:tc>
          <w:tcPr>
            <w:tcW w:w="2183" w:type="dxa"/>
            <w:tcBorders>
              <w:top w:val="single" w:sz="4" w:space="0" w:color="auto"/>
              <w:left w:val="single" w:sz="4" w:space="0" w:color="auto"/>
              <w:bottom w:val="nil"/>
              <w:right w:val="single" w:sz="4" w:space="0" w:color="auto"/>
            </w:tcBorders>
            <w:vAlign w:val="center"/>
          </w:tcPr>
          <w:p w14:paraId="0CBBAE15"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historicky cenná památka</w:t>
            </w:r>
          </w:p>
        </w:tc>
        <w:tc>
          <w:tcPr>
            <w:tcW w:w="2330" w:type="dxa"/>
            <w:tcBorders>
              <w:top w:val="single" w:sz="4" w:space="0" w:color="auto"/>
              <w:left w:val="single" w:sz="4" w:space="0" w:color="auto"/>
              <w:bottom w:val="nil"/>
              <w:right w:val="single" w:sz="4" w:space="0" w:color="auto"/>
            </w:tcBorders>
            <w:vAlign w:val="center"/>
          </w:tcPr>
          <w:p w14:paraId="17121DDE"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2397" w:type="dxa"/>
            <w:tcBorders>
              <w:top w:val="single" w:sz="4" w:space="0" w:color="auto"/>
              <w:left w:val="single" w:sz="4" w:space="0" w:color="auto"/>
              <w:bottom w:val="nil"/>
              <w:right w:val="nil"/>
            </w:tcBorders>
            <w:vAlign w:val="center"/>
          </w:tcPr>
          <w:p w14:paraId="2D109701" w14:textId="77777777" w:rsidR="002F3880" w:rsidRPr="006070EA" w:rsidRDefault="002F3880" w:rsidP="000D222D">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náves (fara)</w:t>
            </w:r>
          </w:p>
        </w:tc>
      </w:tr>
    </w:tbl>
    <w:p w14:paraId="08DB5980" w14:textId="77777777" w:rsidR="002F3880" w:rsidRPr="006070EA" w:rsidRDefault="002F3880" w:rsidP="002F3880">
      <w:pPr>
        <w:pStyle w:val="Atext"/>
        <w:rPr>
          <w:rFonts w:asciiTheme="majorHAnsi" w:hAnsiTheme="majorHAnsi" w:cstheme="majorHAnsi"/>
          <w:color w:val="000000"/>
          <w:szCs w:val="18"/>
        </w:rPr>
      </w:pPr>
      <w:r w:rsidRPr="006070EA">
        <w:rPr>
          <w:rFonts w:asciiTheme="majorHAnsi" w:hAnsiTheme="majorHAnsi" w:cstheme="majorHAnsi"/>
          <w:color w:val="000000"/>
          <w:szCs w:val="18"/>
          <w:u w:val="single"/>
        </w:rPr>
        <w:t>Urbanistické hodnoty</w:t>
      </w:r>
      <w:r w:rsidRPr="006070EA">
        <w:rPr>
          <w:rFonts w:asciiTheme="majorHAnsi" w:hAnsiTheme="majorHAnsi" w:cstheme="majorHAnsi"/>
          <w:color w:val="000000"/>
          <w:szCs w:val="18"/>
        </w:rPr>
        <w:t xml:space="preserve"> (soubory objektů, jádra sídel):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54"/>
        <w:gridCol w:w="4252"/>
        <w:gridCol w:w="1155"/>
        <w:gridCol w:w="1509"/>
      </w:tblGrid>
      <w:tr w:rsidR="002F3880" w:rsidRPr="006070EA" w14:paraId="5BF28A80" w14:textId="77777777" w:rsidTr="000D222D">
        <w:trPr>
          <w:cantSplit/>
          <w:trHeight w:val="283"/>
          <w:tblHeader/>
          <w:jc w:val="center"/>
        </w:trPr>
        <w:tc>
          <w:tcPr>
            <w:tcW w:w="2154" w:type="dxa"/>
            <w:tcBorders>
              <w:top w:val="nil"/>
              <w:left w:val="nil"/>
              <w:bottom w:val="single" w:sz="12" w:space="0" w:color="auto"/>
              <w:right w:val="single" w:sz="12" w:space="0" w:color="auto"/>
            </w:tcBorders>
            <w:vAlign w:val="center"/>
            <w:hideMark/>
          </w:tcPr>
          <w:p w14:paraId="62053C38" w14:textId="77777777" w:rsidR="002F3880" w:rsidRPr="006070EA" w:rsidRDefault="002F3880" w:rsidP="000E35EE">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název objektu</w:t>
            </w:r>
          </w:p>
        </w:tc>
        <w:tc>
          <w:tcPr>
            <w:tcW w:w="4252" w:type="dxa"/>
            <w:tcBorders>
              <w:top w:val="nil"/>
              <w:left w:val="single" w:sz="12" w:space="0" w:color="auto"/>
              <w:bottom w:val="single" w:sz="12" w:space="0" w:color="auto"/>
              <w:right w:val="single" w:sz="12" w:space="0" w:color="auto"/>
            </w:tcBorders>
            <w:vAlign w:val="center"/>
            <w:hideMark/>
          </w:tcPr>
          <w:p w14:paraId="7DE41D70" w14:textId="77777777" w:rsidR="002F3880" w:rsidRPr="006070EA" w:rsidRDefault="002F3880" w:rsidP="000E35EE">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popis</w:t>
            </w:r>
          </w:p>
        </w:tc>
        <w:tc>
          <w:tcPr>
            <w:tcW w:w="1155" w:type="dxa"/>
            <w:tcBorders>
              <w:top w:val="nil"/>
              <w:left w:val="single" w:sz="12" w:space="0" w:color="auto"/>
              <w:bottom w:val="single" w:sz="12" w:space="0" w:color="auto"/>
              <w:right w:val="single" w:sz="12" w:space="0" w:color="auto"/>
            </w:tcBorders>
            <w:vAlign w:val="center"/>
          </w:tcPr>
          <w:p w14:paraId="334A3D83" w14:textId="77777777" w:rsidR="002F3880" w:rsidRPr="006070EA" w:rsidRDefault="002F3880" w:rsidP="000E35EE">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sídlo</w:t>
            </w:r>
          </w:p>
        </w:tc>
        <w:tc>
          <w:tcPr>
            <w:tcW w:w="0" w:type="auto"/>
            <w:tcBorders>
              <w:top w:val="nil"/>
              <w:left w:val="single" w:sz="12" w:space="0" w:color="auto"/>
              <w:bottom w:val="single" w:sz="12" w:space="0" w:color="auto"/>
              <w:right w:val="nil"/>
            </w:tcBorders>
            <w:vAlign w:val="center"/>
            <w:hideMark/>
          </w:tcPr>
          <w:p w14:paraId="42268CC0" w14:textId="77777777" w:rsidR="002F3880" w:rsidRPr="006070EA" w:rsidRDefault="002F3880" w:rsidP="000E35EE">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ulice, nám. / umístění</w:t>
            </w:r>
          </w:p>
        </w:tc>
      </w:tr>
      <w:tr w:rsidR="002F3880" w:rsidRPr="006070EA" w14:paraId="322DBE7A" w14:textId="77777777" w:rsidTr="000D222D">
        <w:trPr>
          <w:trHeight w:val="283"/>
          <w:jc w:val="center"/>
        </w:trPr>
        <w:tc>
          <w:tcPr>
            <w:tcW w:w="2154" w:type="dxa"/>
            <w:tcBorders>
              <w:top w:val="single" w:sz="12" w:space="0" w:color="auto"/>
              <w:left w:val="nil"/>
              <w:bottom w:val="single" w:sz="4" w:space="0" w:color="auto"/>
              <w:right w:val="single" w:sz="4" w:space="0" w:color="auto"/>
            </w:tcBorders>
            <w:vAlign w:val="center"/>
          </w:tcPr>
          <w:p w14:paraId="02B827CC" w14:textId="77777777" w:rsidR="002F3880" w:rsidRPr="006070EA" w:rsidRDefault="002F3880" w:rsidP="000E35E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Struktura sídla</w:t>
            </w:r>
          </w:p>
        </w:tc>
        <w:tc>
          <w:tcPr>
            <w:tcW w:w="4252" w:type="dxa"/>
            <w:tcBorders>
              <w:top w:val="single" w:sz="12" w:space="0" w:color="auto"/>
              <w:left w:val="single" w:sz="4" w:space="0" w:color="auto"/>
              <w:bottom w:val="single" w:sz="4" w:space="0" w:color="auto"/>
              <w:right w:val="single" w:sz="4" w:space="0" w:color="auto"/>
            </w:tcBorders>
            <w:vAlign w:val="center"/>
          </w:tcPr>
          <w:p w14:paraId="6DDB61AC" w14:textId="77777777" w:rsidR="002F3880" w:rsidRPr="006070EA" w:rsidRDefault="002F3880" w:rsidP="000E35E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shd w:val="clear" w:color="auto" w:fill="FFFFFF"/>
                <w:lang w:val="cs-CZ"/>
              </w:rPr>
              <w:t>Vesnice je typická svou kruhovitou</w:t>
            </w:r>
            <w:r w:rsidRPr="006070EA">
              <w:rPr>
                <w:rStyle w:val="apple-converted-space"/>
                <w:rFonts w:asciiTheme="majorHAnsi" w:hAnsiTheme="majorHAnsi" w:cstheme="majorHAnsi"/>
                <w:color w:val="000000"/>
                <w:szCs w:val="18"/>
                <w:shd w:val="clear" w:color="auto" w:fill="FFFFFF"/>
                <w:lang w:val="cs-CZ"/>
              </w:rPr>
              <w:t> </w:t>
            </w:r>
            <w:hyperlink r:id="rId26" w:tooltip="Náves" w:history="1">
              <w:r w:rsidRPr="006070EA">
                <w:rPr>
                  <w:rStyle w:val="Hypertextovodkaz"/>
                  <w:rFonts w:asciiTheme="majorHAnsi" w:hAnsiTheme="majorHAnsi" w:cstheme="majorHAnsi"/>
                  <w:color w:val="000000"/>
                  <w:szCs w:val="18"/>
                  <w:shd w:val="clear" w:color="auto" w:fill="FFFFFF"/>
                  <w:lang w:val="cs-CZ"/>
                </w:rPr>
                <w:t>návsí</w:t>
              </w:r>
            </w:hyperlink>
            <w:r w:rsidRPr="006070EA">
              <w:rPr>
                <w:rStyle w:val="apple-converted-space"/>
                <w:rFonts w:asciiTheme="majorHAnsi" w:hAnsiTheme="majorHAnsi" w:cstheme="majorHAnsi"/>
                <w:color w:val="000000"/>
                <w:szCs w:val="18"/>
                <w:shd w:val="clear" w:color="auto" w:fill="FFFFFF"/>
                <w:lang w:val="cs-CZ"/>
              </w:rPr>
              <w:t> </w:t>
            </w:r>
            <w:r w:rsidRPr="006070EA">
              <w:rPr>
                <w:rFonts w:asciiTheme="majorHAnsi" w:hAnsiTheme="majorHAnsi" w:cstheme="majorHAnsi"/>
                <w:color w:val="000000"/>
                <w:szCs w:val="18"/>
                <w:shd w:val="clear" w:color="auto" w:fill="FFFFFF"/>
                <w:lang w:val="cs-CZ"/>
              </w:rPr>
              <w:t>– tzv.</w:t>
            </w:r>
            <w:r w:rsidRPr="006070EA">
              <w:rPr>
                <w:rStyle w:val="apple-converted-space"/>
                <w:rFonts w:asciiTheme="majorHAnsi" w:hAnsiTheme="majorHAnsi" w:cstheme="majorHAnsi"/>
                <w:color w:val="000000"/>
                <w:szCs w:val="18"/>
                <w:shd w:val="clear" w:color="auto" w:fill="FFFFFF"/>
                <w:lang w:val="cs-CZ"/>
              </w:rPr>
              <w:t> </w:t>
            </w:r>
            <w:hyperlink r:id="rId27" w:tooltip="Okrouhlice" w:history="1">
              <w:r w:rsidRPr="006070EA">
                <w:rPr>
                  <w:rStyle w:val="Hypertextovodkaz"/>
                  <w:rFonts w:asciiTheme="majorHAnsi" w:hAnsiTheme="majorHAnsi" w:cstheme="majorHAnsi"/>
                  <w:color w:val="000000"/>
                  <w:szCs w:val="18"/>
                  <w:shd w:val="clear" w:color="auto" w:fill="FFFFFF"/>
                  <w:lang w:val="cs-CZ"/>
                </w:rPr>
                <w:t>okrouhlice</w:t>
              </w:r>
            </w:hyperlink>
            <w:r w:rsidRPr="006070EA">
              <w:rPr>
                <w:rFonts w:asciiTheme="majorHAnsi" w:hAnsiTheme="majorHAnsi" w:cstheme="majorHAnsi"/>
                <w:color w:val="000000"/>
                <w:szCs w:val="18"/>
                <w:lang w:val="cs-CZ"/>
              </w:rPr>
              <w:t xml:space="preserve"> a uspořádáním historické zástavby</w:t>
            </w:r>
          </w:p>
        </w:tc>
        <w:tc>
          <w:tcPr>
            <w:tcW w:w="1155" w:type="dxa"/>
            <w:tcBorders>
              <w:top w:val="single" w:sz="12" w:space="0" w:color="auto"/>
              <w:left w:val="single" w:sz="4" w:space="0" w:color="auto"/>
              <w:bottom w:val="single" w:sz="4" w:space="0" w:color="auto"/>
              <w:right w:val="single" w:sz="4" w:space="0" w:color="auto"/>
            </w:tcBorders>
            <w:vAlign w:val="center"/>
          </w:tcPr>
          <w:p w14:paraId="143EF5E8" w14:textId="77777777" w:rsidR="002F3880" w:rsidRPr="006070EA" w:rsidRDefault="002F3880" w:rsidP="000E35E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Vápensko</w:t>
            </w:r>
          </w:p>
        </w:tc>
        <w:tc>
          <w:tcPr>
            <w:tcW w:w="0" w:type="auto"/>
            <w:tcBorders>
              <w:top w:val="single" w:sz="12" w:space="0" w:color="auto"/>
              <w:left w:val="single" w:sz="4" w:space="0" w:color="auto"/>
              <w:bottom w:val="single" w:sz="4" w:space="0" w:color="auto"/>
              <w:right w:val="nil"/>
            </w:tcBorders>
            <w:vAlign w:val="center"/>
          </w:tcPr>
          <w:p w14:paraId="4E6C7768" w14:textId="77777777" w:rsidR="002F3880" w:rsidRPr="006070EA" w:rsidRDefault="002F3880" w:rsidP="000E35E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celé sídlo</w:t>
            </w:r>
          </w:p>
        </w:tc>
      </w:tr>
      <w:tr w:rsidR="002F3880" w:rsidRPr="006070EA" w14:paraId="23DCFBF4" w14:textId="77777777" w:rsidTr="000D222D">
        <w:trPr>
          <w:trHeight w:val="283"/>
          <w:jc w:val="center"/>
        </w:trPr>
        <w:tc>
          <w:tcPr>
            <w:tcW w:w="2154" w:type="dxa"/>
            <w:tcBorders>
              <w:top w:val="single" w:sz="4" w:space="0" w:color="auto"/>
              <w:left w:val="nil"/>
              <w:bottom w:val="nil"/>
              <w:right w:val="single" w:sz="4" w:space="0" w:color="auto"/>
            </w:tcBorders>
            <w:vAlign w:val="center"/>
          </w:tcPr>
          <w:p w14:paraId="1FF1252A" w14:textId="77777777" w:rsidR="002F3880" w:rsidRPr="006070EA" w:rsidRDefault="002F3880" w:rsidP="000E35E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struktura sídla</w:t>
            </w:r>
          </w:p>
        </w:tc>
        <w:tc>
          <w:tcPr>
            <w:tcW w:w="4252" w:type="dxa"/>
            <w:tcBorders>
              <w:top w:val="single" w:sz="4" w:space="0" w:color="auto"/>
              <w:left w:val="single" w:sz="4" w:space="0" w:color="auto"/>
              <w:bottom w:val="nil"/>
              <w:right w:val="single" w:sz="4" w:space="0" w:color="auto"/>
            </w:tcBorders>
            <w:vAlign w:val="center"/>
          </w:tcPr>
          <w:p w14:paraId="012B83BE" w14:textId="77777777" w:rsidR="002F3880" w:rsidRPr="006070EA" w:rsidRDefault="002F3880" w:rsidP="000E35EE">
            <w:pPr>
              <w:pStyle w:val="Bezmezer"/>
              <w:jc w:val="center"/>
              <w:rPr>
                <w:rFonts w:asciiTheme="majorHAnsi" w:hAnsiTheme="majorHAnsi" w:cstheme="majorHAnsi"/>
                <w:color w:val="000000"/>
                <w:szCs w:val="18"/>
                <w:shd w:val="clear" w:color="auto" w:fill="FFFFFF"/>
                <w:lang w:val="cs-CZ"/>
              </w:rPr>
            </w:pPr>
            <w:r w:rsidRPr="006070EA">
              <w:rPr>
                <w:rFonts w:asciiTheme="majorHAnsi" w:hAnsiTheme="majorHAnsi" w:cstheme="majorHAnsi"/>
                <w:color w:val="000000"/>
                <w:szCs w:val="18"/>
                <w:shd w:val="clear" w:color="auto" w:fill="FFFFFF"/>
                <w:lang w:val="cs-CZ"/>
              </w:rPr>
              <w:t>vesnice je typická svým ulicovým půdorysem</w:t>
            </w:r>
          </w:p>
        </w:tc>
        <w:tc>
          <w:tcPr>
            <w:tcW w:w="1155" w:type="dxa"/>
            <w:tcBorders>
              <w:top w:val="single" w:sz="4" w:space="0" w:color="auto"/>
              <w:left w:val="single" w:sz="4" w:space="0" w:color="auto"/>
              <w:bottom w:val="nil"/>
              <w:right w:val="single" w:sz="4" w:space="0" w:color="auto"/>
            </w:tcBorders>
            <w:vAlign w:val="center"/>
          </w:tcPr>
          <w:p w14:paraId="7D69CE6F" w14:textId="77777777" w:rsidR="002F3880" w:rsidRPr="006070EA" w:rsidRDefault="002F3880" w:rsidP="000E35E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Lány</w:t>
            </w:r>
          </w:p>
        </w:tc>
        <w:tc>
          <w:tcPr>
            <w:tcW w:w="0" w:type="auto"/>
            <w:tcBorders>
              <w:top w:val="single" w:sz="4" w:space="0" w:color="auto"/>
              <w:left w:val="single" w:sz="4" w:space="0" w:color="auto"/>
              <w:bottom w:val="nil"/>
              <w:right w:val="nil"/>
            </w:tcBorders>
            <w:vAlign w:val="center"/>
          </w:tcPr>
          <w:p w14:paraId="5F21844A" w14:textId="77777777" w:rsidR="002F3880" w:rsidRPr="006070EA" w:rsidRDefault="002F3880" w:rsidP="000E35E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celé sídlo</w:t>
            </w:r>
          </w:p>
        </w:tc>
      </w:tr>
    </w:tbl>
    <w:p w14:paraId="5F6BF13B" w14:textId="77777777" w:rsidR="002F3880" w:rsidRPr="006070EA" w:rsidRDefault="002F3880" w:rsidP="002F3880">
      <w:pPr>
        <w:pStyle w:val="Atext"/>
        <w:rPr>
          <w:rFonts w:asciiTheme="majorHAnsi" w:hAnsiTheme="majorHAnsi" w:cstheme="majorHAnsi"/>
          <w:szCs w:val="18"/>
        </w:rPr>
      </w:pPr>
      <w:r w:rsidRPr="006070EA">
        <w:rPr>
          <w:rFonts w:asciiTheme="majorHAnsi" w:hAnsiTheme="majorHAnsi" w:cstheme="majorHAnsi"/>
          <w:color w:val="000000"/>
          <w:szCs w:val="18"/>
        </w:rPr>
        <w:t xml:space="preserve">Významnými hodnotami v území jsou dále celý systém veřejných prostranství, historicky utvářený a do značné míry </w:t>
      </w:r>
      <w:r w:rsidRPr="006070EA">
        <w:rPr>
          <w:rFonts w:asciiTheme="majorHAnsi" w:hAnsiTheme="majorHAnsi" w:cstheme="majorHAnsi"/>
          <w:szCs w:val="18"/>
        </w:rPr>
        <w:t>dochovaný ve stávajících komunikacích, obslužných cestách, pěších a cyklistických trasách nebo polních a lesních cestách.</w:t>
      </w:r>
    </w:p>
    <w:p w14:paraId="3CB698F7" w14:textId="77777777" w:rsidR="00860EB3" w:rsidRPr="006070EA" w:rsidRDefault="00860EB3" w:rsidP="00860EB3">
      <w:pPr>
        <w:pStyle w:val="Atext"/>
        <w:rPr>
          <w:rFonts w:asciiTheme="majorHAnsi" w:hAnsiTheme="majorHAnsi" w:cstheme="majorHAnsi"/>
          <w:szCs w:val="18"/>
        </w:rPr>
      </w:pPr>
      <w:r w:rsidRPr="006070EA">
        <w:rPr>
          <w:rFonts w:asciiTheme="majorHAnsi" w:hAnsiTheme="majorHAnsi" w:cstheme="majorHAnsi"/>
          <w:szCs w:val="18"/>
        </w:rPr>
        <w:t>Mimo hodnoty chráněné dle zákona o státní památkové péči byly v řešeném území identifikovány další hodnoty urbanistické, architektonické a kulturní, které územní plán ve stanovené rozvojové koncepci chrání, zejm. zejména stanovením podmínek plošného a prostorového uspořádání v území.</w:t>
      </w:r>
    </w:p>
    <w:p w14:paraId="36576170" w14:textId="77777777" w:rsidR="00D94D41" w:rsidRPr="006070EA" w:rsidRDefault="00D94D41" w:rsidP="00D94D41">
      <w:pPr>
        <w:spacing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V řešeném území se dále nacházejí objekty volně rozptýlené v krajině, které nepodléhají režimu památkové ochrany, jedná se však o objekty s historickou, uměleckou či obecně kulturní hodnotou. Tyto si zaslouží zvýšenou pozornost a</w:t>
      </w:r>
      <w:r w:rsidR="00860EB3" w:rsidRPr="006070EA">
        <w:rPr>
          <w:rFonts w:asciiTheme="majorHAnsi" w:hAnsiTheme="majorHAnsi" w:cstheme="majorHAnsi"/>
          <w:sz w:val="18"/>
          <w:szCs w:val="18"/>
        </w:rPr>
        <w:t> </w:t>
      </w:r>
      <w:r w:rsidRPr="006070EA">
        <w:rPr>
          <w:rFonts w:asciiTheme="majorHAnsi" w:hAnsiTheme="majorHAnsi" w:cstheme="majorHAnsi"/>
          <w:sz w:val="18"/>
          <w:szCs w:val="18"/>
        </w:rPr>
        <w:t>mohou být nazývány památkami místního významu. Jedná se zejména o boží muka, smírčí kříže, objekty lidové architektury apod. Navrhovaná koncepce respektuje a chrání také kulturní krajinu a její dochované části (historické cesty, stromořadí, průhledové osy apod.).</w:t>
      </w:r>
    </w:p>
    <w:p w14:paraId="27F56400" w14:textId="46EE4F7D" w:rsidR="005A5F53" w:rsidRPr="006070EA" w:rsidRDefault="00D94D41" w:rsidP="009E07E1">
      <w:pPr>
        <w:pStyle w:val="Anadpistun"/>
        <w:keepNext w:val="0"/>
        <w:keepLines w:val="0"/>
        <w:ind w:firstLine="709"/>
        <w:rPr>
          <w:rFonts w:asciiTheme="majorHAnsi" w:hAnsiTheme="majorHAnsi" w:cstheme="majorHAnsi"/>
          <w:b w:val="0"/>
        </w:rPr>
      </w:pPr>
      <w:r w:rsidRPr="006070EA">
        <w:rPr>
          <w:rFonts w:asciiTheme="majorHAnsi" w:hAnsiTheme="majorHAnsi" w:cstheme="majorHAnsi"/>
          <w:b w:val="0"/>
        </w:rPr>
        <w:lastRenderedPageBreak/>
        <w:t>Dochovaná</w:t>
      </w:r>
      <w:r w:rsidR="000D222D" w:rsidRPr="006070EA">
        <w:rPr>
          <w:rFonts w:asciiTheme="majorHAnsi" w:hAnsiTheme="majorHAnsi" w:cstheme="majorHAnsi"/>
          <w:b w:val="0"/>
        </w:rPr>
        <w:t xml:space="preserve"> </w:t>
      </w:r>
      <w:r w:rsidR="005A5F53" w:rsidRPr="006070EA">
        <w:rPr>
          <w:rFonts w:asciiTheme="majorHAnsi" w:hAnsiTheme="majorHAnsi" w:cstheme="majorHAnsi"/>
          <w:b w:val="0"/>
        </w:rPr>
        <w:t xml:space="preserve">urbanistická struktura </w:t>
      </w:r>
      <w:r w:rsidR="000D222D" w:rsidRPr="006070EA">
        <w:rPr>
          <w:rFonts w:asciiTheme="majorHAnsi" w:hAnsiTheme="majorHAnsi" w:cstheme="majorHAnsi"/>
          <w:b w:val="0"/>
        </w:rPr>
        <w:t xml:space="preserve">sídel v území </w:t>
      </w:r>
      <w:r w:rsidR="005A5F53" w:rsidRPr="006070EA">
        <w:rPr>
          <w:rFonts w:asciiTheme="majorHAnsi" w:hAnsiTheme="majorHAnsi" w:cstheme="majorHAnsi"/>
          <w:b w:val="0"/>
        </w:rPr>
        <w:t>je dědictvím a dokladem historického vývoje území. Důvodem pro její respektování a udržení je potřeba kontinuálního vývoje sídla se zohledněním a návazností na v minulosti již vytvořen</w:t>
      </w:r>
      <w:r w:rsidR="000D222D" w:rsidRPr="006070EA">
        <w:rPr>
          <w:rFonts w:asciiTheme="majorHAnsi" w:hAnsiTheme="majorHAnsi" w:cstheme="majorHAnsi"/>
          <w:b w:val="0"/>
        </w:rPr>
        <w:t>ých</w:t>
      </w:r>
      <w:r w:rsidR="005A5F53" w:rsidRPr="006070EA">
        <w:rPr>
          <w:rFonts w:asciiTheme="majorHAnsi" w:hAnsiTheme="majorHAnsi" w:cstheme="majorHAnsi"/>
          <w:b w:val="0"/>
        </w:rPr>
        <w:t xml:space="preserve"> urbanistick</w:t>
      </w:r>
      <w:r w:rsidR="000D222D" w:rsidRPr="006070EA">
        <w:rPr>
          <w:rFonts w:asciiTheme="majorHAnsi" w:hAnsiTheme="majorHAnsi" w:cstheme="majorHAnsi"/>
          <w:b w:val="0"/>
        </w:rPr>
        <w:t>ých</w:t>
      </w:r>
      <w:r w:rsidR="005A5F53" w:rsidRPr="006070EA">
        <w:rPr>
          <w:rFonts w:asciiTheme="majorHAnsi" w:hAnsiTheme="majorHAnsi" w:cstheme="majorHAnsi"/>
          <w:b w:val="0"/>
        </w:rPr>
        <w:t xml:space="preserve"> struktur.</w:t>
      </w:r>
    </w:p>
    <w:p w14:paraId="0C0A23CD" w14:textId="23D0B4CB" w:rsidR="005A5F53" w:rsidRPr="006070EA" w:rsidRDefault="005A5F53" w:rsidP="009E07E1">
      <w:pPr>
        <w:pStyle w:val="Anadpistun"/>
        <w:keepNext w:val="0"/>
        <w:keepLines w:val="0"/>
        <w:ind w:firstLine="709"/>
        <w:rPr>
          <w:rFonts w:asciiTheme="majorHAnsi" w:hAnsiTheme="majorHAnsi" w:cstheme="majorHAnsi"/>
          <w:b w:val="0"/>
        </w:rPr>
      </w:pPr>
      <w:r w:rsidRPr="006070EA">
        <w:rPr>
          <w:rFonts w:asciiTheme="majorHAnsi" w:hAnsiTheme="majorHAnsi" w:cstheme="majorHAnsi"/>
          <w:b w:val="0"/>
        </w:rPr>
        <w:t>Veřejná prostranství definují strukturu sídel – podél nich se rozvíjela zástavba, trasy pak vedly dále do volné krajiny a</w:t>
      </w:r>
      <w:r w:rsidR="00485315" w:rsidRPr="006070EA">
        <w:rPr>
          <w:rFonts w:asciiTheme="majorHAnsi" w:hAnsiTheme="majorHAnsi" w:cstheme="majorHAnsi"/>
          <w:b w:val="0"/>
        </w:rPr>
        <w:t> </w:t>
      </w:r>
      <w:r w:rsidRPr="006070EA">
        <w:rPr>
          <w:rFonts w:asciiTheme="majorHAnsi" w:hAnsiTheme="majorHAnsi" w:cstheme="majorHAnsi"/>
          <w:b w:val="0"/>
        </w:rPr>
        <w:t>zprostředkovaly propojení sídel. Struktura veřejných prostranství na území měst a obcí byla definována dříve než dochovaná nejstarší zástavba v území. Je taktéž dokladem historického vývoje sídelní a urbanistické struktury, proto je nezbytné ji chránit a rozvíjet a chránit před zastavěním.</w:t>
      </w:r>
    </w:p>
    <w:p w14:paraId="7C0C341B" w14:textId="669F75C1" w:rsidR="0057571C" w:rsidRPr="006070EA" w:rsidRDefault="0057571C" w:rsidP="009E07E1">
      <w:pPr>
        <w:pStyle w:val="Mra2-reakceern"/>
        <w:pBdr>
          <w:left w:val="none" w:sz="0" w:space="0" w:color="auto"/>
        </w:pBdr>
        <w:spacing w:before="120" w:after="60"/>
        <w:ind w:left="0"/>
        <w:jc w:val="right"/>
        <w:rPr>
          <w:rFonts w:asciiTheme="majorHAnsi" w:hAnsiTheme="majorHAnsi" w:cstheme="majorHAnsi"/>
          <w:i/>
          <w:color w:val="auto"/>
          <w:u w:val="single"/>
        </w:rPr>
      </w:pPr>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w:t>
      </w:r>
      <w:r w:rsidR="00031996" w:rsidRPr="006070EA">
        <w:rPr>
          <w:rFonts w:asciiTheme="majorHAnsi" w:hAnsiTheme="majorHAnsi" w:cstheme="majorHAnsi"/>
          <w:b/>
          <w:i/>
          <w:color w:val="auto"/>
          <w:u w:val="single"/>
        </w:rPr>
        <w:t>5</w:t>
      </w:r>
      <w:r w:rsidRPr="006070EA">
        <w:rPr>
          <w:rFonts w:asciiTheme="majorHAnsi" w:hAnsiTheme="majorHAnsi" w:cstheme="majorHAnsi"/>
          <w:b/>
          <w:i/>
          <w:color w:val="auto"/>
          <w:u w:val="single"/>
        </w:rPr>
        <w:t>)</w:t>
      </w:r>
      <w:r w:rsidRPr="006070EA">
        <w:rPr>
          <w:rFonts w:asciiTheme="majorHAnsi" w:hAnsiTheme="majorHAnsi" w:cstheme="majorHAnsi"/>
          <w:i/>
          <w:color w:val="auto"/>
          <w:u w:val="single"/>
        </w:rPr>
        <w:t xml:space="preserve"> výrokové části</w:t>
      </w:r>
    </w:p>
    <w:p w14:paraId="7B37D855" w14:textId="77777777" w:rsidR="004254E6" w:rsidRPr="006070EA" w:rsidRDefault="004254E6" w:rsidP="009E07E1">
      <w:pPr>
        <w:spacing w:before="120" w:after="120" w:line="240" w:lineRule="auto"/>
        <w:rPr>
          <w:rFonts w:asciiTheme="majorHAnsi" w:hAnsiTheme="majorHAnsi" w:cstheme="majorHAnsi"/>
          <w:b/>
          <w:sz w:val="18"/>
          <w:szCs w:val="20"/>
          <w:u w:val="single"/>
        </w:rPr>
      </w:pPr>
      <w:r w:rsidRPr="006070EA">
        <w:rPr>
          <w:rFonts w:asciiTheme="majorHAnsi" w:hAnsiTheme="majorHAnsi" w:cstheme="majorHAnsi"/>
          <w:b/>
          <w:sz w:val="18"/>
          <w:szCs w:val="20"/>
          <w:u w:val="single"/>
        </w:rPr>
        <w:t xml:space="preserve">Ochrana </w:t>
      </w:r>
      <w:bookmarkEnd w:id="275"/>
      <w:r w:rsidR="0046613A" w:rsidRPr="006070EA">
        <w:rPr>
          <w:rFonts w:asciiTheme="majorHAnsi" w:hAnsiTheme="majorHAnsi" w:cstheme="majorHAnsi"/>
          <w:b/>
          <w:sz w:val="18"/>
          <w:szCs w:val="20"/>
          <w:u w:val="single"/>
        </w:rPr>
        <w:t>přírodních hodnot a zdrojů</w:t>
      </w:r>
    </w:p>
    <w:p w14:paraId="28731DB5" w14:textId="77777777" w:rsidR="00B42759" w:rsidRPr="006070EA" w:rsidRDefault="00B42759" w:rsidP="009E07E1">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Ochrana přírody a krajiny a přírodních hodnot obecně vyplývá již z Ústavy České republiky. Článek 7 stanovuje, že: „</w:t>
      </w:r>
      <w:r w:rsidRPr="006070EA">
        <w:rPr>
          <w:rFonts w:asciiTheme="majorHAnsi" w:hAnsiTheme="majorHAnsi" w:cstheme="majorHAnsi"/>
          <w:i/>
          <w:sz w:val="18"/>
          <w:szCs w:val="18"/>
        </w:rPr>
        <w:t>Stát dbá o šetrné využívání přírodních zdrojů a ochranu přírodního bohatství.“</w:t>
      </w:r>
      <w:r w:rsidRPr="006070EA">
        <w:rPr>
          <w:rFonts w:asciiTheme="majorHAnsi" w:hAnsiTheme="majorHAnsi" w:cstheme="majorHAnsi"/>
          <w:sz w:val="18"/>
          <w:szCs w:val="18"/>
        </w:rPr>
        <w:t xml:space="preserve"> Tato zásada tedy stanovuje ochranu přírody a</w:t>
      </w:r>
      <w:r w:rsidR="00BC0CD5" w:rsidRPr="006070EA">
        <w:rPr>
          <w:rFonts w:asciiTheme="majorHAnsi" w:hAnsiTheme="majorHAnsi" w:cstheme="majorHAnsi"/>
          <w:sz w:val="18"/>
          <w:szCs w:val="18"/>
        </w:rPr>
        <w:t> </w:t>
      </w:r>
      <w:r w:rsidRPr="006070EA">
        <w:rPr>
          <w:rFonts w:asciiTheme="majorHAnsi" w:hAnsiTheme="majorHAnsi" w:cstheme="majorHAnsi"/>
          <w:sz w:val="18"/>
          <w:szCs w:val="18"/>
        </w:rPr>
        <w:t>krajiny za jeden z obecných veřejných zájmů.</w:t>
      </w:r>
    </w:p>
    <w:p w14:paraId="634760B9" w14:textId="77777777" w:rsidR="004254E6" w:rsidRPr="006070EA" w:rsidRDefault="004254E6" w:rsidP="009E07E1">
      <w:pPr>
        <w:spacing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Územní ochrana je zakotvena v zákoně č. 114/1992 Sb., zákon o ochraně přírody a krajiny, ve znění pozdějších předpisů (dále také „zákon o ochraně přírody a krajiny“), a jeho prováděcích vyhláškách č. 395/1992 Sb. a 60/2008 Sb.</w:t>
      </w:r>
      <w:r w:rsidR="00B42759" w:rsidRPr="006070EA">
        <w:rPr>
          <w:rFonts w:asciiTheme="majorHAnsi" w:hAnsiTheme="majorHAnsi" w:cstheme="majorHAnsi"/>
          <w:sz w:val="18"/>
          <w:szCs w:val="20"/>
        </w:rPr>
        <w:t xml:space="preserve"> Z hlediska výše uvedeného zákona a prováděcích vyhlášek se v řešeném území nacházejí následující přírodní a krajinné hodnoty:</w:t>
      </w:r>
    </w:p>
    <w:p w14:paraId="44568D59" w14:textId="77777777" w:rsidR="00C33CBB" w:rsidRPr="006070EA" w:rsidRDefault="00C33CBB" w:rsidP="00DA441E">
      <w:pPr>
        <w:keepNext/>
        <w:suppressAutoHyphens/>
        <w:spacing w:before="120" w:after="120" w:line="240" w:lineRule="auto"/>
        <w:jc w:val="both"/>
        <w:rPr>
          <w:rFonts w:asciiTheme="majorHAnsi" w:eastAsia="Times New Roman" w:hAnsiTheme="majorHAnsi" w:cstheme="majorHAnsi"/>
          <w:b/>
          <w:sz w:val="18"/>
          <w:szCs w:val="18"/>
          <w:lang w:eastAsia="ar-SA"/>
        </w:rPr>
      </w:pPr>
      <w:r w:rsidRPr="006070EA">
        <w:rPr>
          <w:rFonts w:asciiTheme="majorHAnsi" w:eastAsia="Times New Roman" w:hAnsiTheme="majorHAnsi" w:cstheme="majorHAnsi"/>
          <w:b/>
          <w:sz w:val="18"/>
          <w:szCs w:val="18"/>
          <w:lang w:eastAsia="ar-SA"/>
        </w:rPr>
        <w:t>Maloplošně zvláště chráněná území</w:t>
      </w:r>
    </w:p>
    <w:p w14:paraId="477957A3" w14:textId="627ED258" w:rsidR="00C33CBB" w:rsidRPr="006070EA" w:rsidRDefault="00C33CBB" w:rsidP="00DA441E">
      <w:pPr>
        <w:keepNext/>
        <w:suppressAutoHyphens/>
        <w:spacing w:before="120" w:after="120" w:line="240" w:lineRule="auto"/>
        <w:jc w:val="both"/>
        <w:rPr>
          <w:rFonts w:asciiTheme="majorHAnsi" w:eastAsia="Times New Roman" w:hAnsiTheme="majorHAnsi" w:cstheme="majorHAnsi"/>
          <w:sz w:val="18"/>
          <w:szCs w:val="18"/>
          <w:u w:val="single"/>
          <w:lang w:eastAsia="ar-SA"/>
        </w:rPr>
      </w:pPr>
      <w:r w:rsidRPr="006070EA">
        <w:rPr>
          <w:rFonts w:asciiTheme="majorHAnsi" w:eastAsia="Times New Roman" w:hAnsiTheme="majorHAnsi" w:cstheme="majorHAnsi"/>
          <w:sz w:val="18"/>
          <w:szCs w:val="18"/>
          <w:u w:val="single"/>
          <w:lang w:eastAsia="ar-SA"/>
        </w:rPr>
        <w:t>Přírodní rezervace</w:t>
      </w:r>
    </w:p>
    <w:p w14:paraId="78AA7A4E" w14:textId="77777777" w:rsidR="00C52A2E" w:rsidRPr="006070EA" w:rsidRDefault="00C52A2E" w:rsidP="00C52A2E">
      <w:pPr>
        <w:keepNext/>
        <w:suppressAutoHyphens/>
        <w:spacing w:before="120" w:after="120" w:line="240" w:lineRule="auto"/>
        <w:jc w:val="both"/>
        <w:rPr>
          <w:rFonts w:asciiTheme="majorHAnsi" w:eastAsia="Times New Roman" w:hAnsiTheme="majorHAnsi" w:cstheme="majorHAnsi"/>
          <w:sz w:val="18"/>
          <w:szCs w:val="18"/>
          <w:lang w:eastAsia="ar-SA"/>
        </w:rPr>
      </w:pPr>
      <w:r w:rsidRPr="006070EA">
        <w:rPr>
          <w:rFonts w:asciiTheme="majorHAnsi" w:eastAsia="Times New Roman" w:hAnsiTheme="majorHAnsi" w:cstheme="majorHAnsi"/>
          <w:sz w:val="18"/>
          <w:szCs w:val="18"/>
          <w:lang w:eastAsia="ar-SA"/>
        </w:rPr>
        <w:tab/>
        <w:t xml:space="preserve">Přírodní rezervace je chráněné území s regionálním významem, ve kterém jsou soustředěny přírodní hodnoty se zastoupením ekosystémů typických a významných pro danou geografickou oblast. Jsou vyhlašovány primárně pro ochranu menších území, v nichž jde o ochranu vzácného a regionálně významného biotopu (např. rašeliniště), případně o ochranu většího počtu vzácných druhů rostlin nebo živočichů. </w:t>
      </w:r>
    </w:p>
    <w:tbl>
      <w:tblPr>
        <w:tblW w:w="9288" w:type="dxa"/>
        <w:tblBorders>
          <w:insideH w:val="single" w:sz="6" w:space="0" w:color="000000"/>
          <w:insideV w:val="single" w:sz="6" w:space="0" w:color="000000"/>
        </w:tblBorders>
        <w:tblLayout w:type="fixed"/>
        <w:tblLook w:val="04A0" w:firstRow="1" w:lastRow="0" w:firstColumn="1" w:lastColumn="0" w:noHBand="0" w:noVBand="1"/>
      </w:tblPr>
      <w:tblGrid>
        <w:gridCol w:w="675"/>
        <w:gridCol w:w="993"/>
        <w:gridCol w:w="1275"/>
        <w:gridCol w:w="1951"/>
        <w:gridCol w:w="1223"/>
        <w:gridCol w:w="3171"/>
      </w:tblGrid>
      <w:tr w:rsidR="00C52A2E" w:rsidRPr="006070EA" w14:paraId="77065E12" w14:textId="77777777" w:rsidTr="009251F0">
        <w:trPr>
          <w:trHeight w:val="283"/>
        </w:trPr>
        <w:tc>
          <w:tcPr>
            <w:tcW w:w="675" w:type="dxa"/>
            <w:hideMark/>
          </w:tcPr>
          <w:p w14:paraId="2F8BBF78" w14:textId="77777777" w:rsidR="00C52A2E" w:rsidRPr="006070EA" w:rsidRDefault="00C52A2E" w:rsidP="000E35EE">
            <w:pPr>
              <w:pStyle w:val="Bezmezer"/>
              <w:keepNext/>
              <w:suppressAutoHyphens/>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kód</w:t>
            </w:r>
          </w:p>
        </w:tc>
        <w:tc>
          <w:tcPr>
            <w:tcW w:w="993" w:type="dxa"/>
            <w:hideMark/>
          </w:tcPr>
          <w:p w14:paraId="1F3D2A93" w14:textId="77777777" w:rsidR="00C52A2E" w:rsidRPr="006070EA" w:rsidRDefault="00C52A2E" w:rsidP="000E35EE">
            <w:pPr>
              <w:pStyle w:val="Bezmezer"/>
              <w:keepNext/>
              <w:suppressAutoHyphens/>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kategorie</w:t>
            </w:r>
          </w:p>
        </w:tc>
        <w:tc>
          <w:tcPr>
            <w:tcW w:w="1275" w:type="dxa"/>
            <w:hideMark/>
          </w:tcPr>
          <w:p w14:paraId="089703ED" w14:textId="77777777" w:rsidR="00C52A2E" w:rsidRPr="006070EA" w:rsidRDefault="00C52A2E" w:rsidP="000E35EE">
            <w:pPr>
              <w:pStyle w:val="Bezmezer"/>
              <w:keepNext/>
              <w:suppressAutoHyphens/>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název</w:t>
            </w:r>
          </w:p>
        </w:tc>
        <w:tc>
          <w:tcPr>
            <w:tcW w:w="1951" w:type="dxa"/>
            <w:hideMark/>
          </w:tcPr>
          <w:p w14:paraId="247E4941" w14:textId="77777777" w:rsidR="00C52A2E" w:rsidRPr="006070EA" w:rsidRDefault="00C52A2E" w:rsidP="000E35EE">
            <w:pPr>
              <w:pStyle w:val="Bezmezer"/>
              <w:keepNext/>
              <w:suppressAutoHyphens/>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k. ú.</w:t>
            </w:r>
          </w:p>
        </w:tc>
        <w:tc>
          <w:tcPr>
            <w:tcW w:w="1223" w:type="dxa"/>
            <w:hideMark/>
          </w:tcPr>
          <w:p w14:paraId="1BCD1842" w14:textId="5413DA0E" w:rsidR="00C52A2E" w:rsidRPr="006070EA" w:rsidRDefault="00C52A2E" w:rsidP="000E35EE">
            <w:pPr>
              <w:pStyle w:val="Bezmezer"/>
              <w:keepNext/>
              <w:suppressAutoHyphens/>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rozloha</w:t>
            </w:r>
          </w:p>
        </w:tc>
        <w:tc>
          <w:tcPr>
            <w:tcW w:w="3171" w:type="dxa"/>
            <w:hideMark/>
          </w:tcPr>
          <w:p w14:paraId="2628670E" w14:textId="77777777" w:rsidR="00C52A2E" w:rsidRPr="006070EA" w:rsidRDefault="00C52A2E" w:rsidP="000E35EE">
            <w:pPr>
              <w:pStyle w:val="Bezmezer"/>
              <w:keepNext/>
              <w:suppressAutoHyphens/>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předmět ochrany</w:t>
            </w:r>
          </w:p>
        </w:tc>
      </w:tr>
      <w:tr w:rsidR="00C52A2E" w:rsidRPr="006070EA" w14:paraId="16115EB2" w14:textId="77777777" w:rsidTr="009251F0">
        <w:trPr>
          <w:trHeight w:val="283"/>
        </w:trPr>
        <w:tc>
          <w:tcPr>
            <w:tcW w:w="675" w:type="dxa"/>
            <w:vAlign w:val="center"/>
            <w:hideMark/>
          </w:tcPr>
          <w:p w14:paraId="4A53DE83" w14:textId="77777777" w:rsidR="00C52A2E" w:rsidRPr="006070EA" w:rsidRDefault="00C52A2E" w:rsidP="000E35EE">
            <w:pPr>
              <w:pStyle w:val="Bezmezer"/>
              <w:suppressAutoHyphens/>
              <w:rPr>
                <w:rFonts w:asciiTheme="majorHAnsi" w:hAnsiTheme="majorHAnsi" w:cstheme="majorHAnsi"/>
                <w:b/>
                <w:bCs/>
                <w:color w:val="000000"/>
                <w:szCs w:val="18"/>
                <w:lang w:val="cs-CZ"/>
              </w:rPr>
            </w:pPr>
            <w:r w:rsidRPr="006070EA">
              <w:rPr>
                <w:rFonts w:asciiTheme="majorHAnsi" w:hAnsiTheme="majorHAnsi" w:cstheme="majorHAnsi"/>
                <w:b/>
                <w:bCs/>
                <w:color w:val="000000"/>
                <w:szCs w:val="18"/>
                <w:lang w:val="cs-CZ"/>
              </w:rPr>
              <w:t>1171</w:t>
            </w:r>
          </w:p>
        </w:tc>
        <w:tc>
          <w:tcPr>
            <w:tcW w:w="993" w:type="dxa"/>
            <w:hideMark/>
          </w:tcPr>
          <w:p w14:paraId="0E8C18BE" w14:textId="77777777" w:rsidR="00C52A2E" w:rsidRPr="006070EA" w:rsidRDefault="00C52A2E" w:rsidP="000E35EE">
            <w:pPr>
              <w:pStyle w:val="Bezmezer"/>
              <w:suppressAutoHyphens/>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přírodní rezervace</w:t>
            </w:r>
          </w:p>
        </w:tc>
        <w:tc>
          <w:tcPr>
            <w:tcW w:w="1275" w:type="dxa"/>
            <w:hideMark/>
          </w:tcPr>
          <w:p w14:paraId="2F9DD9A3" w14:textId="77777777" w:rsidR="00C52A2E" w:rsidRPr="006070EA" w:rsidRDefault="00C52A2E" w:rsidP="000E35EE">
            <w:pPr>
              <w:pStyle w:val="Bezmezer"/>
              <w:suppressAutoHyphens/>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Mydlovarský Luh</w:t>
            </w:r>
          </w:p>
        </w:tc>
        <w:tc>
          <w:tcPr>
            <w:tcW w:w="1951" w:type="dxa"/>
            <w:hideMark/>
          </w:tcPr>
          <w:p w14:paraId="55B306EC" w14:textId="77777777" w:rsidR="00C52A2E" w:rsidRPr="006070EA" w:rsidRDefault="00C52A2E" w:rsidP="000E35EE">
            <w:pPr>
              <w:pStyle w:val="Bezmezer"/>
              <w:suppressAutoHyphens/>
              <w:rPr>
                <w:rFonts w:asciiTheme="majorHAnsi" w:hAnsiTheme="majorHAnsi" w:cstheme="majorHAnsi"/>
                <w:i/>
                <w:color w:val="000000"/>
                <w:szCs w:val="18"/>
                <w:lang w:val="cs-CZ"/>
              </w:rPr>
            </w:pPr>
            <w:r w:rsidRPr="006070EA">
              <w:rPr>
                <w:rFonts w:asciiTheme="majorHAnsi" w:hAnsiTheme="majorHAnsi" w:cstheme="majorHAnsi"/>
                <w:color w:val="000000"/>
                <w:szCs w:val="18"/>
                <w:lang w:val="cs-CZ"/>
              </w:rPr>
              <w:t xml:space="preserve">Kostomlaty nad Labem </w:t>
            </w:r>
          </w:p>
        </w:tc>
        <w:tc>
          <w:tcPr>
            <w:tcW w:w="1223" w:type="dxa"/>
            <w:hideMark/>
          </w:tcPr>
          <w:p w14:paraId="501D7B3A" w14:textId="4DCDEC71" w:rsidR="00C52A2E" w:rsidRPr="006070EA" w:rsidRDefault="009251F0" w:rsidP="000E35EE">
            <w:pPr>
              <w:pStyle w:val="Bezmezer"/>
              <w:suppressAutoHyphens/>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154,9291 ha</w:t>
            </w:r>
          </w:p>
        </w:tc>
        <w:tc>
          <w:tcPr>
            <w:tcW w:w="3171" w:type="dxa"/>
            <w:hideMark/>
          </w:tcPr>
          <w:p w14:paraId="160D44B4" w14:textId="77777777" w:rsidR="00C52A2E" w:rsidRPr="006070EA" w:rsidRDefault="00C52A2E" w:rsidP="000E35EE">
            <w:pPr>
              <w:pStyle w:val="Bezmezer"/>
              <w:suppressAutoHyphens/>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přirozená/ polopřirozená skladba lužního lesa</w:t>
            </w:r>
          </w:p>
        </w:tc>
      </w:tr>
    </w:tbl>
    <w:p w14:paraId="336A9A12" w14:textId="79533FE1" w:rsidR="00C52A2E" w:rsidRPr="006070EA" w:rsidRDefault="00C52A2E" w:rsidP="00C52A2E">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PR Mydlovarský luh </w:t>
      </w:r>
      <w:r w:rsidR="00031996" w:rsidRPr="006070EA">
        <w:rPr>
          <w:rFonts w:asciiTheme="majorHAnsi" w:hAnsiTheme="majorHAnsi" w:cstheme="majorHAnsi"/>
          <w:color w:val="000000"/>
          <w:szCs w:val="18"/>
        </w:rPr>
        <w:t>byla</w:t>
      </w:r>
      <w:r w:rsidRPr="006070EA">
        <w:rPr>
          <w:rFonts w:asciiTheme="majorHAnsi" w:hAnsiTheme="majorHAnsi" w:cstheme="majorHAnsi"/>
          <w:color w:val="000000"/>
          <w:szCs w:val="18"/>
        </w:rPr>
        <w:t xml:space="preserve"> vyhláše</w:t>
      </w:r>
      <w:r w:rsidR="00031996" w:rsidRPr="006070EA">
        <w:rPr>
          <w:rFonts w:asciiTheme="majorHAnsi" w:hAnsiTheme="majorHAnsi" w:cstheme="majorHAnsi"/>
          <w:color w:val="000000"/>
          <w:szCs w:val="18"/>
        </w:rPr>
        <w:t>na</w:t>
      </w:r>
      <w:r w:rsidRPr="006070EA">
        <w:rPr>
          <w:rFonts w:asciiTheme="majorHAnsi" w:hAnsiTheme="majorHAnsi" w:cstheme="majorHAnsi"/>
          <w:color w:val="000000"/>
          <w:szCs w:val="18"/>
        </w:rPr>
        <w:t xml:space="preserve"> v roce 1992</w:t>
      </w:r>
      <w:r w:rsidR="00031996"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Důvodem navrhované územní ochrany jsou komplexy lužního lesa se zastoupením přirozené nebo polopřirozené skladby, dále pak slepá a odstavená ramena starého toku Labe, zazemněná labská ramena a ramena v různém stupni zazemnění, tedy celá hydroserie mokřadů až po uzavřené plochy, které jsou využívány jako kosené louky. Do přírodní rezervace patří i meandrující Farský potok, který je součástí toku Vlkava a který kopíruje zhruba severní hranici chráněného území. Mydlovarský luh je charakteristický především podmáčenými olšinami a</w:t>
      </w:r>
      <w:r w:rsidR="009251F0" w:rsidRPr="006070EA">
        <w:rPr>
          <w:rFonts w:asciiTheme="majorHAnsi" w:hAnsiTheme="majorHAnsi" w:cstheme="majorHAnsi"/>
          <w:color w:val="000000"/>
          <w:szCs w:val="18"/>
        </w:rPr>
        <w:t> </w:t>
      </w:r>
      <w:r w:rsidRPr="006070EA">
        <w:rPr>
          <w:rFonts w:asciiTheme="majorHAnsi" w:hAnsiTheme="majorHAnsi" w:cstheme="majorHAnsi"/>
          <w:color w:val="000000"/>
          <w:szCs w:val="18"/>
        </w:rPr>
        <w:t>dubojilmovými luhy. Z významných rostlin se zde nachází ladoňka dvoulistá (Scilla bifolia), sněženka podsněžník (Galanthus nivalis) a kruštík polabský (Epipactis albensis), z živočichů rosnička zelená (Hyla arborea), slavík obecný (Luscinia megarhynchos) a nádherný ledňáček říční (Alcedo atthis). V polozazemněných ramenech lze spatřit silnou populaci ohroženého vodního plže svinutce kruhovitého (Anisus spirorbis).</w:t>
      </w:r>
    </w:p>
    <w:p w14:paraId="2C2D41D0" w14:textId="77777777" w:rsidR="000B51EE" w:rsidRPr="006070EA" w:rsidRDefault="00DA441E" w:rsidP="00DA441E">
      <w:pPr>
        <w:keepNext/>
        <w:suppressAutoHyphens/>
        <w:spacing w:before="120" w:after="120" w:line="240" w:lineRule="auto"/>
        <w:jc w:val="both"/>
        <w:rPr>
          <w:rFonts w:asciiTheme="majorHAnsi" w:eastAsia="Times New Roman" w:hAnsiTheme="majorHAnsi" w:cstheme="majorHAnsi"/>
          <w:b/>
          <w:sz w:val="18"/>
          <w:szCs w:val="18"/>
          <w:lang w:eastAsia="ar-SA"/>
        </w:rPr>
      </w:pPr>
      <w:r w:rsidRPr="006070EA">
        <w:rPr>
          <w:rFonts w:asciiTheme="majorHAnsi" w:eastAsia="Times New Roman" w:hAnsiTheme="majorHAnsi" w:cstheme="majorHAnsi"/>
          <w:b/>
          <w:sz w:val="18"/>
          <w:szCs w:val="18"/>
          <w:lang w:eastAsia="ar-SA"/>
        </w:rPr>
        <w:t>Soustava NATURA 2000</w:t>
      </w:r>
    </w:p>
    <w:p w14:paraId="5F428793" w14:textId="77777777" w:rsidR="000B51EE" w:rsidRPr="006070EA" w:rsidRDefault="00DA441E" w:rsidP="00DA441E">
      <w:pPr>
        <w:keepNext/>
        <w:suppressAutoHyphens/>
        <w:spacing w:before="120" w:after="0" w:line="240" w:lineRule="auto"/>
        <w:jc w:val="both"/>
        <w:rPr>
          <w:rFonts w:asciiTheme="majorHAnsi" w:eastAsia="Times New Roman" w:hAnsiTheme="majorHAnsi" w:cstheme="majorHAnsi"/>
          <w:sz w:val="18"/>
          <w:szCs w:val="18"/>
          <w:u w:val="single"/>
          <w:lang w:eastAsia="ar-SA"/>
        </w:rPr>
      </w:pPr>
      <w:r w:rsidRPr="006070EA">
        <w:rPr>
          <w:rFonts w:asciiTheme="majorHAnsi" w:eastAsia="Times New Roman" w:hAnsiTheme="majorHAnsi" w:cstheme="majorHAnsi"/>
          <w:sz w:val="18"/>
          <w:szCs w:val="18"/>
          <w:u w:val="single"/>
          <w:lang w:eastAsia="ar-SA"/>
        </w:rPr>
        <w:t>Evropsky významné lokality (EVL)</w:t>
      </w:r>
    </w:p>
    <w:p w14:paraId="16580964" w14:textId="77777777" w:rsidR="000B51EE" w:rsidRPr="006070EA" w:rsidRDefault="000B51EE" w:rsidP="00DA441E">
      <w:pPr>
        <w:suppressAutoHyphens/>
        <w:spacing w:before="120" w:after="0" w:line="240" w:lineRule="auto"/>
        <w:ind w:firstLine="709"/>
        <w:jc w:val="both"/>
        <w:rPr>
          <w:rFonts w:asciiTheme="majorHAnsi" w:eastAsia="Times New Roman" w:hAnsiTheme="majorHAnsi" w:cstheme="majorHAnsi"/>
          <w:sz w:val="18"/>
          <w:szCs w:val="18"/>
          <w:lang w:eastAsia="ar-SA"/>
        </w:rPr>
      </w:pPr>
      <w:r w:rsidRPr="006070EA">
        <w:rPr>
          <w:rFonts w:asciiTheme="majorHAnsi" w:eastAsia="Times New Roman" w:hAnsiTheme="majorHAnsi" w:cstheme="majorHAnsi"/>
          <w:sz w:val="18"/>
          <w:szCs w:val="18"/>
          <w:lang w:eastAsia="ar-SA"/>
        </w:rPr>
        <w:t xml:space="preserve">Evropsky významná lokalita je druh chráněného území soustavy Natura 2000, které je vyhlášené k ochraně přírodních stanovišť volně žijících živočichů a planě rostoucích rostlin podle směrnice Evropské komise o stanovištích ze dne 21. května 1992. Český národní seznam Evropsky významných lokalit byl schválen vládou České republiky 22. prosince 2004 jako nařízení vlády č. 132/2005 Sb. Dne 5. 10. 2009 byl seznam doplněn o dalších 234 lokalit. </w:t>
      </w:r>
    </w:p>
    <w:p w14:paraId="4A6D05E3" w14:textId="72073CC7" w:rsidR="000B51EE" w:rsidRPr="006070EA" w:rsidRDefault="008719AD" w:rsidP="00DA441E">
      <w:pPr>
        <w:suppressAutoHyphens/>
        <w:spacing w:before="60" w:after="120" w:line="240" w:lineRule="auto"/>
        <w:ind w:firstLine="720"/>
        <w:jc w:val="both"/>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Do</w:t>
      </w:r>
      <w:r w:rsidR="00CF73C6" w:rsidRPr="006070EA">
        <w:rPr>
          <w:rFonts w:asciiTheme="majorHAnsi" w:eastAsia="Times New Roman" w:hAnsiTheme="majorHAnsi" w:cstheme="majorHAnsi"/>
          <w:sz w:val="18"/>
          <w:szCs w:val="18"/>
          <w:lang w:eastAsia="cs-CZ"/>
        </w:rPr>
        <w:t> řešené</w:t>
      </w:r>
      <w:r w:rsidRPr="006070EA">
        <w:rPr>
          <w:rFonts w:asciiTheme="majorHAnsi" w:eastAsia="Times New Roman" w:hAnsiTheme="majorHAnsi" w:cstheme="majorHAnsi"/>
          <w:sz w:val="18"/>
          <w:szCs w:val="18"/>
          <w:lang w:eastAsia="cs-CZ"/>
        </w:rPr>
        <w:t>ho</w:t>
      </w:r>
      <w:r w:rsidR="00CF73C6" w:rsidRPr="006070EA">
        <w:rPr>
          <w:rFonts w:asciiTheme="majorHAnsi" w:eastAsia="Times New Roman" w:hAnsiTheme="majorHAnsi" w:cstheme="majorHAnsi"/>
          <w:sz w:val="18"/>
          <w:szCs w:val="18"/>
          <w:lang w:eastAsia="cs-CZ"/>
        </w:rPr>
        <w:t xml:space="preserve"> území </w:t>
      </w:r>
      <w:r w:rsidRPr="006070EA">
        <w:rPr>
          <w:rFonts w:asciiTheme="majorHAnsi" w:eastAsia="Times New Roman" w:hAnsiTheme="majorHAnsi" w:cstheme="majorHAnsi"/>
          <w:sz w:val="18"/>
          <w:szCs w:val="18"/>
          <w:lang w:eastAsia="cs-CZ"/>
        </w:rPr>
        <w:t>zasahuje část následující</w:t>
      </w:r>
      <w:r w:rsidR="00CF73C6" w:rsidRPr="006070EA">
        <w:rPr>
          <w:rFonts w:asciiTheme="majorHAnsi" w:eastAsia="Times New Roman" w:hAnsiTheme="majorHAnsi" w:cstheme="majorHAnsi"/>
          <w:sz w:val="18"/>
          <w:szCs w:val="18"/>
          <w:lang w:eastAsia="cs-CZ"/>
        </w:rPr>
        <w:t xml:space="preserve"> EVL:</w:t>
      </w:r>
    </w:p>
    <w:tbl>
      <w:tblPr>
        <w:tblW w:w="0" w:type="auto"/>
        <w:jc w:val="center"/>
        <w:tblBorders>
          <w:insideH w:val="single" w:sz="6" w:space="0" w:color="000000"/>
          <w:insideV w:val="single" w:sz="6" w:space="0" w:color="000000"/>
        </w:tblBorders>
        <w:tblLayout w:type="fixed"/>
        <w:tblLook w:val="0000" w:firstRow="0" w:lastRow="0" w:firstColumn="0" w:lastColumn="0" w:noHBand="0" w:noVBand="0"/>
      </w:tblPr>
      <w:tblGrid>
        <w:gridCol w:w="1911"/>
        <w:gridCol w:w="1465"/>
        <w:gridCol w:w="1465"/>
        <w:gridCol w:w="1465"/>
        <w:gridCol w:w="1465"/>
      </w:tblGrid>
      <w:tr w:rsidR="00C52A2E" w:rsidRPr="006070EA" w14:paraId="05E81C1F" w14:textId="77777777" w:rsidTr="009251F0">
        <w:trPr>
          <w:trHeight w:val="57"/>
          <w:jc w:val="center"/>
        </w:trPr>
        <w:tc>
          <w:tcPr>
            <w:tcW w:w="1911" w:type="dxa"/>
            <w:vAlign w:val="center"/>
          </w:tcPr>
          <w:p w14:paraId="323CFCFF"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Obec</w:t>
            </w:r>
          </w:p>
        </w:tc>
        <w:tc>
          <w:tcPr>
            <w:tcW w:w="1465" w:type="dxa"/>
            <w:vAlign w:val="center"/>
          </w:tcPr>
          <w:p w14:paraId="68C28851"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Kód NATURA</w:t>
            </w:r>
          </w:p>
        </w:tc>
        <w:tc>
          <w:tcPr>
            <w:tcW w:w="1465" w:type="dxa"/>
            <w:vAlign w:val="center"/>
          </w:tcPr>
          <w:p w14:paraId="09F488C9"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Název</w:t>
            </w:r>
          </w:p>
        </w:tc>
        <w:tc>
          <w:tcPr>
            <w:tcW w:w="1465" w:type="dxa"/>
            <w:vAlign w:val="center"/>
          </w:tcPr>
          <w:p w14:paraId="05303614"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Kat. ZCHU</w:t>
            </w:r>
          </w:p>
        </w:tc>
        <w:tc>
          <w:tcPr>
            <w:tcW w:w="1465" w:type="dxa"/>
            <w:vAlign w:val="center"/>
          </w:tcPr>
          <w:p w14:paraId="3968D60A" w14:textId="6FF47F45" w:rsidR="00C52A2E" w:rsidRPr="006070EA" w:rsidRDefault="00C52A2E" w:rsidP="00C52A2E">
            <w:pPr>
              <w:autoSpaceDE w:val="0"/>
              <w:autoSpaceDN w:val="0"/>
              <w:adjustRightInd w:val="0"/>
              <w:spacing w:after="0"/>
              <w:jc w:val="both"/>
              <w:rPr>
                <w:rFonts w:asciiTheme="majorHAnsi" w:hAnsiTheme="majorHAnsi" w:cstheme="majorHAnsi"/>
                <w:b/>
                <w:bCs/>
                <w:color w:val="000000"/>
                <w:sz w:val="18"/>
                <w:szCs w:val="18"/>
              </w:rPr>
            </w:pPr>
            <w:r w:rsidRPr="006070EA">
              <w:rPr>
                <w:rFonts w:asciiTheme="majorHAnsi" w:hAnsiTheme="majorHAnsi" w:cstheme="majorHAnsi"/>
                <w:b/>
                <w:bCs/>
                <w:color w:val="000000"/>
                <w:sz w:val="18"/>
                <w:szCs w:val="18"/>
              </w:rPr>
              <w:t>Plocha (ha)</w:t>
            </w:r>
          </w:p>
        </w:tc>
      </w:tr>
      <w:tr w:rsidR="00C52A2E" w:rsidRPr="006070EA" w14:paraId="3F732CA4" w14:textId="77777777" w:rsidTr="009251F0">
        <w:trPr>
          <w:trHeight w:val="57"/>
          <w:jc w:val="center"/>
        </w:trPr>
        <w:tc>
          <w:tcPr>
            <w:tcW w:w="1911" w:type="dxa"/>
            <w:vAlign w:val="center"/>
          </w:tcPr>
          <w:p w14:paraId="348B869D"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color w:val="000000"/>
                <w:sz w:val="18"/>
                <w:szCs w:val="18"/>
              </w:rPr>
              <w:t>Kostomlaty nad Labem</w:t>
            </w:r>
          </w:p>
        </w:tc>
        <w:tc>
          <w:tcPr>
            <w:tcW w:w="1465" w:type="dxa"/>
            <w:vAlign w:val="center"/>
          </w:tcPr>
          <w:p w14:paraId="67B7F519"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color w:val="000000"/>
                <w:sz w:val="18"/>
                <w:szCs w:val="18"/>
              </w:rPr>
              <w:t>CZ0213048</w:t>
            </w:r>
          </w:p>
        </w:tc>
        <w:tc>
          <w:tcPr>
            <w:tcW w:w="1465" w:type="dxa"/>
            <w:vAlign w:val="center"/>
          </w:tcPr>
          <w:p w14:paraId="1742A58A"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color w:val="000000"/>
                <w:sz w:val="18"/>
                <w:szCs w:val="18"/>
              </w:rPr>
              <w:t>Mydlovarský luh</w:t>
            </w:r>
          </w:p>
        </w:tc>
        <w:tc>
          <w:tcPr>
            <w:tcW w:w="1465" w:type="dxa"/>
            <w:vAlign w:val="center"/>
          </w:tcPr>
          <w:p w14:paraId="72D5505C"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color w:val="000000"/>
                <w:sz w:val="18"/>
                <w:szCs w:val="18"/>
              </w:rPr>
              <w:t>PR</w:t>
            </w:r>
          </w:p>
        </w:tc>
        <w:tc>
          <w:tcPr>
            <w:tcW w:w="1465" w:type="dxa"/>
            <w:vAlign w:val="center"/>
          </w:tcPr>
          <w:p w14:paraId="7C78C038" w14:textId="77777777" w:rsidR="00C52A2E" w:rsidRPr="006070EA" w:rsidRDefault="00C52A2E" w:rsidP="00C52A2E">
            <w:pPr>
              <w:autoSpaceDE w:val="0"/>
              <w:autoSpaceDN w:val="0"/>
              <w:adjustRightInd w:val="0"/>
              <w:spacing w:after="0"/>
              <w:jc w:val="both"/>
              <w:rPr>
                <w:rFonts w:asciiTheme="majorHAnsi" w:hAnsiTheme="majorHAnsi" w:cstheme="majorHAnsi"/>
                <w:color w:val="000000"/>
                <w:sz w:val="18"/>
                <w:szCs w:val="18"/>
              </w:rPr>
            </w:pPr>
            <w:r w:rsidRPr="006070EA">
              <w:rPr>
                <w:rFonts w:asciiTheme="majorHAnsi" w:hAnsiTheme="majorHAnsi" w:cstheme="majorHAnsi"/>
                <w:color w:val="000000"/>
                <w:sz w:val="18"/>
                <w:szCs w:val="18"/>
              </w:rPr>
              <w:t>3,95</w:t>
            </w:r>
          </w:p>
        </w:tc>
      </w:tr>
    </w:tbl>
    <w:p w14:paraId="43B725E3" w14:textId="77777777" w:rsidR="00B42759" w:rsidRPr="006070EA" w:rsidRDefault="00B42759" w:rsidP="009E07E1">
      <w:pPr>
        <w:pStyle w:val="Anadpistun"/>
        <w:rPr>
          <w:rFonts w:asciiTheme="majorHAnsi" w:eastAsia="Calibri" w:hAnsiTheme="majorHAnsi" w:cstheme="majorHAnsi"/>
          <w:lang w:eastAsia="en-US"/>
        </w:rPr>
      </w:pPr>
      <w:r w:rsidRPr="006070EA">
        <w:rPr>
          <w:rFonts w:asciiTheme="majorHAnsi" w:eastAsia="Calibri" w:hAnsiTheme="majorHAnsi" w:cstheme="majorHAnsi"/>
          <w:lang w:eastAsia="en-US"/>
        </w:rPr>
        <w:t>Obecně chráněná území</w:t>
      </w:r>
    </w:p>
    <w:p w14:paraId="64355320" w14:textId="77777777" w:rsidR="00B42759" w:rsidRPr="006070EA" w:rsidRDefault="00B42759" w:rsidP="009E07E1">
      <w:pPr>
        <w:pStyle w:val="Anadpispodtren"/>
        <w:rPr>
          <w:rFonts w:asciiTheme="majorHAnsi" w:eastAsia="Calibri" w:hAnsiTheme="majorHAnsi" w:cstheme="majorHAnsi"/>
          <w:lang w:eastAsia="en-US"/>
        </w:rPr>
      </w:pPr>
      <w:r w:rsidRPr="006070EA">
        <w:rPr>
          <w:rFonts w:asciiTheme="majorHAnsi" w:eastAsia="Calibri" w:hAnsiTheme="majorHAnsi" w:cstheme="majorHAnsi"/>
          <w:lang w:eastAsia="en-US"/>
        </w:rPr>
        <w:t>Významné krajinné prvky (VKP)</w:t>
      </w:r>
    </w:p>
    <w:p w14:paraId="6CC2CE69" w14:textId="77777777" w:rsidR="00B42759" w:rsidRPr="006070EA" w:rsidRDefault="00B42759" w:rsidP="009E07E1">
      <w:pPr>
        <w:pStyle w:val="Atext"/>
        <w:rPr>
          <w:rFonts w:asciiTheme="majorHAnsi" w:eastAsia="Calibri" w:hAnsiTheme="majorHAnsi" w:cstheme="majorHAnsi"/>
          <w:lang w:eastAsia="en-US"/>
        </w:rPr>
      </w:pPr>
      <w:r w:rsidRPr="006070EA">
        <w:rPr>
          <w:rFonts w:asciiTheme="majorHAnsi" w:eastAsia="Calibri" w:hAnsiTheme="majorHAnsi" w:cstheme="majorHAnsi"/>
          <w:lang w:eastAsia="en-US"/>
        </w:rPr>
        <w:t>V území se nacházejí významné krajinné prvky vyplývající z § 3 odst. b) zákona o ochraně přírody a</w:t>
      </w:r>
      <w:r w:rsidR="000B51EE" w:rsidRPr="006070EA">
        <w:rPr>
          <w:rFonts w:asciiTheme="majorHAnsi" w:eastAsia="Calibri" w:hAnsiTheme="majorHAnsi" w:cstheme="majorHAnsi"/>
          <w:lang w:eastAsia="en-US"/>
        </w:rPr>
        <w:t> </w:t>
      </w:r>
      <w:r w:rsidRPr="006070EA">
        <w:rPr>
          <w:rFonts w:asciiTheme="majorHAnsi" w:eastAsia="Calibri" w:hAnsiTheme="majorHAnsi" w:cstheme="majorHAnsi"/>
          <w:lang w:eastAsia="en-US"/>
        </w:rPr>
        <w:t xml:space="preserve">krajiny. Významnými krajinnými prvky jsou lesy, rašeliniště, vodní toky, rybníky, jezera a údolní nivy. Tyto prvky jsou ekologicky, geomorfologicky a esteticky hodnotnou částí krajiny, utváří její typický vzhled a přispívají k udržení její stability. </w:t>
      </w:r>
      <w:r w:rsidRPr="006070EA">
        <w:rPr>
          <w:rFonts w:asciiTheme="majorHAnsi" w:hAnsiTheme="majorHAnsi" w:cstheme="majorHAnsi"/>
        </w:rPr>
        <w:t>Registrované významné krajinné prvky se v řešeném území nevyskytují.</w:t>
      </w:r>
    </w:p>
    <w:p w14:paraId="537D26CE" w14:textId="77777777" w:rsidR="004254E6" w:rsidRPr="006070EA" w:rsidRDefault="004254E6" w:rsidP="009E07E1">
      <w:pPr>
        <w:spacing w:before="120" w:after="120" w:line="240" w:lineRule="auto"/>
        <w:jc w:val="both"/>
        <w:rPr>
          <w:rFonts w:asciiTheme="majorHAnsi" w:hAnsiTheme="majorHAnsi" w:cstheme="majorHAnsi"/>
          <w:b/>
          <w:sz w:val="18"/>
        </w:rPr>
      </w:pPr>
      <w:r w:rsidRPr="006070EA">
        <w:rPr>
          <w:rFonts w:asciiTheme="majorHAnsi" w:hAnsiTheme="majorHAnsi" w:cstheme="majorHAnsi"/>
          <w:b/>
          <w:sz w:val="18"/>
        </w:rPr>
        <w:t>Územní systém ekologické stability (ÚSES)</w:t>
      </w:r>
      <w:r w:rsidR="00FC670E" w:rsidRPr="006070EA">
        <w:rPr>
          <w:rFonts w:asciiTheme="majorHAnsi" w:hAnsiTheme="majorHAnsi" w:cstheme="majorHAnsi"/>
          <w:b/>
          <w:sz w:val="18"/>
        </w:rPr>
        <w:t>, ekologická stabilita území</w:t>
      </w:r>
    </w:p>
    <w:p w14:paraId="034687CE" w14:textId="77777777" w:rsidR="0026757B" w:rsidRPr="006070EA" w:rsidRDefault="0026757B" w:rsidP="001524BA">
      <w:pPr>
        <w:spacing w:before="120" w:after="120" w:line="240" w:lineRule="auto"/>
        <w:jc w:val="both"/>
        <w:rPr>
          <w:rFonts w:asciiTheme="majorHAnsi" w:hAnsiTheme="majorHAnsi" w:cstheme="majorHAnsi"/>
          <w:sz w:val="18"/>
        </w:rPr>
      </w:pPr>
      <w:r w:rsidRPr="006070EA">
        <w:rPr>
          <w:rFonts w:asciiTheme="majorHAnsi" w:hAnsiTheme="majorHAnsi" w:cstheme="majorHAnsi"/>
          <w:sz w:val="18"/>
        </w:rPr>
        <w:tab/>
        <w:t xml:space="preserve">Odůvodnění ÚSES je podrobně popsáno v kapitole </w:t>
      </w:r>
      <w:r w:rsidR="00654835" w:rsidRPr="006070EA">
        <w:rPr>
          <w:rFonts w:asciiTheme="majorHAnsi" w:hAnsiTheme="majorHAnsi" w:cstheme="majorHAnsi"/>
          <w:sz w:val="18"/>
        </w:rPr>
        <w:t>11.5</w:t>
      </w:r>
      <w:r w:rsidRPr="006070EA">
        <w:rPr>
          <w:rFonts w:asciiTheme="majorHAnsi" w:hAnsiTheme="majorHAnsi" w:cstheme="majorHAnsi"/>
          <w:sz w:val="18"/>
        </w:rPr>
        <w:t xml:space="preserve"> </w:t>
      </w:r>
      <w:r w:rsidRPr="006070EA">
        <w:rPr>
          <w:rFonts w:asciiTheme="majorHAnsi" w:hAnsiTheme="majorHAnsi" w:cstheme="majorHAnsi"/>
          <w:i/>
          <w:sz w:val="18"/>
        </w:rPr>
        <w:t>Odůvodnění koncepce uspořádání krajiny</w:t>
      </w:r>
      <w:r w:rsidR="00654835" w:rsidRPr="006070EA">
        <w:rPr>
          <w:rFonts w:asciiTheme="majorHAnsi" w:hAnsiTheme="majorHAnsi" w:cstheme="majorHAnsi"/>
          <w:sz w:val="18"/>
        </w:rPr>
        <w:t xml:space="preserve">, v oddílu </w:t>
      </w:r>
      <w:r w:rsidR="00654835" w:rsidRPr="006070EA">
        <w:rPr>
          <w:rFonts w:asciiTheme="majorHAnsi" w:hAnsiTheme="majorHAnsi" w:cstheme="majorHAnsi"/>
          <w:i/>
          <w:sz w:val="18"/>
        </w:rPr>
        <w:t>11.5.3</w:t>
      </w:r>
      <w:r w:rsidR="00311823" w:rsidRPr="006070EA">
        <w:rPr>
          <w:rFonts w:asciiTheme="majorHAnsi" w:hAnsiTheme="majorHAnsi" w:cstheme="majorHAnsi"/>
          <w:i/>
          <w:sz w:val="18"/>
        </w:rPr>
        <w:t> </w:t>
      </w:r>
      <w:r w:rsidR="00654835" w:rsidRPr="006070EA">
        <w:rPr>
          <w:rFonts w:asciiTheme="majorHAnsi" w:hAnsiTheme="majorHAnsi" w:cstheme="majorHAnsi"/>
          <w:i/>
          <w:sz w:val="18"/>
        </w:rPr>
        <w:t>Odůvodnění vymezení územního systému ekologické stability</w:t>
      </w:r>
      <w:r w:rsidR="00654835" w:rsidRPr="006070EA">
        <w:rPr>
          <w:rFonts w:asciiTheme="majorHAnsi" w:hAnsiTheme="majorHAnsi" w:cstheme="majorHAnsi"/>
          <w:sz w:val="18"/>
        </w:rPr>
        <w:t xml:space="preserve">. </w:t>
      </w:r>
    </w:p>
    <w:p w14:paraId="43D48A94" w14:textId="72654764" w:rsidR="006C094E" w:rsidRPr="006070EA" w:rsidRDefault="006C094E" w:rsidP="001524BA">
      <w:pPr>
        <w:pStyle w:val="Atext"/>
        <w:rPr>
          <w:rFonts w:asciiTheme="majorHAnsi" w:hAnsiTheme="majorHAnsi" w:cstheme="majorHAnsi"/>
          <w:lang w:eastAsia="cs-CZ"/>
        </w:rPr>
      </w:pPr>
      <w:r w:rsidRPr="006070EA">
        <w:rPr>
          <w:rFonts w:asciiTheme="majorHAnsi" w:hAnsiTheme="majorHAnsi" w:cstheme="majorHAnsi"/>
          <w:lang w:eastAsia="cs-CZ"/>
        </w:rPr>
        <w:lastRenderedPageBreak/>
        <w:t>Koeficient ekologické stability (KES)</w:t>
      </w:r>
      <w:r w:rsidR="00FC670E" w:rsidRPr="006070EA">
        <w:rPr>
          <w:rFonts w:asciiTheme="majorHAnsi" w:hAnsiTheme="majorHAnsi" w:cstheme="majorHAnsi"/>
          <w:lang w:eastAsia="cs-CZ"/>
        </w:rPr>
        <w:t xml:space="preserve"> vyjadřuje</w:t>
      </w:r>
      <w:r w:rsidRPr="006070EA">
        <w:rPr>
          <w:rFonts w:asciiTheme="majorHAnsi" w:hAnsiTheme="majorHAnsi" w:cstheme="majorHAnsi"/>
          <w:lang w:eastAsia="cs-CZ"/>
        </w:rPr>
        <w:t xml:space="preserve"> poměr ploch ekologicky stabilním (v tomto případě lesních ploch, TTP, vodních ploch a sadů) k plochám ekologicky nestabilním</w:t>
      </w:r>
      <w:r w:rsidR="00FC670E" w:rsidRPr="006070EA">
        <w:rPr>
          <w:rFonts w:asciiTheme="majorHAnsi" w:hAnsiTheme="majorHAnsi" w:cstheme="majorHAnsi"/>
          <w:lang w:eastAsia="cs-CZ"/>
        </w:rPr>
        <w:t xml:space="preserve"> (orná půda a zastavěné plochy). V řešeném území </w:t>
      </w:r>
      <w:r w:rsidRPr="006070EA">
        <w:rPr>
          <w:rFonts w:asciiTheme="majorHAnsi" w:hAnsiTheme="majorHAnsi" w:cstheme="majorHAnsi"/>
          <w:lang w:eastAsia="cs-CZ"/>
        </w:rPr>
        <w:t>je</w:t>
      </w:r>
      <w:r w:rsidR="00FC670E" w:rsidRPr="006070EA">
        <w:rPr>
          <w:rFonts w:asciiTheme="majorHAnsi" w:hAnsiTheme="majorHAnsi" w:cstheme="majorHAnsi"/>
          <w:lang w:eastAsia="cs-CZ"/>
        </w:rPr>
        <w:t>ho hodnota činí</w:t>
      </w:r>
      <w:r w:rsidRPr="006070EA">
        <w:rPr>
          <w:rFonts w:asciiTheme="majorHAnsi" w:hAnsiTheme="majorHAnsi" w:cstheme="majorHAnsi"/>
          <w:lang w:eastAsia="cs-CZ"/>
        </w:rPr>
        <w:t xml:space="preserve"> 0,</w:t>
      </w:r>
      <w:r w:rsidR="001524BA" w:rsidRPr="006070EA">
        <w:rPr>
          <w:rFonts w:asciiTheme="majorHAnsi" w:hAnsiTheme="majorHAnsi" w:cstheme="majorHAnsi"/>
          <w:lang w:eastAsia="cs-CZ"/>
        </w:rPr>
        <w:t>17</w:t>
      </w:r>
      <w:r w:rsidRPr="006070EA">
        <w:rPr>
          <w:rFonts w:asciiTheme="majorHAnsi" w:hAnsiTheme="majorHAnsi" w:cstheme="majorHAnsi"/>
          <w:lang w:eastAsia="cs-CZ"/>
        </w:rPr>
        <w:t xml:space="preserve">, což znamená, že se jedná o území </w:t>
      </w:r>
      <w:r w:rsidR="001524BA" w:rsidRPr="006070EA">
        <w:rPr>
          <w:rFonts w:asciiTheme="majorHAnsi" w:hAnsiTheme="majorHAnsi" w:cstheme="majorHAnsi"/>
          <w:lang w:eastAsia="cs-CZ"/>
        </w:rPr>
        <w:t>nadprůměrně</w:t>
      </w:r>
      <w:r w:rsidRPr="006070EA">
        <w:rPr>
          <w:rFonts w:asciiTheme="majorHAnsi" w:hAnsiTheme="majorHAnsi" w:cstheme="majorHAnsi"/>
          <w:lang w:eastAsia="cs-CZ"/>
        </w:rPr>
        <w:t xml:space="preserve"> využívané</w:t>
      </w:r>
      <w:r w:rsidR="001524BA" w:rsidRPr="006070EA">
        <w:rPr>
          <w:rFonts w:asciiTheme="majorHAnsi" w:hAnsiTheme="majorHAnsi" w:cstheme="majorHAnsi"/>
          <w:lang w:eastAsia="cs-CZ"/>
        </w:rPr>
        <w:t xml:space="preserve"> se zřetelným narušením přírodních struktur.</w:t>
      </w:r>
      <w:r w:rsidRPr="006070EA">
        <w:rPr>
          <w:rFonts w:asciiTheme="majorHAnsi" w:hAnsiTheme="majorHAnsi" w:cstheme="majorHAnsi"/>
          <w:lang w:eastAsia="cs-CZ"/>
        </w:rPr>
        <w:t xml:space="preserve"> Oslabení autoregulačních pochodů v ekosystémech způsobuje jejich značnou ekologickou labilitu a vyžaduje vysoké vklady dodatkové energie. KES je </w:t>
      </w:r>
      <w:r w:rsidR="001524BA" w:rsidRPr="006070EA">
        <w:rPr>
          <w:rFonts w:asciiTheme="majorHAnsi" w:hAnsiTheme="majorHAnsi" w:cstheme="majorHAnsi"/>
          <w:lang w:eastAsia="cs-CZ"/>
        </w:rPr>
        <w:t xml:space="preserve">výrazně </w:t>
      </w:r>
      <w:r w:rsidRPr="006070EA">
        <w:rPr>
          <w:rFonts w:asciiTheme="majorHAnsi" w:hAnsiTheme="majorHAnsi" w:cstheme="majorHAnsi"/>
          <w:lang w:eastAsia="cs-CZ"/>
        </w:rPr>
        <w:t>nižší než</w:t>
      </w:r>
      <w:r w:rsidR="00D66957" w:rsidRPr="006070EA">
        <w:rPr>
          <w:rFonts w:asciiTheme="majorHAnsi" w:hAnsiTheme="majorHAnsi" w:cstheme="majorHAnsi"/>
          <w:lang w:eastAsia="cs-CZ"/>
        </w:rPr>
        <w:t xml:space="preserve">li celorepublikový průměr </w:t>
      </w:r>
      <w:r w:rsidRPr="006070EA">
        <w:rPr>
          <w:rFonts w:asciiTheme="majorHAnsi" w:hAnsiTheme="majorHAnsi" w:cstheme="majorHAnsi"/>
          <w:lang w:eastAsia="cs-CZ"/>
        </w:rPr>
        <w:t>(1,06)</w:t>
      </w:r>
      <w:r w:rsidR="00D66957" w:rsidRPr="006070EA">
        <w:rPr>
          <w:rFonts w:asciiTheme="majorHAnsi" w:hAnsiTheme="majorHAnsi" w:cstheme="majorHAnsi"/>
          <w:lang w:eastAsia="cs-CZ"/>
        </w:rPr>
        <w:t>.</w:t>
      </w:r>
    </w:p>
    <w:p w14:paraId="4DD4CF06" w14:textId="77777777" w:rsidR="0026757B" w:rsidRPr="006070EA" w:rsidRDefault="0026757B" w:rsidP="001524BA">
      <w:pPr>
        <w:pStyle w:val="Atext"/>
        <w:rPr>
          <w:rFonts w:asciiTheme="majorHAnsi" w:hAnsiTheme="majorHAnsi" w:cstheme="majorHAnsi"/>
        </w:rPr>
      </w:pPr>
      <w:r w:rsidRPr="006070EA">
        <w:rPr>
          <w:rFonts w:asciiTheme="majorHAnsi" w:hAnsiTheme="majorHAnsi" w:cstheme="majorHAnsi"/>
        </w:rPr>
        <w:t xml:space="preserve">Mimo hodnoty chráněné dle zákona o ochraně přírody a krajiny byly v řešeném území identifikovány další hodnoty, jejichž odůvodnění je uvedeno v následujících bodech: </w:t>
      </w:r>
    </w:p>
    <w:p w14:paraId="7E999F73" w14:textId="65D0BF68" w:rsidR="00DE36D4" w:rsidRPr="006070EA" w:rsidRDefault="00DE36D4" w:rsidP="00DE36D4">
      <w:pPr>
        <w:pStyle w:val="Atext"/>
        <w:rPr>
          <w:rFonts w:asciiTheme="majorHAnsi" w:hAnsiTheme="majorHAnsi" w:cstheme="majorHAnsi"/>
        </w:rPr>
      </w:pPr>
      <w:r w:rsidRPr="006070EA">
        <w:rPr>
          <w:rFonts w:asciiTheme="majorHAnsi" w:hAnsiTheme="majorHAnsi" w:cstheme="majorHAnsi"/>
        </w:rPr>
        <w:t>Plochy v nezastavěném území – hodnota volné krajiny spočívá právě v absenci souvislé zástavby a je hlavním pilířem příznivého životního prostředí. Ochrana nezastavěného území (volné krajiny) je zakotvena v cílech územního plánování (§ 18 odst. 4 stavebního zákona): „</w:t>
      </w:r>
      <w:r w:rsidRPr="006070EA">
        <w:rPr>
          <w:rFonts w:asciiTheme="majorHAnsi" w:hAnsiTheme="majorHAnsi" w:cstheme="majorHAnsi"/>
          <w:bCs w:val="0"/>
          <w:i/>
          <w:szCs w:val="18"/>
        </w:rPr>
        <w:t>Územní plánování ve veřejném zájmu chrání a rozvíjí přírodní, kulturní a civilizační hodnoty území, včetně urbanistického, architektonického a archeologického dědictví. Přitom chrání krajinu jako podstatnou složku prostředí života obyvatel a základ jejich totožnosti. S ohledem na to určuje podmínky pro hospodárné využívání zastavěného území a zajišťuje ochranu nezastavěného území a nezastavitelných pozemků.“</w:t>
      </w:r>
    </w:p>
    <w:p w14:paraId="6FA35F6B" w14:textId="77777777" w:rsidR="001357DA" w:rsidRPr="006070EA" w:rsidRDefault="0026757B" w:rsidP="001524BA">
      <w:pPr>
        <w:pStyle w:val="Atext"/>
        <w:rPr>
          <w:rFonts w:asciiTheme="majorHAnsi" w:hAnsiTheme="majorHAnsi" w:cstheme="majorHAnsi"/>
        </w:rPr>
      </w:pPr>
      <w:r w:rsidRPr="006070EA">
        <w:rPr>
          <w:rFonts w:asciiTheme="majorHAnsi" w:hAnsiTheme="majorHAnsi" w:cstheme="majorHAnsi"/>
          <w:snapToGrid w:val="0"/>
          <w:szCs w:val="18"/>
        </w:rPr>
        <w:t>Krajinná a zejména r</w:t>
      </w:r>
      <w:r w:rsidRPr="006070EA">
        <w:rPr>
          <w:rFonts w:asciiTheme="majorHAnsi" w:hAnsiTheme="majorHAnsi" w:cstheme="majorHAnsi"/>
        </w:rPr>
        <w:t>ozptýlená zeleň v zemědělské krajině má vysokou ekologicko-stabilizační hodnotu, vytváří stanoviště pro živočichy, zadržuje vodu v krajině, zabraňuje plošné erozi půdy a v neposlední řadě spoluutváří typický obraz zemědělské krajiny. Krajinná zeleň má zásadní podíl na pozitivním vnímání krajinného rázu, proto je nezbytné i v rámci ÚP</w:t>
      </w:r>
      <w:r w:rsidR="00EE34D2" w:rsidRPr="006070EA">
        <w:rPr>
          <w:rFonts w:asciiTheme="majorHAnsi" w:hAnsiTheme="majorHAnsi" w:cstheme="majorHAnsi"/>
        </w:rPr>
        <w:t> </w:t>
      </w:r>
      <w:r w:rsidRPr="006070EA">
        <w:rPr>
          <w:rFonts w:asciiTheme="majorHAnsi" w:hAnsiTheme="majorHAnsi" w:cstheme="majorHAnsi"/>
        </w:rPr>
        <w:t>definovat požadavek na její ochranu, obnovu a zakládání. Důvodem stanovení zásady jsou také obecné požadavky a</w:t>
      </w:r>
      <w:r w:rsidR="00EE34D2" w:rsidRPr="006070EA">
        <w:rPr>
          <w:rFonts w:asciiTheme="majorHAnsi" w:hAnsiTheme="majorHAnsi" w:cstheme="majorHAnsi"/>
        </w:rPr>
        <w:t> </w:t>
      </w:r>
      <w:r w:rsidRPr="006070EA">
        <w:rPr>
          <w:rFonts w:asciiTheme="majorHAnsi" w:hAnsiTheme="majorHAnsi" w:cstheme="majorHAnsi"/>
        </w:rPr>
        <w:t xml:space="preserve">zásady Politiky územního rozvoje a nadřazené ÚPD – ZÚR </w:t>
      </w:r>
      <w:r w:rsidR="00DE36D4" w:rsidRPr="006070EA">
        <w:rPr>
          <w:rFonts w:asciiTheme="majorHAnsi" w:hAnsiTheme="majorHAnsi" w:cstheme="majorHAnsi"/>
          <w:szCs w:val="18"/>
        </w:rPr>
        <w:t>Středočeského</w:t>
      </w:r>
      <w:r w:rsidR="00E40186" w:rsidRPr="006070EA">
        <w:rPr>
          <w:rFonts w:asciiTheme="majorHAnsi" w:hAnsiTheme="majorHAnsi" w:cstheme="majorHAnsi"/>
          <w:szCs w:val="18"/>
        </w:rPr>
        <w:t xml:space="preserve"> </w:t>
      </w:r>
      <w:r w:rsidRPr="006070EA">
        <w:rPr>
          <w:rFonts w:asciiTheme="majorHAnsi" w:hAnsiTheme="majorHAnsi" w:cstheme="majorHAnsi"/>
        </w:rPr>
        <w:t xml:space="preserve">kraje. </w:t>
      </w:r>
    </w:p>
    <w:p w14:paraId="7816F3C4" w14:textId="531BE169" w:rsidR="0026757B" w:rsidRPr="006070EA" w:rsidRDefault="001357DA" w:rsidP="001524BA">
      <w:pPr>
        <w:pStyle w:val="Atext"/>
        <w:rPr>
          <w:rFonts w:asciiTheme="majorHAnsi" w:hAnsiTheme="majorHAnsi" w:cstheme="majorHAnsi"/>
          <w:b/>
          <w:snapToGrid w:val="0"/>
          <w:szCs w:val="18"/>
        </w:rPr>
      </w:pPr>
      <w:r w:rsidRPr="006070EA">
        <w:rPr>
          <w:rFonts w:asciiTheme="majorHAnsi" w:hAnsiTheme="majorHAnsi" w:cstheme="majorHAnsi"/>
        </w:rPr>
        <w:t>Aleje a stromořadí jsou ve většině případů historickým prvkem v území a spolupodílejí se na utváření krajinného rázu území, jsou orientačním prvkem v krajině, utváří měřítko krajiny v dálkových pohledech a uplatňují se jako charakteristický prvek tradiční zemědělské krajiny. Z těchto důvodů je stanovena jejich ochrana. V řešeném území rovněž představuje liniová zeleň v krajině historicky dochované plužiny, tedy doklad hospodaření v krajině a prvek významně se uplatňující jako krajinná hodnota, ale i jako ekostabilizační prvek v krajině.</w:t>
      </w:r>
    </w:p>
    <w:p w14:paraId="23929732" w14:textId="425FE53B" w:rsidR="00DB2B45" w:rsidRPr="006070EA" w:rsidRDefault="001357DA" w:rsidP="001524BA">
      <w:pPr>
        <w:pStyle w:val="Atext"/>
        <w:rPr>
          <w:rFonts w:asciiTheme="majorHAnsi" w:hAnsiTheme="majorHAnsi" w:cstheme="majorHAnsi"/>
        </w:rPr>
      </w:pPr>
      <w:r w:rsidRPr="006070EA">
        <w:rPr>
          <w:rFonts w:asciiTheme="majorHAnsi" w:hAnsiTheme="majorHAnsi" w:cstheme="majorHAnsi"/>
        </w:rPr>
        <w:t>Vodní toky jsou významnou atraktivitou každého území, představují obvykle nejvýraznější krajinné osy území a vážou na sebe kromě rozmanitých prvků krajinné zeleně také nejrůznější aktivity lidí (rekreaci a turistiku). Vodní prvky jsou rovněž významnými krajinnými prvky chráněnými ze zákona. Převážně se podílejí také na ekologické stabilitě území jako součást vymezeného ÚSES.</w:t>
      </w:r>
      <w:r w:rsidR="0026757B" w:rsidRPr="006070EA">
        <w:rPr>
          <w:rFonts w:asciiTheme="majorHAnsi" w:hAnsiTheme="majorHAnsi" w:cstheme="majorHAnsi"/>
        </w:rPr>
        <w:t xml:space="preserve"> </w:t>
      </w:r>
    </w:p>
    <w:p w14:paraId="49BF2FB5" w14:textId="08A9C9B6" w:rsidR="0026757B" w:rsidRPr="006070EA" w:rsidRDefault="001357DA" w:rsidP="001524BA">
      <w:pPr>
        <w:pStyle w:val="Atext"/>
        <w:rPr>
          <w:rFonts w:asciiTheme="majorHAnsi" w:hAnsiTheme="majorHAnsi" w:cstheme="majorHAnsi"/>
        </w:rPr>
      </w:pPr>
      <w:r w:rsidRPr="006070EA">
        <w:rPr>
          <w:rFonts w:asciiTheme="majorHAnsi" w:hAnsiTheme="majorHAnsi" w:cstheme="majorHAnsi"/>
        </w:rPr>
        <w:t xml:space="preserve">Plochy lesa jsou významnými krajinnými prvky chráněnými ze zákona. Lesní pozemky jsou dominantním krajinným prvkem v území a utvářejí jeho charakter, proto je nezbytná jejich ochrana. </w:t>
      </w:r>
      <w:r w:rsidR="0026757B" w:rsidRPr="006070EA">
        <w:rPr>
          <w:rFonts w:asciiTheme="majorHAnsi" w:hAnsiTheme="majorHAnsi" w:cstheme="majorHAnsi"/>
        </w:rPr>
        <w:t xml:space="preserve">Ochrana zemědělské půdy vychází ze zákona č. č. 334/1992 Sb., o ochraně zemědělského půdního fondu. Principy ochrany ZPF jsou podrobně popsány v kapitole </w:t>
      </w:r>
      <w:r w:rsidR="0026757B" w:rsidRPr="006070EA">
        <w:rPr>
          <w:rFonts w:asciiTheme="majorHAnsi" w:hAnsiTheme="majorHAnsi" w:cstheme="majorHAnsi"/>
          <w:i/>
        </w:rPr>
        <w:t>12.1 Vyhodnocení předpokládaných důsledků navrhovaného řešení na zemědělský půdní fond</w:t>
      </w:r>
      <w:r w:rsidR="0026757B" w:rsidRPr="006070EA">
        <w:rPr>
          <w:rFonts w:asciiTheme="majorHAnsi" w:hAnsiTheme="majorHAnsi" w:cstheme="majorHAnsi"/>
        </w:rPr>
        <w:t xml:space="preserve">. </w:t>
      </w:r>
    </w:p>
    <w:p w14:paraId="703501D9" w14:textId="7FAA9F83" w:rsidR="00DE6BA2" w:rsidRPr="006070EA" w:rsidRDefault="00DE6BA2" w:rsidP="00DE36D4">
      <w:pPr>
        <w:spacing w:line="240" w:lineRule="auto"/>
        <w:rPr>
          <w:rFonts w:asciiTheme="majorHAnsi" w:hAnsiTheme="majorHAnsi" w:cstheme="majorHAnsi"/>
          <w:b/>
          <w:sz w:val="18"/>
          <w:szCs w:val="18"/>
        </w:rPr>
      </w:pPr>
      <w:bookmarkStart w:id="276" w:name="_Toc424119843"/>
      <w:r w:rsidRPr="006070EA">
        <w:rPr>
          <w:rFonts w:asciiTheme="majorHAnsi" w:hAnsiTheme="majorHAnsi" w:cstheme="majorHAnsi"/>
          <w:b/>
          <w:sz w:val="18"/>
          <w:szCs w:val="18"/>
        </w:rPr>
        <w:t>Zvláště chráněné druhy rostlin a živočichů</w:t>
      </w:r>
    </w:p>
    <w:p w14:paraId="4FB65CA0" w14:textId="1F0E0D10" w:rsidR="00DE6BA2" w:rsidRPr="006070EA" w:rsidRDefault="00DE6BA2" w:rsidP="00252D49">
      <w:pPr>
        <w:spacing w:line="240" w:lineRule="auto"/>
        <w:jc w:val="both"/>
        <w:rPr>
          <w:rFonts w:asciiTheme="majorHAnsi" w:hAnsiTheme="majorHAnsi" w:cstheme="majorHAnsi"/>
          <w:bCs/>
          <w:sz w:val="18"/>
          <w:szCs w:val="18"/>
        </w:rPr>
      </w:pPr>
      <w:r w:rsidRPr="006070EA">
        <w:rPr>
          <w:rFonts w:asciiTheme="majorHAnsi" w:hAnsiTheme="majorHAnsi" w:cstheme="majorHAnsi"/>
          <w:bCs/>
          <w:sz w:val="18"/>
          <w:szCs w:val="18"/>
        </w:rPr>
        <w:tab/>
        <w:t xml:space="preserve">Do řešeného území </w:t>
      </w:r>
      <w:r w:rsidR="00252D49" w:rsidRPr="006070EA">
        <w:rPr>
          <w:rFonts w:asciiTheme="majorHAnsi" w:hAnsiTheme="majorHAnsi" w:cstheme="majorHAnsi"/>
          <w:bCs/>
          <w:sz w:val="18"/>
          <w:szCs w:val="18"/>
        </w:rPr>
        <w:t xml:space="preserve">zasahuje biotop vybraných zvláště chráněných druhů velkých savců (jev ÚPA </w:t>
      </w:r>
      <w:proofErr w:type="gramStart"/>
      <w:r w:rsidR="00252D49" w:rsidRPr="006070EA">
        <w:rPr>
          <w:rFonts w:asciiTheme="majorHAnsi" w:hAnsiTheme="majorHAnsi" w:cstheme="majorHAnsi"/>
          <w:bCs/>
          <w:sz w:val="18"/>
          <w:szCs w:val="18"/>
        </w:rPr>
        <w:t>36b</w:t>
      </w:r>
      <w:proofErr w:type="gramEnd"/>
      <w:r w:rsidR="00252D49" w:rsidRPr="006070EA">
        <w:rPr>
          <w:rFonts w:asciiTheme="majorHAnsi" w:hAnsiTheme="majorHAnsi" w:cstheme="majorHAnsi"/>
          <w:bCs/>
          <w:sz w:val="18"/>
          <w:szCs w:val="18"/>
        </w:rPr>
        <w:t>). Konkrétně se jedná o migrační koridor č. 175. V tomto území nesmí docházet k povolování staveb a zařízení, které by mohly omezit migrační funkce koridoru. Záměry (např. stavby, další zařízení, oplocení), které mohou zhoršit kvalitu biotopu v migračním koridoru z hlediska jeho průchodnosti pro cílové druhy, jsou považovány za škodlivý zásah do jejich přirozeného vývoje, zakázaný ust. § 50 zákona č. 114/1992 Sb., o ochraně přírody a krajiny, ve znění pozdějších předpisů (ZOPK).</w:t>
      </w:r>
    </w:p>
    <w:p w14:paraId="7C14F1DA" w14:textId="7D9E9EB3" w:rsidR="00252D49" w:rsidRPr="006070EA" w:rsidRDefault="00252D49" w:rsidP="00252D49">
      <w:pPr>
        <w:spacing w:line="240" w:lineRule="auto"/>
        <w:jc w:val="both"/>
        <w:rPr>
          <w:rFonts w:asciiTheme="majorHAnsi" w:hAnsiTheme="majorHAnsi" w:cstheme="majorHAnsi"/>
          <w:bCs/>
          <w:sz w:val="18"/>
          <w:szCs w:val="18"/>
        </w:rPr>
      </w:pPr>
      <w:r w:rsidRPr="006070EA">
        <w:rPr>
          <w:rFonts w:asciiTheme="majorHAnsi" w:hAnsiTheme="majorHAnsi" w:cstheme="majorHAnsi"/>
          <w:bCs/>
          <w:sz w:val="18"/>
          <w:szCs w:val="18"/>
        </w:rPr>
        <w:tab/>
        <w:t>V řešeném území se nachází lokalita výskytu zvláště chráněných druhů rostlin a živočichů s národním významem. Konkrétně se jedná o výskyt zvláště chráněného druhu listonoh jarní (</w:t>
      </w:r>
      <w:r w:rsidRPr="006070EA">
        <w:rPr>
          <w:rFonts w:asciiTheme="majorHAnsi" w:hAnsiTheme="majorHAnsi" w:cstheme="majorHAnsi"/>
          <w:bCs/>
          <w:i/>
          <w:iCs/>
          <w:sz w:val="18"/>
          <w:szCs w:val="18"/>
        </w:rPr>
        <w:t>Lepidaurus apus</w:t>
      </w:r>
      <w:r w:rsidRPr="006070EA">
        <w:rPr>
          <w:rFonts w:asciiTheme="majorHAnsi" w:hAnsiTheme="majorHAnsi" w:cstheme="majorHAnsi"/>
          <w:bCs/>
          <w:sz w:val="18"/>
          <w:szCs w:val="18"/>
        </w:rPr>
        <w:t>) v jihozápadní části území, poblíž hranice přírodní rezervace Mydlovarský luh. Při využití území je nutno respektovat podmínky ochrany dané ustanovením § 50 ZOPK.</w:t>
      </w:r>
    </w:p>
    <w:p w14:paraId="56580E07" w14:textId="13E47045" w:rsidR="00252D49" w:rsidRPr="006070EA" w:rsidRDefault="00252D49" w:rsidP="00FC1E99">
      <w:pPr>
        <w:spacing w:line="240" w:lineRule="auto"/>
        <w:ind w:firstLine="709"/>
        <w:jc w:val="both"/>
        <w:rPr>
          <w:rFonts w:asciiTheme="majorHAnsi" w:hAnsiTheme="majorHAnsi" w:cstheme="majorHAnsi"/>
          <w:bCs/>
          <w:sz w:val="18"/>
          <w:szCs w:val="18"/>
        </w:rPr>
      </w:pPr>
      <w:r w:rsidRPr="006070EA">
        <w:rPr>
          <w:rFonts w:asciiTheme="majorHAnsi" w:hAnsiTheme="majorHAnsi" w:cstheme="majorHAnsi"/>
          <w:bCs/>
          <w:sz w:val="18"/>
          <w:szCs w:val="18"/>
        </w:rPr>
        <w:t xml:space="preserve">Výše uvedené lokality jsou územním plánem respektovány a jsou zobrazeny v grafické části odůvodnění ÚP, ve výkrese </w:t>
      </w:r>
      <w:r w:rsidR="00433C39" w:rsidRPr="006070EA">
        <w:rPr>
          <w:rFonts w:asciiTheme="majorHAnsi" w:hAnsiTheme="majorHAnsi" w:cstheme="majorHAnsi"/>
          <w:bCs/>
          <w:sz w:val="18"/>
          <w:szCs w:val="18"/>
        </w:rPr>
        <w:t>4</w:t>
      </w:r>
      <w:r w:rsidRPr="006070EA">
        <w:rPr>
          <w:rFonts w:asciiTheme="majorHAnsi" w:hAnsiTheme="majorHAnsi" w:cstheme="majorHAnsi"/>
          <w:bCs/>
          <w:sz w:val="18"/>
          <w:szCs w:val="18"/>
        </w:rPr>
        <w:t xml:space="preserve"> Koordinační výkres.</w:t>
      </w:r>
    </w:p>
    <w:p w14:paraId="4CB430F3" w14:textId="6F822E3E" w:rsidR="00E03D3E" w:rsidRPr="006070EA" w:rsidRDefault="00E03D3E" w:rsidP="00DE36D4">
      <w:pPr>
        <w:spacing w:line="240" w:lineRule="auto"/>
        <w:rPr>
          <w:rFonts w:asciiTheme="majorHAnsi" w:hAnsiTheme="majorHAnsi" w:cstheme="majorHAnsi"/>
          <w:b/>
          <w:sz w:val="18"/>
          <w:szCs w:val="18"/>
          <w:u w:val="single"/>
        </w:rPr>
      </w:pPr>
      <w:r w:rsidRPr="006070EA">
        <w:rPr>
          <w:rFonts w:asciiTheme="majorHAnsi" w:hAnsiTheme="majorHAnsi" w:cstheme="majorHAnsi"/>
          <w:b/>
          <w:sz w:val="18"/>
          <w:szCs w:val="18"/>
          <w:u w:val="single"/>
        </w:rPr>
        <w:t>Ochrana civilizačních a technických hodnot</w:t>
      </w:r>
    </w:p>
    <w:p w14:paraId="37C6AF3F" w14:textId="35EABE5E" w:rsidR="00E03D3E" w:rsidRPr="006070EA" w:rsidRDefault="00E03D3E" w:rsidP="002118D2">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DE36D4" w:rsidRPr="006070EA">
        <w:rPr>
          <w:rFonts w:asciiTheme="majorHAnsi" w:hAnsiTheme="majorHAnsi" w:cstheme="majorHAnsi"/>
          <w:b/>
          <w:i/>
          <w:snapToGrid w:val="0"/>
          <w:u w:val="single"/>
        </w:rPr>
        <w:t>6</w:t>
      </w:r>
      <w:r w:rsidRPr="006070EA">
        <w:rPr>
          <w:rFonts w:asciiTheme="majorHAnsi" w:hAnsiTheme="majorHAnsi" w:cstheme="majorHAnsi"/>
          <w:b/>
          <w:i/>
          <w:snapToGrid w:val="0"/>
          <w:u w:val="single"/>
        </w:rPr>
        <w:t>)</w:t>
      </w:r>
      <w:r w:rsidRPr="006070EA">
        <w:rPr>
          <w:rFonts w:asciiTheme="majorHAnsi" w:hAnsiTheme="majorHAnsi" w:cstheme="majorHAnsi"/>
          <w:i/>
          <w:snapToGrid w:val="0"/>
          <w:u w:val="single"/>
        </w:rPr>
        <w:t xml:space="preserve"> výrokové části</w:t>
      </w:r>
    </w:p>
    <w:p w14:paraId="5C3DDCFA" w14:textId="77777777" w:rsidR="00E03D3E" w:rsidRPr="006070EA" w:rsidRDefault="00E03D3E" w:rsidP="001357DA">
      <w:pPr>
        <w:pStyle w:val="Atext"/>
        <w:keepNext/>
        <w:rPr>
          <w:rFonts w:asciiTheme="majorHAnsi" w:hAnsiTheme="majorHAnsi" w:cstheme="majorHAnsi"/>
        </w:rPr>
      </w:pPr>
      <w:r w:rsidRPr="006070EA">
        <w:rPr>
          <w:rFonts w:asciiTheme="majorHAnsi" w:hAnsiTheme="majorHAnsi" w:cstheme="majorHAnsi"/>
        </w:rPr>
        <w:t>Ochrana civilizačních a technických hodnot území vyplývá z požadavků PÚR ČR „</w:t>
      </w:r>
      <w:r w:rsidRPr="006070EA">
        <w:rPr>
          <w:rFonts w:asciiTheme="majorHAnsi" w:hAnsiTheme="majorHAnsi" w:cstheme="majorHAnsi"/>
          <w:i/>
        </w:rPr>
        <w:t>Ve veřejném zájmu chránit a</w:t>
      </w:r>
      <w:r w:rsidR="006C1520" w:rsidRPr="006070EA">
        <w:rPr>
          <w:rFonts w:asciiTheme="majorHAnsi" w:hAnsiTheme="majorHAnsi" w:cstheme="majorHAnsi"/>
          <w:i/>
        </w:rPr>
        <w:t> </w:t>
      </w:r>
      <w:r w:rsidRPr="006070EA">
        <w:rPr>
          <w:rFonts w:asciiTheme="majorHAnsi" w:hAnsiTheme="majorHAnsi" w:cstheme="majorHAnsi"/>
          <w:i/>
        </w:rPr>
        <w:t>rozvíjet přírodní, civilizační a kulturní hodnoty území.</w:t>
      </w:r>
      <w:r w:rsidRPr="006070EA">
        <w:rPr>
          <w:rFonts w:asciiTheme="majorHAnsi" w:hAnsiTheme="majorHAnsi" w:cstheme="majorHAnsi"/>
        </w:rPr>
        <w:t xml:space="preserve">“ </w:t>
      </w:r>
    </w:p>
    <w:p w14:paraId="4C533B89" w14:textId="77777777" w:rsidR="00E03D3E" w:rsidRPr="006070EA" w:rsidRDefault="00E03D3E" w:rsidP="001357DA">
      <w:pPr>
        <w:pStyle w:val="Atext"/>
        <w:keepNext/>
        <w:rPr>
          <w:rFonts w:asciiTheme="majorHAnsi" w:hAnsiTheme="majorHAnsi" w:cstheme="majorHAnsi"/>
        </w:rPr>
      </w:pPr>
      <w:r w:rsidRPr="006070EA">
        <w:rPr>
          <w:rFonts w:asciiTheme="majorHAnsi" w:hAnsiTheme="majorHAnsi" w:cstheme="majorHAnsi"/>
        </w:rPr>
        <w:t xml:space="preserve">Základní požadavky na ochranu civilizačních a technických hodnot jsou uvedeny v nejrůznějších právních předpisech, zejména: </w:t>
      </w:r>
    </w:p>
    <w:p w14:paraId="301FD302" w14:textId="77777777" w:rsidR="00E03D3E" w:rsidRPr="006070EA" w:rsidRDefault="00E03D3E" w:rsidP="003A4B1E">
      <w:pPr>
        <w:pStyle w:val="Atextkurzva"/>
        <w:numPr>
          <w:ilvl w:val="0"/>
          <w:numId w:val="25"/>
        </w:numPr>
        <w:spacing w:before="60" w:after="60"/>
        <w:ind w:left="1134"/>
        <w:rPr>
          <w:rFonts w:asciiTheme="majorHAnsi" w:hAnsiTheme="majorHAnsi" w:cstheme="majorHAnsi"/>
        </w:rPr>
      </w:pPr>
      <w:r w:rsidRPr="006070EA">
        <w:rPr>
          <w:rFonts w:asciiTheme="majorHAnsi" w:hAnsiTheme="majorHAnsi" w:cstheme="majorHAnsi"/>
        </w:rPr>
        <w:t>v oblasti veřejné dopravy zákon č. 13/1997 Sb., o pozemních komunikacích</w:t>
      </w:r>
    </w:p>
    <w:p w14:paraId="4FEEBE34" w14:textId="44DA19AF" w:rsidR="00E03D3E" w:rsidRPr="006070EA" w:rsidRDefault="00E03D3E" w:rsidP="003A4B1E">
      <w:pPr>
        <w:pStyle w:val="Atextkurzva"/>
        <w:numPr>
          <w:ilvl w:val="0"/>
          <w:numId w:val="25"/>
        </w:numPr>
        <w:spacing w:before="60" w:after="60"/>
        <w:ind w:left="1134"/>
        <w:rPr>
          <w:rFonts w:asciiTheme="majorHAnsi" w:hAnsiTheme="majorHAnsi" w:cstheme="majorHAnsi"/>
        </w:rPr>
      </w:pPr>
      <w:r w:rsidRPr="006070EA">
        <w:rPr>
          <w:rFonts w:asciiTheme="majorHAnsi" w:hAnsiTheme="majorHAnsi" w:cstheme="majorHAnsi"/>
        </w:rPr>
        <w:t>v oblasti technické infrastruktury zákon č. 274/2001 Sb., o vodovodech a kanalizacích pro veřejnou potřebu a</w:t>
      </w:r>
      <w:r w:rsidR="006C1520" w:rsidRPr="006070EA">
        <w:rPr>
          <w:rFonts w:asciiTheme="majorHAnsi" w:hAnsiTheme="majorHAnsi" w:cstheme="majorHAnsi"/>
        </w:rPr>
        <w:t> </w:t>
      </w:r>
      <w:r w:rsidRPr="006070EA">
        <w:rPr>
          <w:rFonts w:asciiTheme="majorHAnsi" w:hAnsiTheme="majorHAnsi" w:cstheme="majorHAnsi"/>
        </w:rPr>
        <w:t>o</w:t>
      </w:r>
      <w:r w:rsidR="001357DA" w:rsidRPr="006070EA">
        <w:rPr>
          <w:rFonts w:asciiTheme="majorHAnsi" w:hAnsiTheme="majorHAnsi" w:cstheme="majorHAnsi"/>
        </w:rPr>
        <w:t> </w:t>
      </w:r>
      <w:r w:rsidRPr="006070EA">
        <w:rPr>
          <w:rFonts w:asciiTheme="majorHAnsi" w:hAnsiTheme="majorHAnsi" w:cstheme="majorHAnsi"/>
        </w:rPr>
        <w:t>změně některých zákonů, zákon č. 458/2000 Sb. (energetický zákon)</w:t>
      </w:r>
    </w:p>
    <w:p w14:paraId="1503BFDD" w14:textId="77777777" w:rsidR="00E03D3E" w:rsidRPr="006070EA" w:rsidRDefault="00E03D3E" w:rsidP="003A4B1E">
      <w:pPr>
        <w:pStyle w:val="Atextkurzva"/>
        <w:numPr>
          <w:ilvl w:val="0"/>
          <w:numId w:val="25"/>
        </w:numPr>
        <w:spacing w:before="60" w:after="60"/>
        <w:ind w:left="1134"/>
        <w:rPr>
          <w:rFonts w:asciiTheme="majorHAnsi" w:hAnsiTheme="majorHAnsi" w:cstheme="majorHAnsi"/>
        </w:rPr>
      </w:pPr>
      <w:r w:rsidRPr="006070EA">
        <w:rPr>
          <w:rFonts w:asciiTheme="majorHAnsi" w:hAnsiTheme="majorHAnsi" w:cstheme="majorHAnsi"/>
        </w:rPr>
        <w:t>v oblasti veřejných prostranství a občanské vybavenosti zejména zákon č. 183/2006 Sb. (stavební zákon)</w:t>
      </w:r>
    </w:p>
    <w:p w14:paraId="4BE43523" w14:textId="77777777" w:rsidR="00E03D3E" w:rsidRPr="006070EA" w:rsidRDefault="00E03D3E" w:rsidP="001357DA">
      <w:pPr>
        <w:pStyle w:val="Atext"/>
        <w:rPr>
          <w:rFonts w:asciiTheme="majorHAnsi" w:hAnsiTheme="majorHAnsi" w:cstheme="majorHAnsi"/>
        </w:rPr>
      </w:pPr>
      <w:r w:rsidRPr="006070EA">
        <w:rPr>
          <w:rFonts w:asciiTheme="majorHAnsi" w:hAnsiTheme="majorHAnsi" w:cstheme="majorHAnsi"/>
        </w:rPr>
        <w:lastRenderedPageBreak/>
        <w:t xml:space="preserve">Civilizační hodnoty představují základní vybavenost území obce pro jeho využívání lidmi. Hustota a intenzita umisťování civilizačních hodnot roste s intenzitou sídelní struktury a s počtem obyvatel nebo uživatelů území. Civilizační hodnoty zajišťují obsluhu celého území a jejich ochrana je ve veřejném zájmu. </w:t>
      </w:r>
    </w:p>
    <w:p w14:paraId="0CD74DDE" w14:textId="77777777" w:rsidR="00E03D3E" w:rsidRPr="006070EA" w:rsidRDefault="00E03D3E" w:rsidP="001357DA">
      <w:pPr>
        <w:pStyle w:val="Atext"/>
        <w:rPr>
          <w:rFonts w:asciiTheme="majorHAnsi" w:hAnsiTheme="majorHAnsi" w:cstheme="majorHAnsi"/>
        </w:rPr>
      </w:pPr>
      <w:r w:rsidRPr="006070EA">
        <w:rPr>
          <w:rFonts w:asciiTheme="majorHAnsi" w:hAnsiTheme="majorHAnsi" w:cstheme="majorHAnsi"/>
        </w:rPr>
        <w:t>Systémy dopravní a technické infrastruktury, které jsou součástí veřejné infrastruktury, představují základní systém zajišťující pohyb a pobyt lidí v území. Ochrana těchto hodnot je hlavním předpokladem pro kvalitní obsluhu sídel a</w:t>
      </w:r>
      <w:r w:rsidR="006C1520" w:rsidRPr="006070EA">
        <w:rPr>
          <w:rFonts w:asciiTheme="majorHAnsi" w:hAnsiTheme="majorHAnsi" w:cstheme="majorHAnsi"/>
        </w:rPr>
        <w:t> </w:t>
      </w:r>
      <w:r w:rsidRPr="006070EA">
        <w:rPr>
          <w:rFonts w:asciiTheme="majorHAnsi" w:hAnsiTheme="majorHAnsi" w:cstheme="majorHAnsi"/>
        </w:rPr>
        <w:t>vysokou kvalitu bydlení a dalších aktivit v území.</w:t>
      </w:r>
    </w:p>
    <w:p w14:paraId="3AD3026F" w14:textId="5D624B34" w:rsidR="00E03D3E" w:rsidRPr="006070EA" w:rsidRDefault="00E03D3E" w:rsidP="001357DA">
      <w:pPr>
        <w:pStyle w:val="Atext"/>
        <w:rPr>
          <w:rFonts w:asciiTheme="majorHAnsi" w:hAnsiTheme="majorHAnsi" w:cstheme="majorHAnsi"/>
        </w:rPr>
      </w:pPr>
      <w:r w:rsidRPr="006070EA">
        <w:rPr>
          <w:rFonts w:asciiTheme="majorHAnsi" w:hAnsiTheme="majorHAnsi" w:cstheme="majorHAnsi"/>
        </w:rPr>
        <w:t xml:space="preserve">Veřejná prostranství definují strukturu území – podél nich se rozvíjela zástavba, trasy pak vedly dále do volné krajiny a zprostředkovaly propojení sídel a sousedních obcí. Systém veřejných prostranství zajišťuje prostupnost území, kterou je nutné chránit a rozvíjet s ohledem na § 3 odst. 5 vyhlášky č. 501/2006 Sb. Plochy veřejných prostranství v sídlech (např. návsi, shromažďovací prostory, veřejně přístupná zákoutí s posezením apod.) mají zásadní význam v rozvoji komunitního života sídel a ve zvyšování sociální soudržnosti obyvatel, proto je nutné je chránit. </w:t>
      </w:r>
    </w:p>
    <w:p w14:paraId="1EEBE78E" w14:textId="2AFD2A30" w:rsidR="001357DA" w:rsidRPr="006070EA" w:rsidRDefault="001357DA" w:rsidP="001357DA">
      <w:pPr>
        <w:pStyle w:val="Atext"/>
        <w:rPr>
          <w:rFonts w:asciiTheme="majorHAnsi" w:hAnsiTheme="majorHAnsi" w:cstheme="majorHAnsi"/>
        </w:rPr>
      </w:pPr>
      <w:r w:rsidRPr="006070EA">
        <w:rPr>
          <w:rFonts w:asciiTheme="majorHAnsi" w:hAnsiTheme="majorHAnsi" w:cstheme="majorHAnsi"/>
        </w:rPr>
        <w:t>Důvodem ochrany veřejné zeleně je zejména fakt, že se jedná o veřejnou infrastrukturu ve smyslu § 2 odst. 1 písm. k) stavebního zákona, která je součástí ploch veřejných prostranství. Plochy zeleně jsou vymezeny ve veřejném zájmu, proto jejich využití nesmí být narušeno parciálními zájmy v území. Stav a rozsah sídelní zeleně v území je významným indikátorem kvality obytného prostředí. Plochy sídelní zeleně tvoří jednak doplňkovou funkci v obytném prostředí, mají estetickou, kompoziční a hygienickou funkci v sídlech, a proto je nutné je chránit, resp. významnou zeleň přímo vymezit v rámci ploch zeleně s vyloučením zástavby.</w:t>
      </w:r>
    </w:p>
    <w:p w14:paraId="4C112C6C" w14:textId="77777777" w:rsidR="00E03D3E" w:rsidRPr="006070EA" w:rsidRDefault="00E03D3E" w:rsidP="001357DA">
      <w:pPr>
        <w:pStyle w:val="Atext"/>
        <w:rPr>
          <w:rFonts w:asciiTheme="majorHAnsi" w:hAnsiTheme="majorHAnsi" w:cstheme="majorHAnsi"/>
        </w:rPr>
      </w:pPr>
      <w:r w:rsidRPr="006070EA">
        <w:rPr>
          <w:rFonts w:asciiTheme="majorHAnsi" w:hAnsiTheme="majorHAnsi" w:cstheme="majorHAnsi"/>
        </w:rPr>
        <w:t>Nezbytnost ochrany základní i vyšší občanské vybavenosti je základním pilířem poskytování služeb obyvatelům a</w:t>
      </w:r>
      <w:r w:rsidR="006C1520" w:rsidRPr="006070EA">
        <w:rPr>
          <w:rFonts w:asciiTheme="majorHAnsi" w:hAnsiTheme="majorHAnsi" w:cstheme="majorHAnsi"/>
        </w:rPr>
        <w:t> </w:t>
      </w:r>
      <w:r w:rsidRPr="006070EA">
        <w:rPr>
          <w:rFonts w:asciiTheme="majorHAnsi" w:hAnsiTheme="majorHAnsi" w:cstheme="majorHAnsi"/>
        </w:rPr>
        <w:t>zvyšuje atraktivitu území pro pohyb a pobyt obyvatel a návštěvníků obce. Občanské vybavení je chráněno jako součást veřejné infrastruktury dle § 2 odst. k) stavebního zákona</w:t>
      </w:r>
      <w:r w:rsidRPr="006070EA">
        <w:rPr>
          <w:rFonts w:asciiTheme="majorHAnsi" w:hAnsiTheme="majorHAnsi" w:cstheme="majorHAnsi"/>
          <w:i/>
        </w:rPr>
        <w:t>.</w:t>
      </w:r>
    </w:p>
    <w:p w14:paraId="13BF0F2C" w14:textId="77777777" w:rsidR="0046613A" w:rsidRPr="006070EA" w:rsidRDefault="0046613A" w:rsidP="003A4B1E">
      <w:pPr>
        <w:pStyle w:val="Odstavecseseznamem"/>
        <w:keepNext/>
        <w:keepLines/>
        <w:numPr>
          <w:ilvl w:val="2"/>
          <w:numId w:val="30"/>
        </w:numPr>
        <w:spacing w:before="160" w:after="120" w:line="240" w:lineRule="auto"/>
        <w:ind w:left="709" w:hanging="709"/>
        <w:contextualSpacing w:val="0"/>
        <w:outlineLvl w:val="2"/>
        <w:rPr>
          <w:rFonts w:asciiTheme="majorHAnsi" w:hAnsiTheme="majorHAnsi" w:cstheme="majorHAnsi"/>
          <w:b/>
        </w:rPr>
      </w:pPr>
      <w:bookmarkStart w:id="277" w:name="_Toc204678191"/>
      <w:r w:rsidRPr="006070EA">
        <w:rPr>
          <w:rFonts w:asciiTheme="majorHAnsi" w:hAnsiTheme="majorHAnsi" w:cstheme="majorHAnsi"/>
          <w:b/>
        </w:rPr>
        <w:t>Civilní obrana, obrana státu, požární ochrana a další specifické požadavky</w:t>
      </w:r>
      <w:bookmarkEnd w:id="276"/>
      <w:bookmarkEnd w:id="277"/>
    </w:p>
    <w:p w14:paraId="053E6ADB" w14:textId="77777777" w:rsidR="0081184B" w:rsidRPr="006070EA" w:rsidRDefault="0081184B" w:rsidP="0081184B">
      <w:pPr>
        <w:pStyle w:val="Anadpistun"/>
        <w:ind w:firstLine="709"/>
        <w:rPr>
          <w:rFonts w:asciiTheme="majorHAnsi" w:hAnsiTheme="majorHAnsi" w:cstheme="majorHAnsi"/>
          <w:b w:val="0"/>
          <w:bCs/>
          <w:color w:val="000000"/>
          <w:szCs w:val="18"/>
          <w:lang w:eastAsia="x-none"/>
        </w:rPr>
      </w:pPr>
      <w:bookmarkStart w:id="278" w:name="_Toc415755991"/>
      <w:bookmarkStart w:id="279" w:name="_Toc415756357"/>
      <w:bookmarkStart w:id="280" w:name="_Toc415756716"/>
      <w:bookmarkStart w:id="281" w:name="_Toc415756966"/>
      <w:bookmarkStart w:id="282" w:name="_Toc415757216"/>
      <w:bookmarkStart w:id="283" w:name="_Toc415757465"/>
      <w:bookmarkStart w:id="284" w:name="_Toc415757623"/>
      <w:bookmarkStart w:id="285" w:name="_Toc424050147"/>
      <w:bookmarkStart w:id="286" w:name="_Toc424050321"/>
      <w:bookmarkStart w:id="287" w:name="_Toc424050479"/>
      <w:bookmarkStart w:id="288" w:name="_Toc424112341"/>
      <w:bookmarkStart w:id="289" w:name="_Toc424119365"/>
      <w:bookmarkStart w:id="290" w:name="_Toc424119844"/>
      <w:bookmarkStart w:id="291" w:name="_Toc424120100"/>
      <w:bookmarkStart w:id="292" w:name="_Toc424120526"/>
      <w:bookmarkStart w:id="293" w:name="_Toc424126232"/>
      <w:bookmarkStart w:id="294" w:name="_Toc424138813"/>
      <w:bookmarkStart w:id="295" w:name="_Toc445291935"/>
      <w:bookmarkStart w:id="296" w:name="_Toc445910448"/>
      <w:bookmarkStart w:id="297" w:name="_Toc448831931"/>
      <w:bookmarkStart w:id="298" w:name="_Toc448832121"/>
      <w:bookmarkStart w:id="299" w:name="_Toc450037781"/>
      <w:bookmarkStart w:id="300" w:name="_Toc450223075"/>
      <w:bookmarkStart w:id="301" w:name="_Toc472325706"/>
      <w:bookmarkStart w:id="302" w:name="_Toc485214923"/>
      <w:bookmarkStart w:id="303" w:name="_Toc485378076"/>
      <w:bookmarkStart w:id="304" w:name="_Toc485378198"/>
      <w:bookmarkStart w:id="305" w:name="_Toc424119845"/>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r w:rsidRPr="006070EA">
        <w:rPr>
          <w:rFonts w:asciiTheme="majorHAnsi" w:hAnsiTheme="majorHAnsi" w:cstheme="majorHAnsi"/>
          <w:b w:val="0"/>
          <w:bCs/>
          <w:color w:val="000000"/>
          <w:szCs w:val="18"/>
          <w:lang w:eastAsia="x-none"/>
        </w:rPr>
        <w:t>Obec nemá vypracovaný vlastní krizový plán pro civilní ochranu, obranu státu a požární ochranu. V mimořádných situacích budou tak použity obecné směrnice dle zpracovaného Havarijního plánu Středočeského kraje.</w:t>
      </w:r>
    </w:p>
    <w:p w14:paraId="4695F9B2"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t>Civilní ochrana</w:t>
      </w:r>
    </w:p>
    <w:p w14:paraId="02990CF7" w14:textId="39D43D46" w:rsidR="0081184B" w:rsidRPr="006070EA" w:rsidRDefault="0081184B" w:rsidP="0081184B">
      <w:pPr>
        <w:pStyle w:val="Norml"/>
        <w:rPr>
          <w:rFonts w:asciiTheme="majorHAnsi" w:hAnsiTheme="majorHAnsi" w:cstheme="majorHAnsi"/>
          <w:color w:val="000000"/>
          <w:szCs w:val="18"/>
        </w:rPr>
      </w:pPr>
      <w:r w:rsidRPr="006070EA">
        <w:rPr>
          <w:rFonts w:asciiTheme="majorHAnsi" w:hAnsiTheme="majorHAnsi" w:cstheme="majorHAnsi"/>
          <w:color w:val="000000"/>
          <w:szCs w:val="18"/>
        </w:rPr>
        <w:t xml:space="preserve">Dle zákona č. 239/2000 Sb., o integrovaném záchranném systému a o změně některých zákonů, ve znění pozdějších předpisů, byl pro </w:t>
      </w:r>
      <w:r w:rsidR="001357DA" w:rsidRPr="006070EA">
        <w:rPr>
          <w:rFonts w:asciiTheme="majorHAnsi" w:hAnsiTheme="majorHAnsi" w:cstheme="majorHAnsi"/>
          <w:color w:val="000000"/>
          <w:szCs w:val="18"/>
        </w:rPr>
        <w:t xml:space="preserve">Středočeský </w:t>
      </w:r>
      <w:r w:rsidRPr="006070EA">
        <w:rPr>
          <w:rFonts w:asciiTheme="majorHAnsi" w:hAnsiTheme="majorHAnsi" w:cstheme="majorHAnsi"/>
          <w:color w:val="000000"/>
          <w:szCs w:val="18"/>
        </w:rPr>
        <w:t>kraj</w:t>
      </w:r>
      <w:r w:rsidR="001357DA" w:rsidRPr="006070EA">
        <w:rPr>
          <w:rFonts w:asciiTheme="majorHAnsi" w:hAnsiTheme="majorHAnsi" w:cstheme="majorHAnsi"/>
          <w:color w:val="000000"/>
          <w:szCs w:val="18"/>
        </w:rPr>
        <w:t xml:space="preserve"> </w:t>
      </w:r>
      <w:r w:rsidRPr="006070EA">
        <w:rPr>
          <w:rFonts w:asciiTheme="majorHAnsi" w:hAnsiTheme="majorHAnsi" w:cstheme="majorHAnsi"/>
          <w:color w:val="000000"/>
          <w:szCs w:val="18"/>
        </w:rPr>
        <w:t>zpracován Krizový plán Středočeského kraje představující souhrn opatření k provádění záchranných a likvidačních prací k odvrácení nebo omezení bezprostředního působení ohrožení vzniklých mimořádnou událostí a k odstranění následků způsobených mimořádnou událostí.</w:t>
      </w:r>
    </w:p>
    <w:p w14:paraId="44931767" w14:textId="77777777" w:rsidR="0081184B" w:rsidRPr="006070EA" w:rsidRDefault="0081184B" w:rsidP="0081184B">
      <w:pPr>
        <w:pStyle w:val="Norml"/>
        <w:rPr>
          <w:rFonts w:asciiTheme="majorHAnsi" w:hAnsiTheme="majorHAnsi" w:cstheme="majorHAnsi"/>
          <w:color w:val="000000"/>
          <w:szCs w:val="18"/>
        </w:rPr>
      </w:pPr>
      <w:r w:rsidRPr="006070EA">
        <w:rPr>
          <w:rFonts w:asciiTheme="majorHAnsi" w:hAnsiTheme="majorHAnsi" w:cstheme="majorHAnsi"/>
          <w:color w:val="000000"/>
          <w:szCs w:val="18"/>
        </w:rPr>
        <w:t>Krizový/ Havarijní plán je základním dokumentem kraje pro řešení mimořádných situací v případě živelních pohrom, antropogenních havárií nebo jiných nebezpečí, která ohrožují životy, zdraví, značné majetkové hodnoty nebo životní prostředí. Havarijní plán je určen k plánování a řízení postupu integrovaného záchranného systému a je závazným dokumentem pro všechny obce, správní úřady, fyzické i právnické osoby nacházející se na území kraje.</w:t>
      </w:r>
    </w:p>
    <w:p w14:paraId="59F5A2AF" w14:textId="77777777" w:rsidR="0081184B" w:rsidRPr="006070EA" w:rsidRDefault="0081184B" w:rsidP="0081184B">
      <w:pPr>
        <w:pStyle w:val="Norml"/>
        <w:rPr>
          <w:rFonts w:asciiTheme="majorHAnsi" w:hAnsiTheme="majorHAnsi" w:cstheme="majorHAnsi"/>
          <w:color w:val="000000"/>
          <w:szCs w:val="18"/>
        </w:rPr>
      </w:pPr>
      <w:r w:rsidRPr="006070EA">
        <w:rPr>
          <w:rFonts w:asciiTheme="majorHAnsi" w:hAnsiTheme="majorHAnsi" w:cstheme="majorHAnsi"/>
          <w:color w:val="000000"/>
          <w:szCs w:val="18"/>
        </w:rPr>
        <w:t>Dle nařízení vlády č. 462/2000 Sb., k provedení § 27 odst. 8 a § 28 odst. 5 zákona č. 240/2000 Sb., o krizovém řízení a o změně některých zákonů (krizový zákon), ve znění nařízení vlády č. 36/2003 Sb., byl pro Kraj Vysočina zpracován Krizový plán obsahující souhrn krizových opatření a postupů, které kraj zpracovává k zajištění připravenosti na řešení krizových situací v dané působnosti.</w:t>
      </w:r>
    </w:p>
    <w:p w14:paraId="3F6F035E"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t>Ochrana území před průchodem povodňové vlny vzniklé zvláštní povodní</w:t>
      </w:r>
    </w:p>
    <w:p w14:paraId="20E1074A" w14:textId="59E12F8B"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V řešeném území nejsou známy situace, při kterých by bylo nutné chránit území před průchodem průlomové vlny vzniklé zvláštní povodní. V řešeném území není vymezeno území zvláštní povodně.</w:t>
      </w:r>
    </w:p>
    <w:p w14:paraId="73E16910"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t>Zóny havarijního plánování</w:t>
      </w:r>
    </w:p>
    <w:p w14:paraId="29887A15" w14:textId="77777777"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Do řešeného území nezasahuje žádná zóna havarijního plánování. V řešeném území se nenachází žádný subjekt nakládající ve větším rozsahu s nebezpečnými látkami.</w:t>
      </w:r>
    </w:p>
    <w:p w14:paraId="73C0476D"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t xml:space="preserve">Evakuace obyvatelstva a jeho ubytování                       </w:t>
      </w:r>
    </w:p>
    <w:p w14:paraId="32810B99" w14:textId="03E8B4AB"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Obyvatelé postižení mimořádnou událostí mohou být ubytováni v určených objektech na území obce Kostomlaty nad Labem</w:t>
      </w:r>
      <w:r w:rsidR="00C65EB6" w:rsidRPr="006070EA">
        <w:rPr>
          <w:rFonts w:asciiTheme="majorHAnsi" w:hAnsiTheme="majorHAnsi" w:cstheme="majorHAnsi"/>
          <w:color w:val="000000"/>
          <w:szCs w:val="18"/>
        </w:rPr>
        <w:t xml:space="preserve"> </w:t>
      </w:r>
      <w:r w:rsidRPr="006070EA">
        <w:rPr>
          <w:rFonts w:asciiTheme="majorHAnsi" w:hAnsiTheme="majorHAnsi" w:cstheme="majorHAnsi"/>
          <w:color w:val="000000"/>
          <w:szCs w:val="18"/>
        </w:rPr>
        <w:t xml:space="preserve">i mimo něj dle zpracovaného Havarijního plánu Středočeského kraje. Pro shromáždění obyvatel v případě mimořádné události a pro potřeby provedení evakuace obyvatel bude v evakuačním středisku zřízena pracovní skupina, která bude spolupracovat s krizovým štábem obce s rozšířenou působností Nymburk. Jako shromažďovací prostor je vhodné využít zejména </w:t>
      </w:r>
      <w:r w:rsidR="00C65EB6" w:rsidRPr="006070EA">
        <w:rPr>
          <w:rFonts w:asciiTheme="majorHAnsi" w:hAnsiTheme="majorHAnsi" w:cstheme="majorHAnsi"/>
          <w:color w:val="000000"/>
          <w:szCs w:val="18"/>
        </w:rPr>
        <w:t xml:space="preserve">významnější </w:t>
      </w:r>
      <w:r w:rsidRPr="006070EA">
        <w:rPr>
          <w:rFonts w:asciiTheme="majorHAnsi" w:hAnsiTheme="majorHAnsi" w:cstheme="majorHAnsi"/>
          <w:color w:val="000000"/>
          <w:szCs w:val="18"/>
        </w:rPr>
        <w:t>veřejn</w:t>
      </w:r>
      <w:r w:rsidR="00C65EB6" w:rsidRPr="006070EA">
        <w:rPr>
          <w:rFonts w:asciiTheme="majorHAnsi" w:hAnsiTheme="majorHAnsi" w:cstheme="majorHAnsi"/>
          <w:color w:val="000000"/>
          <w:szCs w:val="18"/>
        </w:rPr>
        <w:t>á</w:t>
      </w:r>
      <w:r w:rsidRPr="006070EA">
        <w:rPr>
          <w:rFonts w:asciiTheme="majorHAnsi" w:hAnsiTheme="majorHAnsi" w:cstheme="majorHAnsi"/>
          <w:color w:val="000000"/>
          <w:szCs w:val="18"/>
        </w:rPr>
        <w:t xml:space="preserve"> prostranství</w:t>
      </w:r>
      <w:r w:rsidR="00B03626" w:rsidRPr="006070EA">
        <w:rPr>
          <w:rFonts w:asciiTheme="majorHAnsi" w:hAnsiTheme="majorHAnsi" w:cstheme="majorHAnsi"/>
          <w:color w:val="000000"/>
          <w:szCs w:val="18"/>
        </w:rPr>
        <w:t xml:space="preserve"> u </w:t>
      </w:r>
      <w:r w:rsidRPr="006070EA">
        <w:rPr>
          <w:rFonts w:asciiTheme="majorHAnsi" w:hAnsiTheme="majorHAnsi" w:cstheme="majorHAnsi"/>
          <w:color w:val="000000"/>
          <w:szCs w:val="18"/>
        </w:rPr>
        <w:t>objekt</w:t>
      </w:r>
      <w:r w:rsidR="00B03626" w:rsidRPr="006070EA">
        <w:rPr>
          <w:rFonts w:asciiTheme="majorHAnsi" w:hAnsiTheme="majorHAnsi" w:cstheme="majorHAnsi"/>
          <w:color w:val="000000"/>
          <w:szCs w:val="18"/>
        </w:rPr>
        <w:t>ů</w:t>
      </w:r>
      <w:r w:rsidRPr="006070EA">
        <w:rPr>
          <w:rFonts w:asciiTheme="majorHAnsi" w:hAnsiTheme="majorHAnsi" w:cstheme="majorHAnsi"/>
          <w:color w:val="000000"/>
          <w:szCs w:val="18"/>
        </w:rPr>
        <w:t xml:space="preserve"> občanské vybavenosti (škola, </w:t>
      </w:r>
      <w:r w:rsidR="00B03626" w:rsidRPr="006070EA">
        <w:rPr>
          <w:rFonts w:asciiTheme="majorHAnsi" w:hAnsiTheme="majorHAnsi" w:cstheme="majorHAnsi"/>
          <w:color w:val="000000"/>
          <w:szCs w:val="18"/>
        </w:rPr>
        <w:t xml:space="preserve">úřad, </w:t>
      </w:r>
      <w:r w:rsidRPr="006070EA">
        <w:rPr>
          <w:rFonts w:asciiTheme="majorHAnsi" w:hAnsiTheme="majorHAnsi" w:cstheme="majorHAnsi"/>
          <w:color w:val="000000"/>
          <w:szCs w:val="18"/>
        </w:rPr>
        <w:t>ubytovací zařízení).</w:t>
      </w:r>
      <w:r w:rsidR="00B03626" w:rsidRPr="006070EA">
        <w:rPr>
          <w:rFonts w:asciiTheme="majorHAnsi" w:hAnsiTheme="majorHAnsi" w:cstheme="majorHAnsi"/>
          <w:color w:val="000000"/>
          <w:szCs w:val="18"/>
        </w:rPr>
        <w:t xml:space="preserve"> </w:t>
      </w:r>
      <w:r w:rsidRPr="006070EA">
        <w:rPr>
          <w:rFonts w:asciiTheme="majorHAnsi" w:hAnsiTheme="majorHAnsi" w:cstheme="majorHAnsi"/>
          <w:color w:val="000000"/>
          <w:szCs w:val="18"/>
        </w:rPr>
        <w:t>Přechodné ubytování lze zajistit dále v soukromých objektech na území obce, případně v ubytovacích a rekreačních zařízeních mimo obec.</w:t>
      </w:r>
    </w:p>
    <w:p w14:paraId="1BA6AEBF"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t>Skladování materiálu civilní ochrany a humanitární pomoci</w:t>
      </w:r>
    </w:p>
    <w:p w14:paraId="648A97C5" w14:textId="55739DCD"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V řešeném území se nenacházejí sklady materiálu civilní obrany a humanitární pomoci jako samostatné objekty a</w:t>
      </w:r>
      <w:r w:rsidR="00B03626" w:rsidRPr="006070EA">
        <w:rPr>
          <w:rFonts w:asciiTheme="majorHAnsi" w:hAnsiTheme="majorHAnsi" w:cstheme="majorHAnsi"/>
          <w:color w:val="000000"/>
          <w:szCs w:val="18"/>
        </w:rPr>
        <w:t> </w:t>
      </w:r>
      <w:r w:rsidRPr="006070EA">
        <w:rPr>
          <w:rFonts w:asciiTheme="majorHAnsi" w:hAnsiTheme="majorHAnsi" w:cstheme="majorHAnsi"/>
          <w:color w:val="000000"/>
          <w:szCs w:val="18"/>
        </w:rPr>
        <w:t>zařízení. V případě nutnosti by byl pro jejich skladování a výdej využit objekt úřadu obce Kostomlaty nad Labem.</w:t>
      </w:r>
    </w:p>
    <w:p w14:paraId="33ED5E39"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lastRenderedPageBreak/>
        <w:t>Vyvezení a uskladnění nebezpečných látek</w:t>
      </w:r>
    </w:p>
    <w:p w14:paraId="34447BA3" w14:textId="77777777"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V případě úniku nebezpečných látek by byly tyto látky odvezeny mimo řešené území (v řešeném území se objekty či plochy vhodné pro jejich uskladnění nenacházejí). V případě havárie bude vyvezení a uskladnění nebezpečných látek řízeno úřadem obce Kostomlaty nad Labem.</w:t>
      </w:r>
    </w:p>
    <w:p w14:paraId="4247E844"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t>Záchranné, likvidační a obnovovací práce</w:t>
      </w:r>
    </w:p>
    <w:p w14:paraId="5BA6608D" w14:textId="77777777"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V případě vzniku mimořádné události by se na záchranných, likvidačních a obnovovacích pracích podílely právnické osoby i fyzické osoby dle charakteru mimořádné události v koordinaci s úřadem obce. V řešeném území se nevyskytuje žádné zahraboviště. Pro dekontaminaci by byly užívány vhodné zpevněné plochy s odpadem a přívodem vody.</w:t>
      </w:r>
    </w:p>
    <w:p w14:paraId="18D2F7FD"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t>Nouzové zásobování obyvatelstva vodou a elektrickou energií</w:t>
      </w:r>
    </w:p>
    <w:p w14:paraId="70805490" w14:textId="77777777"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Nouzové zásobování pitnou vodou vychází ze schváleného Plánu rozvoje vodovodů a kanalizací (PRVK) Středočeského kraje. </w:t>
      </w:r>
    </w:p>
    <w:p w14:paraId="0639063C" w14:textId="77777777"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Nouzové zásobování pitnou vodou bude zajišťováno dopravou pitné vody v množství maximálně 15 l/den × obyvatele cisternami. Zásobení pitnou vodou bude doplňováno balenou vodou. Plochy pro zajištění potřeb nouzového zásobování obyvatelstva vodou jsou vymezeny na veřejných prostranstvích.</w:t>
      </w:r>
    </w:p>
    <w:p w14:paraId="54B0F141" w14:textId="77777777"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Nouzové zásobování užitkovou vodou bude zajišťováno z domovních studní. Při využívání zdrojů pro zásobení užitkovou vodou se bude postupovat podle pokynů územně příslušného hygienika.</w:t>
      </w:r>
    </w:p>
    <w:p w14:paraId="23243311" w14:textId="77777777"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Po dokončení vodovodu bude zásobování užitkovou vodou zajišťováno z vodovodu pro veřejnou potřebu.</w:t>
      </w:r>
    </w:p>
    <w:p w14:paraId="3EC7CE98" w14:textId="77777777"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V případě potřeby nouzového zásobování elektrickou energií budou na určené objekty připojeny mobilní zdroje energie.</w:t>
      </w:r>
    </w:p>
    <w:p w14:paraId="1084CA5C" w14:textId="77777777" w:rsidR="0081184B" w:rsidRPr="006070EA" w:rsidRDefault="0081184B" w:rsidP="0081184B">
      <w:pPr>
        <w:pStyle w:val="Anadpistun"/>
        <w:rPr>
          <w:rFonts w:asciiTheme="majorHAnsi" w:hAnsiTheme="majorHAnsi" w:cstheme="majorHAnsi"/>
          <w:color w:val="000000"/>
          <w:szCs w:val="18"/>
        </w:rPr>
      </w:pPr>
      <w:r w:rsidRPr="006070EA">
        <w:rPr>
          <w:rFonts w:asciiTheme="majorHAnsi" w:hAnsiTheme="majorHAnsi" w:cstheme="majorHAnsi"/>
          <w:color w:val="000000"/>
          <w:szCs w:val="18"/>
        </w:rPr>
        <w:t>Požární ochrana</w:t>
      </w:r>
    </w:p>
    <w:p w14:paraId="5153DB27" w14:textId="45EE4B24" w:rsidR="0081184B" w:rsidRPr="006070EA" w:rsidRDefault="0081184B" w:rsidP="0081184B">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Stávající vodovodní řady umožňují jejich využití k protipožárním účelům. Profily hlavních řadů zajišťují v současné době dodávku požární vody v potřebném tlaku prostřednictvím požárních hydrantů na síti. Dalšími zdroji vody potřebné pro případný požární zásah jsou vodní plochy, případně vodní toky. Tyto vodní plochy a toky budou sloužit jako primární zdroje požární vody v těch sídlech, ve kterých není vybudován vodovod. </w:t>
      </w:r>
    </w:p>
    <w:p w14:paraId="5DF46E75" w14:textId="190B35B2" w:rsidR="0081184B" w:rsidRPr="006070EA" w:rsidRDefault="0081184B" w:rsidP="00C45FF5">
      <w:pPr>
        <w:keepNext/>
        <w:keepLines/>
        <w:spacing w:line="240" w:lineRule="auto"/>
        <w:ind w:firstLine="709"/>
        <w:jc w:val="both"/>
        <w:rPr>
          <w:rFonts w:asciiTheme="majorHAnsi" w:hAnsiTheme="majorHAnsi" w:cstheme="majorHAnsi"/>
          <w:b/>
          <w:color w:val="FF0000"/>
          <w:sz w:val="18"/>
          <w:szCs w:val="18"/>
        </w:rPr>
      </w:pPr>
      <w:r w:rsidRPr="006070EA">
        <w:rPr>
          <w:rFonts w:asciiTheme="majorHAnsi" w:hAnsiTheme="majorHAnsi" w:cstheme="majorHAnsi"/>
          <w:color w:val="000000"/>
          <w:sz w:val="18"/>
          <w:szCs w:val="18"/>
        </w:rPr>
        <w:t>Pro uvažovanou výstavbu v rámci zastavitelných ploch bude zajištěn dostatečný zdroj požární vody podle ČSN 73 0873 Požární bezpečnost staveb – zásobování vodou a ČSN 75 2411 Zdroje požární vody a příjezdové komunikace pro požární vozidla podle ČSN 73 0802, resp. ČSN 73 0804 a dle vyhlášky č. 268/2011 Sb., o technických podmínkách požární ochrany staveb, ve znění pozdějších předpisů.</w:t>
      </w:r>
    </w:p>
    <w:p w14:paraId="6501A15F" w14:textId="3CC84B4E" w:rsidR="0046613A" w:rsidRPr="006070EA" w:rsidRDefault="0046613A" w:rsidP="009E07E1">
      <w:pPr>
        <w:keepNext/>
        <w:spacing w:before="120" w:after="120" w:line="240" w:lineRule="auto"/>
        <w:rPr>
          <w:rFonts w:asciiTheme="majorHAnsi" w:hAnsiTheme="majorHAnsi" w:cstheme="majorHAnsi"/>
          <w:b/>
          <w:sz w:val="18"/>
          <w:szCs w:val="20"/>
        </w:rPr>
      </w:pPr>
      <w:bookmarkStart w:id="306" w:name="_Toc424119846"/>
      <w:bookmarkEnd w:id="305"/>
      <w:r w:rsidRPr="006070EA">
        <w:rPr>
          <w:rFonts w:asciiTheme="majorHAnsi" w:hAnsiTheme="majorHAnsi" w:cstheme="majorHAnsi"/>
          <w:b/>
          <w:sz w:val="18"/>
          <w:szCs w:val="20"/>
        </w:rPr>
        <w:t>Obrana státu</w:t>
      </w:r>
      <w:bookmarkEnd w:id="306"/>
      <w:r w:rsidR="00EF4091" w:rsidRPr="006070EA">
        <w:rPr>
          <w:rFonts w:asciiTheme="majorHAnsi" w:hAnsiTheme="majorHAnsi" w:cstheme="majorHAnsi"/>
          <w:b/>
          <w:sz w:val="18"/>
          <w:szCs w:val="20"/>
        </w:rPr>
        <w:t>, zvláštní zájmy Ministerstva obrany ČR</w:t>
      </w:r>
    </w:p>
    <w:p w14:paraId="5AF65977" w14:textId="1A61EA90" w:rsidR="00275D39" w:rsidRPr="006070EA" w:rsidRDefault="00275D39" w:rsidP="00275D39">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Do správního území obce zasahuje vymezené území Ministerstva obrany:</w:t>
      </w:r>
    </w:p>
    <w:p w14:paraId="37D31FCB" w14:textId="7BE1FF0E"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b/>
          <w:bCs/>
          <w:sz w:val="18"/>
        </w:rPr>
        <w:t>Koridor RR směrů</w:t>
      </w:r>
      <w:r w:rsidRPr="006070EA">
        <w:rPr>
          <w:rFonts w:asciiTheme="majorHAnsi" w:hAnsiTheme="majorHAnsi" w:cstheme="majorHAnsi"/>
          <w:sz w:val="18"/>
        </w:rPr>
        <w:t xml:space="preserve"> – zájmové území pro nadzemní stavby (dle ustanovení § 175 odst. 1 zákona č. 183/2006 Sb. o územním plánování a stavebním řádu), které je nutno respektovat podle zákona č. 222/1999 Sb., o zajišťování obrany ČR a zákona č. 127/2005 o elektronických komunikacích. V tomto vymezeném území lze umístit a povolit nadzemní výstavbu jen na základě závazného stanoviska Ministerstva obrany (dle ustanovení § 175 odst. 1 zákona č. 183/2006 Sb. o územním plánování a stavebním řádu) – viz. mapový podklad, ÚAP – jev </w:t>
      </w:r>
      <w:proofErr w:type="gramStart"/>
      <w:r w:rsidRPr="006070EA">
        <w:rPr>
          <w:rFonts w:asciiTheme="majorHAnsi" w:hAnsiTheme="majorHAnsi" w:cstheme="majorHAnsi"/>
          <w:sz w:val="18"/>
        </w:rPr>
        <w:t>82a</w:t>
      </w:r>
      <w:proofErr w:type="gramEnd"/>
      <w:r w:rsidRPr="006070EA">
        <w:rPr>
          <w:rFonts w:asciiTheme="majorHAnsi" w:hAnsiTheme="majorHAnsi" w:cstheme="majorHAnsi"/>
          <w:sz w:val="18"/>
        </w:rPr>
        <w:t>. V případě kolize může být výstavba omezena.</w:t>
      </w:r>
    </w:p>
    <w:p w14:paraId="2895BD0C" w14:textId="4A40AB26"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b/>
          <w:bCs/>
          <w:sz w:val="18"/>
        </w:rPr>
        <w:t>OP RLP – Ochranné pásmo radiolokačního zařízení</w:t>
      </w:r>
      <w:r w:rsidRPr="006070EA">
        <w:rPr>
          <w:rFonts w:asciiTheme="majorHAnsi" w:hAnsiTheme="majorHAnsi" w:cstheme="majorHAnsi"/>
          <w:sz w:val="18"/>
        </w:rPr>
        <w:t xml:space="preserve">, které je nutno respektovat podle ustanovení § 37 zákona č. 49/1997 Sb. o civilním letectví a o změně a doplnění zákona č. 455/1991 Sb. o živnostenském podnikání. V tomto území lze umístit a povolit níže uvedené stavby jen na základě závazného stanoviska Ministerstva obrany (dle ustanovení § 175 odst. 1 zákona č. 183/2006 Sb. o územním plánování a stavebním řádu) – </w:t>
      </w:r>
      <w:proofErr w:type="gramStart"/>
      <w:r w:rsidRPr="006070EA">
        <w:rPr>
          <w:rFonts w:asciiTheme="majorHAnsi" w:hAnsiTheme="majorHAnsi" w:cstheme="majorHAnsi"/>
          <w:sz w:val="18"/>
        </w:rPr>
        <w:t>ÚAP - jev</w:t>
      </w:r>
      <w:proofErr w:type="gramEnd"/>
      <w:r w:rsidRPr="006070EA">
        <w:rPr>
          <w:rFonts w:asciiTheme="majorHAnsi" w:hAnsiTheme="majorHAnsi" w:cstheme="majorHAnsi"/>
          <w:sz w:val="18"/>
        </w:rPr>
        <w:t xml:space="preserve"> </w:t>
      </w:r>
      <w:proofErr w:type="gramStart"/>
      <w:r w:rsidRPr="006070EA">
        <w:rPr>
          <w:rFonts w:asciiTheme="majorHAnsi" w:hAnsiTheme="majorHAnsi" w:cstheme="majorHAnsi"/>
          <w:sz w:val="18"/>
        </w:rPr>
        <w:t>102a</w:t>
      </w:r>
      <w:proofErr w:type="gramEnd"/>
      <w:r w:rsidRPr="006070EA">
        <w:rPr>
          <w:rFonts w:asciiTheme="majorHAnsi" w:hAnsiTheme="majorHAnsi" w:cstheme="majorHAnsi"/>
          <w:sz w:val="18"/>
        </w:rPr>
        <w:t>. Jedná se o výstavbu (včetně rekonstrukce a přestavby) větrných elektráren, výškových staveb, venkovního vedení vvn a vn, základnových stanic mobilních operátorů. V tomto vymezeném území může být výstavba větrných elektráren, výškových staveb nad 30 m nad terénem a staveb tvořících dominanty v terénu výškově omezena nebo zakázána.</w:t>
      </w:r>
    </w:p>
    <w:p w14:paraId="2316484B" w14:textId="37BFCC17" w:rsidR="00275D39" w:rsidRPr="006070EA" w:rsidRDefault="00275D39" w:rsidP="00275D39">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b/>
          <w:bCs/>
          <w:sz w:val="18"/>
        </w:rPr>
        <w:t>Na celém řešeném území je zájem Ministerstva obrany posuzován z hlediska povolování níže uvedených druhů staveb</w:t>
      </w:r>
      <w:r w:rsidRPr="006070EA">
        <w:rPr>
          <w:rFonts w:asciiTheme="majorHAnsi" w:hAnsiTheme="majorHAnsi" w:cstheme="majorHAnsi"/>
          <w:sz w:val="18"/>
        </w:rPr>
        <w:t xml:space="preserve"> podle ustanovení § 175 zákona č. 183/2006 Sb. (dle ÚAP jev 119).</w:t>
      </w:r>
    </w:p>
    <w:p w14:paraId="28E035B9" w14:textId="77777777" w:rsidR="00275D39" w:rsidRPr="006070EA" w:rsidRDefault="00275D39" w:rsidP="00275D39">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Na celém řešeném území umístit a povolit níže uvedené stavby jen na základě závazného stanoviska Ministerstva obrany:</w:t>
      </w:r>
    </w:p>
    <w:p w14:paraId="3C79B0D5" w14:textId="66A527C0"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t>výstavba, rekonstrukce a opravy dálniční sítě a všech silnic I. a II. třídy</w:t>
      </w:r>
    </w:p>
    <w:p w14:paraId="23819ED1" w14:textId="6CFE9F72"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t>výstavba, rekonstrukce a opravy silnic III. třídy a místních komunikací v blízkosti vojenských areálů, objektů důležitých pro obranu státu a vojenských újezdů</w:t>
      </w:r>
    </w:p>
    <w:p w14:paraId="3EB67DAF" w14:textId="4A1121E6"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t>výstavba a rekonstrukce železničních tratí a jejich objektů</w:t>
      </w:r>
    </w:p>
    <w:p w14:paraId="7A008088" w14:textId="363E9BFB"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t>výstavba vodních nádrží (rybníky, přehrady)</w:t>
      </w:r>
    </w:p>
    <w:p w14:paraId="004FD912" w14:textId="32434B00"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t>umístění staveb a zařízení vysokých 75 m a více nad terénem,</w:t>
      </w:r>
    </w:p>
    <w:p w14:paraId="12473E2A" w14:textId="1576C958"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lastRenderedPageBreak/>
        <w:t>umístění staveb a zařízení vysokých 30 m a více na přirozených nebo umělých vyvýšeninách, které vyčnívají 75 m a výše nad okolní krajinu</w:t>
      </w:r>
    </w:p>
    <w:p w14:paraId="522894B2" w14:textId="55CBBD24"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t>umístění zařízení, která mohou ohrozit bezpečnost letového provozu nebo rušit funkci leteckých palubních přístrojů a leteckých zabezpečovacích zařízení, zejména zařízení průmyslových závodů,</w:t>
      </w:r>
    </w:p>
    <w:p w14:paraId="79DD44C9" w14:textId="77777777" w:rsidR="00275D39" w:rsidRPr="006070EA" w:rsidRDefault="00275D39" w:rsidP="00FC1E9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t>vedení vysokého a velmi vysokého napětí, energetická zařízení, větrné elektrárny a vysílací stanice</w:t>
      </w:r>
    </w:p>
    <w:p w14:paraId="69AFD6F4" w14:textId="615F9FE3" w:rsidR="00275D39" w:rsidRPr="006070EA" w:rsidRDefault="00275D39" w:rsidP="00275D39">
      <w:pPr>
        <w:pStyle w:val="Odstavecseseznamem"/>
        <w:numPr>
          <w:ilvl w:val="0"/>
          <w:numId w:val="25"/>
        </w:numPr>
        <w:spacing w:before="60" w:after="60" w:line="240" w:lineRule="auto"/>
        <w:jc w:val="both"/>
        <w:rPr>
          <w:rFonts w:asciiTheme="majorHAnsi" w:hAnsiTheme="majorHAnsi" w:cstheme="majorHAnsi"/>
          <w:sz w:val="18"/>
        </w:rPr>
      </w:pPr>
      <w:r w:rsidRPr="006070EA">
        <w:rPr>
          <w:rFonts w:asciiTheme="majorHAnsi" w:hAnsiTheme="majorHAnsi" w:cstheme="majorHAnsi"/>
          <w:sz w:val="18"/>
        </w:rPr>
        <w:t>veškerá výstavba dotýkající se nemovitostí (pozemky a stavby) ve vlastnictví ČR, v příslušnosti hospodařit s majetkem státu Ministerstva obrany</w:t>
      </w:r>
    </w:p>
    <w:p w14:paraId="67392F76" w14:textId="77777777" w:rsidR="00EF4091" w:rsidRPr="006070EA" w:rsidRDefault="0046613A" w:rsidP="00654835">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V řešeném území se nenacházejí žádné vojenské inženýrské sítě</w:t>
      </w:r>
      <w:r w:rsidR="00D33E20" w:rsidRPr="006070EA">
        <w:rPr>
          <w:rFonts w:asciiTheme="majorHAnsi" w:hAnsiTheme="majorHAnsi" w:cstheme="majorHAnsi"/>
          <w:sz w:val="18"/>
        </w:rPr>
        <w:t xml:space="preserve"> ani objekty</w:t>
      </w:r>
      <w:r w:rsidRPr="006070EA">
        <w:rPr>
          <w:rFonts w:asciiTheme="majorHAnsi" w:hAnsiTheme="majorHAnsi" w:cstheme="majorHAnsi"/>
          <w:sz w:val="18"/>
        </w:rPr>
        <w:t>. Z obecného hlediska budou respektovány parametry příslušné kategorie komunikací včetně ochranných pásem stávajícího i</w:t>
      </w:r>
      <w:r w:rsidR="00D33E20" w:rsidRPr="006070EA">
        <w:rPr>
          <w:rFonts w:asciiTheme="majorHAnsi" w:hAnsiTheme="majorHAnsi" w:cstheme="majorHAnsi"/>
          <w:sz w:val="18"/>
        </w:rPr>
        <w:t> </w:t>
      </w:r>
      <w:r w:rsidRPr="006070EA">
        <w:rPr>
          <w:rFonts w:asciiTheme="majorHAnsi" w:hAnsiTheme="majorHAnsi" w:cstheme="majorHAnsi"/>
          <w:sz w:val="18"/>
        </w:rPr>
        <w:t xml:space="preserve">plánovaného dopravního systému. </w:t>
      </w:r>
    </w:p>
    <w:p w14:paraId="76089D11" w14:textId="77777777" w:rsidR="0046613A" w:rsidRPr="006070EA" w:rsidRDefault="0046613A" w:rsidP="009E07E1">
      <w:pPr>
        <w:keepNext/>
        <w:spacing w:before="120" w:after="120" w:line="240" w:lineRule="auto"/>
        <w:rPr>
          <w:rFonts w:asciiTheme="majorHAnsi" w:hAnsiTheme="majorHAnsi" w:cstheme="majorHAnsi"/>
          <w:b/>
          <w:sz w:val="18"/>
          <w:szCs w:val="20"/>
        </w:rPr>
      </w:pPr>
      <w:bookmarkStart w:id="307" w:name="_Toc424119848"/>
      <w:r w:rsidRPr="006070EA">
        <w:rPr>
          <w:rFonts w:asciiTheme="majorHAnsi" w:hAnsiTheme="majorHAnsi" w:cstheme="majorHAnsi"/>
          <w:b/>
          <w:sz w:val="18"/>
          <w:szCs w:val="20"/>
        </w:rPr>
        <w:t>Radonový index geologického podloží</w:t>
      </w:r>
      <w:bookmarkEnd w:id="307"/>
    </w:p>
    <w:p w14:paraId="326EB986" w14:textId="77777777" w:rsidR="0081184B" w:rsidRPr="006070EA" w:rsidRDefault="0081184B" w:rsidP="0081184B">
      <w:pPr>
        <w:pStyle w:val="Norml"/>
        <w:rPr>
          <w:rFonts w:asciiTheme="majorHAnsi" w:hAnsiTheme="majorHAnsi" w:cstheme="majorHAnsi"/>
        </w:rPr>
      </w:pPr>
      <w:r w:rsidRPr="006070EA">
        <w:rPr>
          <w:rFonts w:asciiTheme="majorHAnsi" w:hAnsiTheme="majorHAnsi" w:cstheme="majorHAnsi"/>
        </w:rPr>
        <w:t>Problematiku ozáření z přírodních zdrojů ionizujícího záření a způsoby úprav vedoucí ke snížení ozáření z přírodních zdrojů upravuje vyhláška č. 307/2002 Sb., o radiační ochraně, ve znění pozdějších předpisů.</w:t>
      </w:r>
    </w:p>
    <w:p w14:paraId="691EA89A" w14:textId="72A20F83" w:rsidR="00ED3FC7" w:rsidRPr="006070EA" w:rsidRDefault="0081184B" w:rsidP="0081184B">
      <w:pPr>
        <w:pStyle w:val="Norml"/>
        <w:rPr>
          <w:rFonts w:asciiTheme="majorHAnsi" w:hAnsiTheme="majorHAnsi" w:cstheme="majorHAnsi"/>
        </w:rPr>
      </w:pPr>
      <w:r w:rsidRPr="006070EA">
        <w:rPr>
          <w:rFonts w:asciiTheme="majorHAnsi" w:hAnsiTheme="majorHAnsi" w:cstheme="majorHAnsi"/>
        </w:rPr>
        <w:t>Správní území obce Kostomlaty nad Labem spadá dle mapy radonového indexu z geologického podloží Česka částečně do území s převažující kategorií radonového indexu nízkou až přechodnou s naměřenými hodnotami 10,1 – 16,9 (kBq.m</w:t>
      </w:r>
      <w:r w:rsidRPr="006070EA">
        <w:rPr>
          <w:rFonts w:asciiTheme="majorHAnsi" w:hAnsiTheme="majorHAnsi" w:cstheme="majorHAnsi"/>
          <w:vertAlign w:val="superscript"/>
        </w:rPr>
        <w:t>-3</w:t>
      </w:r>
      <w:r w:rsidRPr="006070EA">
        <w:rPr>
          <w:rFonts w:asciiTheme="majorHAnsi" w:hAnsiTheme="majorHAnsi" w:cstheme="majorHAnsi"/>
        </w:rPr>
        <w:t xml:space="preserve">). </w:t>
      </w:r>
      <w:r w:rsidR="00ED3FC7" w:rsidRPr="006070EA">
        <w:rPr>
          <w:rFonts w:asciiTheme="majorHAnsi" w:hAnsiTheme="majorHAnsi" w:cstheme="majorHAnsi"/>
        </w:rPr>
        <w:t xml:space="preserve"> </w:t>
      </w:r>
    </w:p>
    <w:p w14:paraId="58371361" w14:textId="77777777" w:rsidR="0046613A" w:rsidRPr="006070EA" w:rsidRDefault="0046613A" w:rsidP="009E07E1">
      <w:pPr>
        <w:keepNext/>
        <w:spacing w:before="120" w:after="120" w:line="240" w:lineRule="auto"/>
        <w:rPr>
          <w:rFonts w:asciiTheme="majorHAnsi" w:hAnsiTheme="majorHAnsi" w:cstheme="majorHAnsi"/>
          <w:b/>
          <w:sz w:val="18"/>
          <w:szCs w:val="20"/>
        </w:rPr>
      </w:pPr>
      <w:bookmarkStart w:id="308" w:name="_Toc424119849"/>
      <w:r w:rsidRPr="006070EA">
        <w:rPr>
          <w:rFonts w:asciiTheme="majorHAnsi" w:hAnsiTheme="majorHAnsi" w:cstheme="majorHAnsi"/>
          <w:b/>
          <w:sz w:val="18"/>
          <w:szCs w:val="20"/>
        </w:rPr>
        <w:t>Ochrana před povodněmi</w:t>
      </w:r>
      <w:bookmarkEnd w:id="308"/>
      <w:r w:rsidRPr="006070EA">
        <w:rPr>
          <w:rFonts w:asciiTheme="majorHAnsi" w:hAnsiTheme="majorHAnsi" w:cstheme="majorHAnsi"/>
          <w:b/>
          <w:sz w:val="18"/>
          <w:szCs w:val="20"/>
        </w:rPr>
        <w:t xml:space="preserve"> </w:t>
      </w:r>
    </w:p>
    <w:p w14:paraId="53EF5E9B" w14:textId="59F9E902" w:rsidR="002F495F" w:rsidRPr="006070EA" w:rsidRDefault="0046613A" w:rsidP="009E07E1">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V řešeném území </w:t>
      </w:r>
      <w:r w:rsidR="008204BF" w:rsidRPr="006070EA">
        <w:rPr>
          <w:rFonts w:asciiTheme="majorHAnsi" w:hAnsiTheme="majorHAnsi" w:cstheme="majorHAnsi"/>
          <w:sz w:val="18"/>
        </w:rPr>
        <w:t>je</w:t>
      </w:r>
      <w:r w:rsidR="002F495F" w:rsidRPr="006070EA">
        <w:rPr>
          <w:rFonts w:asciiTheme="majorHAnsi" w:hAnsiTheme="majorHAnsi" w:cstheme="majorHAnsi"/>
          <w:sz w:val="18"/>
        </w:rPr>
        <w:t xml:space="preserve"> stanoveno záplavové území</w:t>
      </w:r>
      <w:r w:rsidR="008204BF" w:rsidRPr="006070EA">
        <w:rPr>
          <w:rFonts w:asciiTheme="majorHAnsi" w:hAnsiTheme="majorHAnsi" w:cstheme="majorHAnsi"/>
          <w:sz w:val="18"/>
        </w:rPr>
        <w:t xml:space="preserve"> na </w:t>
      </w:r>
      <w:r w:rsidR="007C4D7F" w:rsidRPr="006070EA">
        <w:rPr>
          <w:rFonts w:asciiTheme="majorHAnsi" w:hAnsiTheme="majorHAnsi" w:cstheme="majorHAnsi"/>
          <w:sz w:val="18"/>
        </w:rPr>
        <w:t>vodních tocích Labe a Vltava</w:t>
      </w:r>
      <w:r w:rsidR="00AC3163" w:rsidRPr="006070EA">
        <w:rPr>
          <w:rFonts w:asciiTheme="majorHAnsi" w:hAnsiTheme="majorHAnsi" w:cstheme="majorHAnsi"/>
          <w:sz w:val="18"/>
        </w:rPr>
        <w:t>.</w:t>
      </w:r>
      <w:r w:rsidR="00E57BB5" w:rsidRPr="006070EA">
        <w:rPr>
          <w:rFonts w:asciiTheme="majorHAnsi" w:hAnsiTheme="majorHAnsi" w:cstheme="majorHAnsi"/>
          <w:sz w:val="18"/>
        </w:rPr>
        <w:t xml:space="preserve"> </w:t>
      </w:r>
    </w:p>
    <w:p w14:paraId="10BFBC04" w14:textId="7001C579" w:rsidR="007C4D7F" w:rsidRPr="006070EA" w:rsidRDefault="007C4D7F" w:rsidP="009E07E1">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Krajským úřadem Středočeského kraje bylo dne 25.5.2015 pod č. j. 073794/2015/KUSK opatřením obecné povahy stanoveno záplavové území a vymezena aktivní zóna záplavového území významného vodního toku Labe (IDVT 1010002) v úseku ř. km 826,613 – 892,000 a dne 6.8.2009 pod č. j. 104279/2009/KUSK významného vodního toku Vlkava (IDVT 10100104) v úseku ř. km 0,000 – 8,956. Hranice záplavového území Q100 a aktivní zóna záplavového území jsou limitem využití území a jako takové jsou územním plánem respektovány a graficky znázorněny v koordinačním výkrese.</w:t>
      </w:r>
    </w:p>
    <w:p w14:paraId="210D4F81" w14:textId="1C8FAC62" w:rsidR="002C2AFC" w:rsidRPr="006070EA" w:rsidRDefault="0046613A" w:rsidP="0063156C">
      <w:pPr>
        <w:keepLines/>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Protipovodňová opatření a opatření zvyšující retenční schopnost krajiny je územním plánem umožněno realizovat v rámci jednotlivých ploch s rozdílným způsobem využití, zejména </w:t>
      </w:r>
      <w:r w:rsidR="00FC5E76" w:rsidRPr="006070EA">
        <w:rPr>
          <w:rFonts w:asciiTheme="majorHAnsi" w:hAnsiTheme="majorHAnsi" w:cstheme="majorHAnsi"/>
          <w:iCs/>
          <w:sz w:val="18"/>
        </w:rPr>
        <w:t>ploch</w:t>
      </w:r>
      <w:r w:rsidR="00FC5E76" w:rsidRPr="006070EA">
        <w:rPr>
          <w:rFonts w:asciiTheme="majorHAnsi" w:hAnsiTheme="majorHAnsi" w:cstheme="majorHAnsi"/>
          <w:i/>
          <w:sz w:val="18"/>
        </w:rPr>
        <w:t xml:space="preserve"> vodních a vodohospodářských</w:t>
      </w:r>
      <w:r w:rsidR="00485315" w:rsidRPr="006070EA">
        <w:rPr>
          <w:rFonts w:asciiTheme="majorHAnsi" w:hAnsiTheme="majorHAnsi" w:cstheme="majorHAnsi"/>
          <w:i/>
          <w:sz w:val="18"/>
        </w:rPr>
        <w:t xml:space="preserve"> všeobecných</w:t>
      </w:r>
      <w:r w:rsidR="00FC5E76" w:rsidRPr="006070EA">
        <w:rPr>
          <w:rFonts w:asciiTheme="majorHAnsi" w:hAnsiTheme="majorHAnsi" w:cstheme="majorHAnsi"/>
          <w:sz w:val="18"/>
        </w:rPr>
        <w:t xml:space="preserve"> (W</w:t>
      </w:r>
      <w:r w:rsidR="00485315" w:rsidRPr="006070EA">
        <w:rPr>
          <w:rFonts w:asciiTheme="majorHAnsi" w:hAnsiTheme="majorHAnsi" w:cstheme="majorHAnsi"/>
          <w:sz w:val="18"/>
        </w:rPr>
        <w:t>U</w:t>
      </w:r>
      <w:r w:rsidR="00FC5E76" w:rsidRPr="006070EA">
        <w:rPr>
          <w:rFonts w:asciiTheme="majorHAnsi" w:hAnsiTheme="majorHAnsi" w:cstheme="majorHAnsi"/>
          <w:sz w:val="18"/>
        </w:rPr>
        <w:t xml:space="preserve">), </w:t>
      </w:r>
      <w:r w:rsidR="00FC5E76" w:rsidRPr="006070EA">
        <w:rPr>
          <w:rFonts w:asciiTheme="majorHAnsi" w:hAnsiTheme="majorHAnsi" w:cstheme="majorHAnsi"/>
          <w:i/>
          <w:sz w:val="18"/>
        </w:rPr>
        <w:t>zemědělských</w:t>
      </w:r>
      <w:r w:rsidR="00FC5E76" w:rsidRPr="006070EA">
        <w:rPr>
          <w:rFonts w:asciiTheme="majorHAnsi" w:hAnsiTheme="majorHAnsi" w:cstheme="majorHAnsi"/>
          <w:sz w:val="18"/>
        </w:rPr>
        <w:t xml:space="preserve"> </w:t>
      </w:r>
      <w:r w:rsidR="00485315" w:rsidRPr="006070EA">
        <w:rPr>
          <w:rFonts w:asciiTheme="majorHAnsi" w:hAnsiTheme="majorHAnsi" w:cstheme="majorHAnsi"/>
          <w:i/>
          <w:iCs/>
          <w:sz w:val="18"/>
        </w:rPr>
        <w:t>všeobecných</w:t>
      </w:r>
      <w:r w:rsidR="00485315" w:rsidRPr="006070EA">
        <w:rPr>
          <w:rFonts w:asciiTheme="majorHAnsi" w:hAnsiTheme="majorHAnsi" w:cstheme="majorHAnsi"/>
          <w:sz w:val="18"/>
        </w:rPr>
        <w:t xml:space="preserve"> </w:t>
      </w:r>
      <w:r w:rsidR="00FC5E76" w:rsidRPr="006070EA">
        <w:rPr>
          <w:rFonts w:asciiTheme="majorHAnsi" w:hAnsiTheme="majorHAnsi" w:cstheme="majorHAnsi"/>
          <w:sz w:val="18"/>
        </w:rPr>
        <w:t>(</w:t>
      </w:r>
      <w:r w:rsidR="00485315" w:rsidRPr="006070EA">
        <w:rPr>
          <w:rFonts w:asciiTheme="majorHAnsi" w:hAnsiTheme="majorHAnsi" w:cstheme="majorHAnsi"/>
          <w:sz w:val="18"/>
        </w:rPr>
        <w:t>AU</w:t>
      </w:r>
      <w:r w:rsidR="00FC5E76" w:rsidRPr="006070EA">
        <w:rPr>
          <w:rFonts w:asciiTheme="majorHAnsi" w:hAnsiTheme="majorHAnsi" w:cstheme="majorHAnsi"/>
          <w:sz w:val="18"/>
        </w:rPr>
        <w:t xml:space="preserve">), </w:t>
      </w:r>
      <w:r w:rsidR="00FC5E76" w:rsidRPr="006070EA">
        <w:rPr>
          <w:rFonts w:asciiTheme="majorHAnsi" w:hAnsiTheme="majorHAnsi" w:cstheme="majorHAnsi"/>
          <w:i/>
          <w:sz w:val="18"/>
        </w:rPr>
        <w:t xml:space="preserve">smíšených nezastavěného území </w:t>
      </w:r>
      <w:r w:rsidR="00FC5E76" w:rsidRPr="006070EA">
        <w:rPr>
          <w:rFonts w:asciiTheme="majorHAnsi" w:hAnsiTheme="majorHAnsi" w:cstheme="majorHAnsi"/>
          <w:sz w:val="18"/>
        </w:rPr>
        <w:t>(</w:t>
      </w:r>
      <w:proofErr w:type="gramStart"/>
      <w:r w:rsidR="00485315" w:rsidRPr="006070EA">
        <w:rPr>
          <w:rFonts w:asciiTheme="majorHAnsi" w:hAnsiTheme="majorHAnsi" w:cstheme="majorHAnsi"/>
          <w:sz w:val="18"/>
        </w:rPr>
        <w:t>MU.zp</w:t>
      </w:r>
      <w:proofErr w:type="gramEnd"/>
      <w:r w:rsidR="0032705B" w:rsidRPr="006070EA">
        <w:rPr>
          <w:rFonts w:asciiTheme="majorHAnsi" w:hAnsiTheme="majorHAnsi" w:cstheme="majorHAnsi"/>
          <w:sz w:val="18"/>
        </w:rPr>
        <w:t xml:space="preserve">, </w:t>
      </w:r>
      <w:proofErr w:type="gramStart"/>
      <w:r w:rsidR="00485315" w:rsidRPr="006070EA">
        <w:rPr>
          <w:rFonts w:asciiTheme="majorHAnsi" w:hAnsiTheme="majorHAnsi" w:cstheme="majorHAnsi"/>
          <w:sz w:val="18"/>
        </w:rPr>
        <w:t>MU.s</w:t>
      </w:r>
      <w:proofErr w:type="gramEnd"/>
      <w:r w:rsidR="0032705B" w:rsidRPr="006070EA">
        <w:rPr>
          <w:rFonts w:asciiTheme="majorHAnsi" w:hAnsiTheme="majorHAnsi" w:cstheme="majorHAnsi"/>
          <w:sz w:val="18"/>
        </w:rPr>
        <w:t xml:space="preserve">, </w:t>
      </w:r>
      <w:proofErr w:type="gramStart"/>
      <w:r w:rsidR="00485315" w:rsidRPr="006070EA">
        <w:rPr>
          <w:rFonts w:asciiTheme="majorHAnsi" w:hAnsiTheme="majorHAnsi" w:cstheme="majorHAnsi"/>
          <w:sz w:val="18"/>
        </w:rPr>
        <w:t>MU.r</w:t>
      </w:r>
      <w:proofErr w:type="gramEnd"/>
      <w:r w:rsidR="00FC5E76" w:rsidRPr="006070EA">
        <w:rPr>
          <w:rFonts w:asciiTheme="majorHAnsi" w:hAnsiTheme="majorHAnsi" w:cstheme="majorHAnsi"/>
          <w:sz w:val="18"/>
        </w:rPr>
        <w:t xml:space="preserve">). </w:t>
      </w:r>
    </w:p>
    <w:p w14:paraId="37A35FCA" w14:textId="13B696EE" w:rsidR="00C65EB6" w:rsidRPr="006070EA" w:rsidRDefault="00C65EB6" w:rsidP="00C65EB6">
      <w:pPr>
        <w:pStyle w:val="Atext"/>
        <w:rPr>
          <w:rFonts w:asciiTheme="majorHAnsi" w:hAnsiTheme="majorHAnsi" w:cstheme="majorHAnsi"/>
          <w:szCs w:val="18"/>
        </w:rPr>
      </w:pPr>
      <w:r w:rsidRPr="006070EA">
        <w:rPr>
          <w:rFonts w:asciiTheme="majorHAnsi" w:hAnsiTheme="majorHAnsi" w:cstheme="majorHAnsi"/>
          <w:szCs w:val="18"/>
        </w:rPr>
        <w:t xml:space="preserve">Na severním břehu řeky Labe se v řešeném území nachází objekt protipovodňové ochrany – Ochranná hráz Kostomlaty nad Labem, jež je územním plánem respektována a zobrazena v koordinačním výkrese </w:t>
      </w:r>
      <w:r w:rsidR="0032705B" w:rsidRPr="006070EA">
        <w:rPr>
          <w:rFonts w:asciiTheme="majorHAnsi" w:hAnsiTheme="majorHAnsi" w:cstheme="majorHAnsi"/>
          <w:szCs w:val="18"/>
        </w:rPr>
        <w:t xml:space="preserve">grafické části odůvodnění </w:t>
      </w:r>
      <w:r w:rsidRPr="006070EA">
        <w:rPr>
          <w:rFonts w:asciiTheme="majorHAnsi" w:hAnsiTheme="majorHAnsi" w:cstheme="majorHAnsi"/>
          <w:szCs w:val="18"/>
        </w:rPr>
        <w:t>ÚP Kostomlaty nad Labem.</w:t>
      </w:r>
    </w:p>
    <w:p w14:paraId="71E3258C" w14:textId="77777777" w:rsidR="0046613A" w:rsidRPr="006070EA" w:rsidRDefault="0046613A" w:rsidP="00485315">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3</w:t>
      </w:r>
      <w:r w:rsidRPr="006070EA">
        <w:rPr>
          <w:rFonts w:asciiTheme="majorHAnsi" w:hAnsiTheme="majorHAnsi" w:cstheme="majorHAnsi"/>
          <w:b/>
          <w:i/>
          <w:color w:val="auto"/>
          <w:sz w:val="22"/>
        </w:rPr>
        <w:tab/>
        <w:t xml:space="preserve">Urbanistická koncepce, </w:t>
      </w:r>
      <w:r w:rsidR="003367DF" w:rsidRPr="006070EA">
        <w:rPr>
          <w:rFonts w:asciiTheme="majorHAnsi" w:hAnsiTheme="majorHAnsi" w:cstheme="majorHAnsi"/>
          <w:b/>
          <w:i/>
          <w:color w:val="auto"/>
          <w:sz w:val="22"/>
        </w:rPr>
        <w:t xml:space="preserve">včetně urbanistické kompozice, </w:t>
      </w:r>
      <w:r w:rsidRPr="006070EA">
        <w:rPr>
          <w:rFonts w:asciiTheme="majorHAnsi" w:hAnsiTheme="majorHAnsi" w:cstheme="majorHAnsi"/>
          <w:b/>
          <w:i/>
          <w:color w:val="auto"/>
          <w:sz w:val="22"/>
        </w:rPr>
        <w:t xml:space="preserve">vymezení </w:t>
      </w:r>
      <w:r w:rsidR="003367DF" w:rsidRPr="006070EA">
        <w:rPr>
          <w:rFonts w:asciiTheme="majorHAnsi" w:hAnsiTheme="majorHAnsi" w:cstheme="majorHAnsi"/>
          <w:b/>
          <w:i/>
          <w:color w:val="auto"/>
          <w:sz w:val="22"/>
        </w:rPr>
        <w:t xml:space="preserve">ploch s rozdílným způsobem využití, </w:t>
      </w:r>
      <w:r w:rsidRPr="006070EA">
        <w:rPr>
          <w:rFonts w:asciiTheme="majorHAnsi" w:hAnsiTheme="majorHAnsi" w:cstheme="majorHAnsi"/>
          <w:b/>
          <w:i/>
          <w:color w:val="auto"/>
          <w:sz w:val="22"/>
        </w:rPr>
        <w:t>zastavitelných ploch, ploch přestavby a systému sídelní zeleně</w:t>
      </w:r>
    </w:p>
    <w:p w14:paraId="32245822" w14:textId="1449017B" w:rsidR="00AB1F4C" w:rsidRPr="006070EA" w:rsidRDefault="00AB1F4C" w:rsidP="00485315">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309" w:name="_Toc424119828"/>
      <w:bookmarkStart w:id="310" w:name="_Toc204678192"/>
      <w:r w:rsidRPr="006070EA">
        <w:rPr>
          <w:rFonts w:asciiTheme="majorHAnsi" w:hAnsiTheme="majorHAnsi" w:cstheme="majorHAnsi"/>
          <w:b/>
          <w:sz w:val="24"/>
          <w:szCs w:val="20"/>
        </w:rPr>
        <w:t>Odůvodnění urbanistické koncepce</w:t>
      </w:r>
      <w:bookmarkEnd w:id="309"/>
      <w:r w:rsidR="0063156C" w:rsidRPr="006070EA">
        <w:rPr>
          <w:rFonts w:asciiTheme="majorHAnsi" w:hAnsiTheme="majorHAnsi" w:cstheme="majorHAnsi"/>
          <w:b/>
          <w:sz w:val="24"/>
          <w:szCs w:val="20"/>
        </w:rPr>
        <w:t>, včetně urbanistické kompozice</w:t>
      </w:r>
      <w:r w:rsidR="001A0DBB" w:rsidRPr="006070EA">
        <w:rPr>
          <w:rFonts w:asciiTheme="majorHAnsi" w:hAnsiTheme="majorHAnsi" w:cstheme="majorHAnsi"/>
          <w:b/>
          <w:sz w:val="24"/>
          <w:szCs w:val="20"/>
        </w:rPr>
        <w:t xml:space="preserve">, vymezení </w:t>
      </w:r>
      <w:r w:rsidR="0063156C" w:rsidRPr="006070EA">
        <w:rPr>
          <w:rFonts w:asciiTheme="majorHAnsi" w:hAnsiTheme="majorHAnsi" w:cstheme="majorHAnsi"/>
          <w:b/>
          <w:sz w:val="24"/>
          <w:szCs w:val="20"/>
        </w:rPr>
        <w:t xml:space="preserve">ploch s rozdílným způsobem využití, </w:t>
      </w:r>
      <w:r w:rsidR="001A0DBB" w:rsidRPr="006070EA">
        <w:rPr>
          <w:rFonts w:asciiTheme="majorHAnsi" w:hAnsiTheme="majorHAnsi" w:cstheme="majorHAnsi"/>
          <w:b/>
          <w:sz w:val="24"/>
          <w:szCs w:val="20"/>
        </w:rPr>
        <w:t>zastavitelných ploch, ploch přestavby a systému sídelní zeleně</w:t>
      </w:r>
      <w:bookmarkEnd w:id="310"/>
    </w:p>
    <w:p w14:paraId="3755D5F6" w14:textId="0CE16B5A" w:rsidR="001A0DBB" w:rsidRPr="006070EA" w:rsidRDefault="001A0DBB" w:rsidP="00485315">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11" w:name="_Toc204678193"/>
      <w:r w:rsidRPr="006070EA">
        <w:rPr>
          <w:rFonts w:asciiTheme="majorHAnsi" w:hAnsiTheme="majorHAnsi" w:cstheme="majorHAnsi"/>
          <w:b/>
        </w:rPr>
        <w:t>Odůvodnění urbanistické koncepce</w:t>
      </w:r>
      <w:r w:rsidR="003859D5" w:rsidRPr="006070EA">
        <w:rPr>
          <w:rFonts w:asciiTheme="majorHAnsi" w:hAnsiTheme="majorHAnsi" w:cstheme="majorHAnsi"/>
          <w:b/>
        </w:rPr>
        <w:t xml:space="preserve"> a urbanistické kompozice</w:t>
      </w:r>
      <w:bookmarkEnd w:id="311"/>
    </w:p>
    <w:p w14:paraId="72FE0E63" w14:textId="6A3539A6" w:rsidR="00E0081A" w:rsidRPr="006070EA" w:rsidRDefault="00BC0409" w:rsidP="00485315">
      <w:pPr>
        <w:pStyle w:val="Atext"/>
        <w:keepNext/>
        <w:tabs>
          <w:tab w:val="left" w:pos="1335"/>
          <w:tab w:val="right" w:pos="9070"/>
        </w:tabs>
        <w:ind w:firstLine="0"/>
        <w:jc w:val="left"/>
        <w:rPr>
          <w:rFonts w:asciiTheme="majorHAnsi" w:hAnsiTheme="majorHAnsi" w:cstheme="majorHAnsi"/>
          <w:i/>
          <w:snapToGrid w:val="0"/>
          <w:u w:val="single"/>
        </w:rPr>
      </w:pPr>
      <w:r w:rsidRPr="006070EA">
        <w:rPr>
          <w:rFonts w:asciiTheme="majorHAnsi" w:hAnsiTheme="majorHAnsi" w:cstheme="majorHAnsi"/>
          <w:i/>
          <w:snapToGrid w:val="0"/>
        </w:rPr>
        <w:tab/>
      </w:r>
      <w:r w:rsidRPr="006070EA">
        <w:rPr>
          <w:rFonts w:asciiTheme="majorHAnsi" w:hAnsiTheme="majorHAnsi" w:cstheme="majorHAnsi"/>
          <w:i/>
          <w:snapToGrid w:val="0"/>
        </w:rPr>
        <w:tab/>
      </w:r>
      <w:r w:rsidR="00E0081A" w:rsidRPr="006070EA">
        <w:rPr>
          <w:rFonts w:asciiTheme="majorHAnsi" w:hAnsiTheme="majorHAnsi" w:cstheme="majorHAnsi"/>
          <w:i/>
          <w:snapToGrid w:val="0"/>
          <w:u w:val="single"/>
        </w:rPr>
        <w:t xml:space="preserve">Odůvodnění odst. </w:t>
      </w:r>
      <w:r w:rsidR="00E0081A" w:rsidRPr="006070EA">
        <w:rPr>
          <w:rFonts w:asciiTheme="majorHAnsi" w:hAnsiTheme="majorHAnsi" w:cstheme="majorHAnsi"/>
          <w:b/>
          <w:i/>
          <w:snapToGrid w:val="0"/>
          <w:u w:val="single"/>
        </w:rPr>
        <w:t>(</w:t>
      </w:r>
      <w:r w:rsidR="0063156C" w:rsidRPr="006070EA">
        <w:rPr>
          <w:rFonts w:asciiTheme="majorHAnsi" w:hAnsiTheme="majorHAnsi" w:cstheme="majorHAnsi"/>
          <w:b/>
          <w:i/>
          <w:snapToGrid w:val="0"/>
          <w:u w:val="single"/>
        </w:rPr>
        <w:t>7</w:t>
      </w:r>
      <w:r w:rsidR="00E0081A" w:rsidRPr="006070EA">
        <w:rPr>
          <w:rFonts w:asciiTheme="majorHAnsi" w:hAnsiTheme="majorHAnsi" w:cstheme="majorHAnsi"/>
          <w:b/>
          <w:i/>
          <w:snapToGrid w:val="0"/>
          <w:u w:val="single"/>
        </w:rPr>
        <w:t>)</w:t>
      </w:r>
      <w:r w:rsidR="00E0081A" w:rsidRPr="006070EA">
        <w:rPr>
          <w:rFonts w:asciiTheme="majorHAnsi" w:hAnsiTheme="majorHAnsi" w:cstheme="majorHAnsi"/>
          <w:i/>
          <w:snapToGrid w:val="0"/>
          <w:u w:val="single"/>
        </w:rPr>
        <w:t xml:space="preserve"> </w:t>
      </w:r>
      <w:r w:rsidR="009E0B7E" w:rsidRPr="006070EA">
        <w:rPr>
          <w:rFonts w:asciiTheme="majorHAnsi" w:hAnsiTheme="majorHAnsi" w:cstheme="majorHAnsi"/>
          <w:i/>
          <w:snapToGrid w:val="0"/>
          <w:u w:val="single"/>
        </w:rPr>
        <w:t xml:space="preserve">a </w:t>
      </w:r>
      <w:r w:rsidR="009E0B7E" w:rsidRPr="006070EA">
        <w:rPr>
          <w:rFonts w:asciiTheme="majorHAnsi" w:hAnsiTheme="majorHAnsi" w:cstheme="majorHAnsi"/>
          <w:b/>
          <w:bCs w:val="0"/>
          <w:i/>
          <w:snapToGrid w:val="0"/>
          <w:u w:val="single"/>
        </w:rPr>
        <w:t>(8)</w:t>
      </w:r>
      <w:r w:rsidR="009E0B7E" w:rsidRPr="006070EA">
        <w:rPr>
          <w:rFonts w:asciiTheme="majorHAnsi" w:hAnsiTheme="majorHAnsi" w:cstheme="majorHAnsi"/>
          <w:i/>
          <w:snapToGrid w:val="0"/>
          <w:u w:val="single"/>
        </w:rPr>
        <w:t xml:space="preserve"> </w:t>
      </w:r>
      <w:r w:rsidR="00E0081A" w:rsidRPr="006070EA">
        <w:rPr>
          <w:rFonts w:asciiTheme="majorHAnsi" w:hAnsiTheme="majorHAnsi" w:cstheme="majorHAnsi"/>
          <w:i/>
          <w:snapToGrid w:val="0"/>
          <w:u w:val="single"/>
        </w:rPr>
        <w:t>výrokové části</w:t>
      </w:r>
    </w:p>
    <w:p w14:paraId="51346EB3" w14:textId="77777777" w:rsidR="0063156C" w:rsidRPr="006070EA" w:rsidRDefault="0063156C" w:rsidP="00485315">
      <w:pPr>
        <w:keepNext/>
        <w:spacing w:before="120" w:after="120" w:line="240" w:lineRule="auto"/>
        <w:rPr>
          <w:rFonts w:asciiTheme="majorHAnsi" w:hAnsiTheme="majorHAnsi" w:cstheme="majorHAnsi"/>
          <w:b/>
          <w:sz w:val="20"/>
          <w:szCs w:val="20"/>
        </w:rPr>
      </w:pPr>
      <w:r w:rsidRPr="006070EA">
        <w:rPr>
          <w:rFonts w:asciiTheme="majorHAnsi" w:hAnsiTheme="majorHAnsi" w:cstheme="majorHAnsi"/>
          <w:b/>
          <w:sz w:val="20"/>
          <w:szCs w:val="20"/>
        </w:rPr>
        <w:t>Východiska urbanistické koncepce</w:t>
      </w:r>
    </w:p>
    <w:p w14:paraId="6387B9CB" w14:textId="3F99CBF4" w:rsidR="0063156C" w:rsidRPr="006070EA" w:rsidRDefault="0063156C" w:rsidP="0063156C">
      <w:pPr>
        <w:pStyle w:val="Atext"/>
        <w:rPr>
          <w:rFonts w:asciiTheme="majorHAnsi" w:hAnsiTheme="majorHAnsi" w:cstheme="majorHAnsi"/>
        </w:rPr>
      </w:pPr>
      <w:r w:rsidRPr="006070EA">
        <w:rPr>
          <w:rFonts w:asciiTheme="majorHAnsi" w:hAnsiTheme="majorHAnsi" w:cstheme="majorHAnsi"/>
        </w:rPr>
        <w:t>Základním východiskem pro koncepci rozvoje území města je vytvoření optimální urbanistické a organizační struktury ploch, spočívající ve vyváženém vztahu podmínek pro příznivé životní prostředí, hospodářský růst, stabilizaci a rozvoj osídlení, ochranu hodnot a zlepšování soudržnosti společenství obyvatel obce. Územní plán je navržen tak, aby umožňoval obnovu a rozvoj území ve všech jeho funkčních složkách a současně vytvářel podmínky pro ochranu hodnot a respektoval limity využití území.</w:t>
      </w:r>
    </w:p>
    <w:p w14:paraId="68EF88BF" w14:textId="77777777" w:rsidR="0063156C" w:rsidRPr="006070EA" w:rsidRDefault="0063156C" w:rsidP="0063156C">
      <w:pPr>
        <w:pStyle w:val="Atext"/>
        <w:rPr>
          <w:rFonts w:asciiTheme="majorHAnsi" w:hAnsiTheme="majorHAnsi" w:cstheme="majorHAnsi"/>
        </w:rPr>
      </w:pPr>
      <w:r w:rsidRPr="006070EA">
        <w:rPr>
          <w:rFonts w:asciiTheme="majorHAnsi" w:hAnsiTheme="majorHAnsi" w:cstheme="majorHAnsi"/>
        </w:rPr>
        <w:t>Urbanistická koncepce je stanovena zejména dle následujících východisek a podkladů:</w:t>
      </w:r>
    </w:p>
    <w:p w14:paraId="485DE5B9" w14:textId="416E255B"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b/>
          <w:sz w:val="18"/>
        </w:rPr>
        <w:t>priority a zásady koncepce rozvoje území města</w:t>
      </w:r>
      <w:r w:rsidRPr="006070EA">
        <w:rPr>
          <w:rFonts w:asciiTheme="majorHAnsi" w:hAnsiTheme="majorHAnsi" w:cstheme="majorHAnsi"/>
          <w:sz w:val="18"/>
        </w:rPr>
        <w:t xml:space="preserve"> definované v kapitole 2.1. textové části výroku ÚP a podrobně popsané a odůvodněné v kapitole 11.2. tohoto odůvodnění </w:t>
      </w:r>
    </w:p>
    <w:p w14:paraId="5542B7FB" w14:textId="1F7CF4CF" w:rsidR="0063156C" w:rsidRPr="006070EA" w:rsidRDefault="0063156C" w:rsidP="0063156C">
      <w:pPr>
        <w:pStyle w:val="Odstavecseseznamem"/>
        <w:numPr>
          <w:ilvl w:val="0"/>
          <w:numId w:val="4"/>
        </w:numPr>
        <w:spacing w:before="40" w:after="40"/>
        <w:contextualSpacing w:val="0"/>
        <w:rPr>
          <w:rFonts w:asciiTheme="majorHAnsi" w:hAnsiTheme="majorHAnsi" w:cstheme="majorHAnsi"/>
          <w:sz w:val="18"/>
        </w:rPr>
      </w:pPr>
      <w:r w:rsidRPr="006070EA">
        <w:rPr>
          <w:rFonts w:asciiTheme="majorHAnsi" w:hAnsiTheme="majorHAnsi" w:cstheme="majorHAnsi"/>
          <w:b/>
          <w:bCs/>
          <w:sz w:val="18"/>
        </w:rPr>
        <w:t>požadavky na rozvoj města</w:t>
      </w:r>
      <w:r w:rsidRPr="006070EA">
        <w:rPr>
          <w:rFonts w:asciiTheme="majorHAnsi" w:hAnsiTheme="majorHAnsi" w:cstheme="majorHAnsi"/>
          <w:sz w:val="18"/>
        </w:rPr>
        <w:t xml:space="preserve"> obsažené v PÚR ČR, ZÚR SK a ve schváleném Zadání ÚP </w:t>
      </w:r>
      <w:r w:rsidR="00531B5A" w:rsidRPr="006070EA">
        <w:rPr>
          <w:rFonts w:asciiTheme="majorHAnsi" w:hAnsiTheme="majorHAnsi" w:cstheme="majorHAnsi"/>
          <w:sz w:val="18"/>
        </w:rPr>
        <w:t>Kostomlaty nad Labem</w:t>
      </w:r>
    </w:p>
    <w:p w14:paraId="7B9906D9" w14:textId="77777777"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t>požadavky platných právních předpisů</w:t>
      </w:r>
    </w:p>
    <w:p w14:paraId="38A8BDE6" w14:textId="77777777"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b/>
          <w:bCs/>
          <w:sz w:val="18"/>
        </w:rPr>
        <w:t>vyhodnocení sociogeografického vývoje území</w:t>
      </w:r>
      <w:r w:rsidRPr="006070EA">
        <w:rPr>
          <w:rFonts w:asciiTheme="majorHAnsi" w:hAnsiTheme="majorHAnsi" w:cstheme="majorHAnsi"/>
          <w:sz w:val="18"/>
        </w:rPr>
        <w:t xml:space="preserve"> (viz kapitola 10 Vyhodnocení účelného využití zastavěného území a vyhodnocení potřeby vymezení zastavitelných ploch)</w:t>
      </w:r>
    </w:p>
    <w:p w14:paraId="150FBE17" w14:textId="77777777"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b/>
          <w:bCs/>
          <w:sz w:val="18"/>
        </w:rPr>
        <w:t>historický vývoj území města</w:t>
      </w:r>
      <w:r w:rsidRPr="006070EA">
        <w:rPr>
          <w:rFonts w:asciiTheme="majorHAnsi" w:hAnsiTheme="majorHAnsi" w:cstheme="majorHAnsi"/>
          <w:sz w:val="18"/>
        </w:rPr>
        <w:t xml:space="preserve"> (viz níže v této kapitole)</w:t>
      </w:r>
    </w:p>
    <w:p w14:paraId="17FC302E" w14:textId="34B511F5"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t>koncepce rozvoje území města stanovená v platném ÚP</w:t>
      </w:r>
      <w:r w:rsidR="00531B5A" w:rsidRPr="006070EA">
        <w:rPr>
          <w:rFonts w:asciiTheme="majorHAnsi" w:hAnsiTheme="majorHAnsi" w:cstheme="majorHAnsi"/>
          <w:b/>
          <w:bCs/>
          <w:sz w:val="18"/>
        </w:rPr>
        <w:t>O</w:t>
      </w:r>
      <w:r w:rsidRPr="006070EA">
        <w:rPr>
          <w:rFonts w:asciiTheme="majorHAnsi" w:hAnsiTheme="majorHAnsi" w:cstheme="majorHAnsi"/>
          <w:b/>
          <w:bCs/>
          <w:sz w:val="18"/>
        </w:rPr>
        <w:t xml:space="preserve"> </w:t>
      </w:r>
      <w:r w:rsidR="00531B5A" w:rsidRPr="006070EA">
        <w:rPr>
          <w:rFonts w:asciiTheme="majorHAnsi" w:hAnsiTheme="majorHAnsi" w:cstheme="majorHAnsi"/>
          <w:b/>
          <w:bCs/>
          <w:sz w:val="18"/>
        </w:rPr>
        <w:t>Kostomlaty nad Labem</w:t>
      </w:r>
    </w:p>
    <w:p w14:paraId="40D1148D" w14:textId="77777777"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lastRenderedPageBreak/>
        <w:t>existující funkční, prostorové a provozní vazby v území, stabilizované prostorové a funkční uspořádání území</w:t>
      </w:r>
    </w:p>
    <w:p w14:paraId="300E35C6" w14:textId="77777777"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t>stávající charakter, struktura a prostorové uspořádání zástavby</w:t>
      </w:r>
    </w:p>
    <w:p w14:paraId="2C31AA86" w14:textId="77777777"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b/>
          <w:bCs/>
          <w:sz w:val="18"/>
        </w:rPr>
        <w:t>existence a stav stávající veřejné infrastruktury</w:t>
      </w:r>
      <w:r w:rsidRPr="006070EA">
        <w:rPr>
          <w:rFonts w:asciiTheme="majorHAnsi" w:hAnsiTheme="majorHAnsi" w:cstheme="majorHAnsi"/>
          <w:sz w:val="18"/>
        </w:rPr>
        <w:t xml:space="preserve"> (dopravní systém, inženýrské sítě, občanská vybavenost)</w:t>
      </w:r>
    </w:p>
    <w:p w14:paraId="086795FF" w14:textId="77777777"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t>limity využití území a hodnoty území</w:t>
      </w:r>
    </w:p>
    <w:p w14:paraId="08F21DC6" w14:textId="77777777" w:rsidR="0063156C" w:rsidRPr="006070EA" w:rsidRDefault="0063156C" w:rsidP="0063156C">
      <w:pPr>
        <w:pStyle w:val="Odstavecseseznamem"/>
        <w:numPr>
          <w:ilvl w:val="0"/>
          <w:numId w:val="4"/>
        </w:numPr>
        <w:spacing w:before="40" w:after="40" w:line="240" w:lineRule="auto"/>
        <w:ind w:left="1066" w:hanging="357"/>
        <w:contextualSpacing w:val="0"/>
        <w:jc w:val="both"/>
        <w:rPr>
          <w:rFonts w:asciiTheme="majorHAnsi" w:hAnsiTheme="majorHAnsi" w:cstheme="majorHAnsi"/>
          <w:b/>
          <w:bCs/>
          <w:sz w:val="18"/>
        </w:rPr>
      </w:pPr>
      <w:r w:rsidRPr="006070EA">
        <w:rPr>
          <w:rFonts w:asciiTheme="majorHAnsi" w:hAnsiTheme="majorHAnsi" w:cstheme="majorHAnsi"/>
          <w:b/>
          <w:bCs/>
          <w:sz w:val="18"/>
        </w:rPr>
        <w:t>přírodní podmínky, charakter území a volné krajiny</w:t>
      </w:r>
    </w:p>
    <w:p w14:paraId="4B6CE901" w14:textId="77777777" w:rsidR="0063156C" w:rsidRPr="006070EA" w:rsidRDefault="0063156C" w:rsidP="0063156C">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rPr>
        <w:t>terénní průzkum zpracovatele ÚP</w:t>
      </w:r>
    </w:p>
    <w:p w14:paraId="05340D05" w14:textId="3FDD819A" w:rsidR="00151744" w:rsidRPr="006070EA" w:rsidRDefault="00151744" w:rsidP="00151744">
      <w:pPr>
        <w:spacing w:before="120" w:after="120" w:line="240" w:lineRule="auto"/>
        <w:rPr>
          <w:rFonts w:asciiTheme="majorHAnsi" w:hAnsiTheme="majorHAnsi" w:cstheme="majorHAnsi"/>
          <w:b/>
          <w:sz w:val="20"/>
          <w:szCs w:val="20"/>
        </w:rPr>
      </w:pPr>
      <w:r w:rsidRPr="006070EA">
        <w:rPr>
          <w:rFonts w:asciiTheme="majorHAnsi" w:hAnsiTheme="majorHAnsi" w:cstheme="majorHAnsi"/>
          <w:b/>
          <w:sz w:val="20"/>
          <w:szCs w:val="20"/>
        </w:rPr>
        <w:t xml:space="preserve">Historický vývoj </w:t>
      </w:r>
      <w:r w:rsidR="00531B5A" w:rsidRPr="006070EA">
        <w:rPr>
          <w:rFonts w:asciiTheme="majorHAnsi" w:hAnsiTheme="majorHAnsi" w:cstheme="majorHAnsi"/>
          <w:b/>
          <w:sz w:val="20"/>
          <w:szCs w:val="20"/>
        </w:rPr>
        <w:t xml:space="preserve">osídlení a urbanistické </w:t>
      </w:r>
      <w:r w:rsidRPr="006070EA">
        <w:rPr>
          <w:rFonts w:asciiTheme="majorHAnsi" w:hAnsiTheme="majorHAnsi" w:cstheme="majorHAnsi"/>
          <w:b/>
          <w:sz w:val="20"/>
          <w:szCs w:val="20"/>
        </w:rPr>
        <w:t xml:space="preserve">struktury </w:t>
      </w:r>
      <w:r w:rsidR="00531B5A" w:rsidRPr="006070EA">
        <w:rPr>
          <w:rFonts w:asciiTheme="majorHAnsi" w:hAnsiTheme="majorHAnsi" w:cstheme="majorHAnsi"/>
          <w:b/>
          <w:sz w:val="20"/>
          <w:szCs w:val="20"/>
        </w:rPr>
        <w:t>území</w:t>
      </w:r>
    </w:p>
    <w:p w14:paraId="38E43D4D" w14:textId="2FC1C8EA" w:rsidR="00151744" w:rsidRPr="006070EA" w:rsidRDefault="00151744" w:rsidP="00531B5A">
      <w:pPr>
        <w:spacing w:before="120" w:after="120"/>
        <w:ind w:firstLine="709"/>
        <w:jc w:val="both"/>
        <w:rPr>
          <w:rFonts w:asciiTheme="majorHAnsi" w:hAnsiTheme="majorHAnsi" w:cstheme="majorHAnsi"/>
          <w:color w:val="000000"/>
          <w:sz w:val="20"/>
          <w:shd w:val="clear" w:color="auto" w:fill="FFFFFF"/>
          <w:lang w:eastAsia="cs-CZ"/>
        </w:rPr>
      </w:pPr>
      <w:r w:rsidRPr="006070EA">
        <w:rPr>
          <w:rFonts w:asciiTheme="majorHAnsi" w:hAnsiTheme="majorHAnsi" w:cstheme="majorHAnsi"/>
          <w:color w:val="000000"/>
          <w:sz w:val="18"/>
          <w:szCs w:val="18"/>
          <w:shd w:val="clear" w:color="auto" w:fill="FFFFFF"/>
          <w:lang w:eastAsia="cs-CZ"/>
        </w:rPr>
        <w:t>Oblast Nymburska patří ke staré sídelní komoře Polabí osídlené již od pravěku, což dokládá velké množství archeologických památek většiny archeologických kultur obývajících středočeský prostor. Jedná se o úrodnou krajinu prostoupenou množstvím historicky významných sídel. Kvůli své značné rozloze má oblast několik center, historických těžišť, kolem kterých se organizovalo již od dob nejstarší kolonizace dnešní osídlení. Nymbursko je starobylý kraj s mnoha památkami</w:t>
      </w:r>
      <w:r w:rsidR="00531B5A" w:rsidRPr="006070EA">
        <w:rPr>
          <w:rFonts w:asciiTheme="majorHAnsi" w:hAnsiTheme="majorHAnsi" w:cstheme="majorHAnsi"/>
          <w:color w:val="000000"/>
          <w:sz w:val="18"/>
          <w:szCs w:val="18"/>
          <w:shd w:val="clear" w:color="auto" w:fill="FFFFFF"/>
          <w:lang w:eastAsia="cs-CZ"/>
        </w:rPr>
        <w:t>,</w:t>
      </w:r>
      <w:r w:rsidRPr="006070EA">
        <w:rPr>
          <w:rFonts w:asciiTheme="majorHAnsi" w:hAnsiTheme="majorHAnsi" w:cstheme="majorHAnsi"/>
          <w:color w:val="000000"/>
          <w:sz w:val="18"/>
          <w:szCs w:val="18"/>
          <w:shd w:val="clear" w:color="auto" w:fill="FFFFFF"/>
          <w:lang w:eastAsia="cs-CZ"/>
        </w:rPr>
        <w:t xml:space="preserve"> archeologickými nálezy i památnými místy</w:t>
      </w:r>
      <w:r w:rsidRPr="006070EA">
        <w:rPr>
          <w:rFonts w:asciiTheme="majorHAnsi" w:hAnsiTheme="majorHAnsi" w:cstheme="majorHAnsi"/>
          <w:color w:val="000000"/>
          <w:sz w:val="20"/>
          <w:szCs w:val="18"/>
          <w:shd w:val="clear" w:color="auto" w:fill="FFFFFF"/>
          <w:lang w:eastAsia="cs-CZ"/>
        </w:rPr>
        <w:t>.</w:t>
      </w:r>
      <w:r w:rsidRPr="006070EA">
        <w:rPr>
          <w:rFonts w:asciiTheme="majorHAnsi" w:hAnsiTheme="majorHAnsi" w:cstheme="majorHAnsi"/>
          <w:color w:val="000000"/>
          <w:sz w:val="20"/>
        </w:rPr>
        <w:t xml:space="preserve"> </w:t>
      </w:r>
    </w:p>
    <w:p w14:paraId="27108D90" w14:textId="28F09133" w:rsidR="00151744" w:rsidRPr="006070EA" w:rsidRDefault="00151744" w:rsidP="00531B5A">
      <w:pPr>
        <w:spacing w:before="120" w:after="120"/>
        <w:jc w:val="both"/>
        <w:rPr>
          <w:rFonts w:asciiTheme="majorHAnsi" w:hAnsiTheme="majorHAnsi" w:cstheme="majorHAnsi"/>
          <w:color w:val="000000"/>
          <w:sz w:val="20"/>
          <w:shd w:val="clear" w:color="auto" w:fill="FFFFFF"/>
          <w:lang w:eastAsia="cs-CZ"/>
        </w:rPr>
      </w:pPr>
      <w:r w:rsidRPr="006070EA">
        <w:rPr>
          <w:rFonts w:asciiTheme="majorHAnsi" w:hAnsiTheme="majorHAnsi" w:cstheme="majorHAnsi"/>
          <w:bCs/>
          <w:color w:val="000000"/>
          <w:sz w:val="18"/>
          <w:szCs w:val="18"/>
          <w:shd w:val="clear" w:color="auto" w:fill="FFFFFF"/>
          <w:lang w:eastAsia="cs-CZ"/>
        </w:rPr>
        <w:tab/>
        <w:t>Podle lexikonu</w:t>
      </w:r>
      <w:r w:rsidRPr="006070EA">
        <w:rPr>
          <w:rFonts w:asciiTheme="majorHAnsi" w:hAnsiTheme="majorHAnsi" w:cstheme="majorHAnsi"/>
          <w:color w:val="000000"/>
          <w:sz w:val="18"/>
          <w:szCs w:val="18"/>
          <w:shd w:val="clear" w:color="auto" w:fill="FFFFFF"/>
          <w:lang w:eastAsia="cs-CZ"/>
        </w:rPr>
        <w:t> byla obec </w:t>
      </w:r>
      <w:r w:rsidRPr="006070EA">
        <w:rPr>
          <w:rFonts w:asciiTheme="majorHAnsi" w:hAnsiTheme="majorHAnsi" w:cstheme="majorHAnsi"/>
          <w:bCs/>
          <w:color w:val="000000"/>
          <w:sz w:val="18"/>
          <w:szCs w:val="18"/>
          <w:shd w:val="clear" w:color="auto" w:fill="FFFFFF"/>
          <w:lang w:eastAsia="cs-CZ"/>
        </w:rPr>
        <w:t>Kostomlaty nad Labem</w:t>
      </w:r>
      <w:r w:rsidRPr="006070EA">
        <w:rPr>
          <w:rFonts w:asciiTheme="majorHAnsi" w:hAnsiTheme="majorHAnsi" w:cstheme="majorHAnsi"/>
          <w:color w:val="000000"/>
          <w:sz w:val="18"/>
          <w:szCs w:val="18"/>
          <w:shd w:val="clear" w:color="auto" w:fill="FFFFFF"/>
          <w:lang w:eastAsia="cs-CZ"/>
        </w:rPr>
        <w:t xml:space="preserve"> založena v roce 1223. Historie osídlení území však sahá hlouběji kdy </w:t>
      </w:r>
      <w:r w:rsidRPr="006070EA">
        <w:rPr>
          <w:rFonts w:asciiTheme="majorHAnsi" w:hAnsiTheme="majorHAnsi" w:cstheme="majorHAnsi"/>
          <w:color w:val="000000"/>
          <w:sz w:val="18"/>
          <w:szCs w:val="18"/>
          <w:shd w:val="clear" w:color="auto" w:fill="FFFFFF"/>
        </w:rPr>
        <w:t xml:space="preserve">na labském břehu mezi dnešními </w:t>
      </w:r>
      <w:r w:rsidR="00531B5A" w:rsidRPr="006070EA">
        <w:rPr>
          <w:rFonts w:asciiTheme="majorHAnsi" w:hAnsiTheme="majorHAnsi" w:cstheme="majorHAnsi"/>
          <w:color w:val="000000"/>
          <w:sz w:val="18"/>
          <w:szCs w:val="18"/>
          <w:shd w:val="clear" w:color="auto" w:fill="FFFFFF"/>
        </w:rPr>
        <w:t xml:space="preserve">sídly </w:t>
      </w:r>
      <w:r w:rsidRPr="006070EA">
        <w:rPr>
          <w:rFonts w:asciiTheme="majorHAnsi" w:hAnsiTheme="majorHAnsi" w:cstheme="majorHAnsi"/>
          <w:color w:val="000000"/>
          <w:sz w:val="18"/>
          <w:szCs w:val="18"/>
          <w:shd w:val="clear" w:color="auto" w:fill="FFFFFF"/>
        </w:rPr>
        <w:t>Kostomlaty a Ostr</w:t>
      </w:r>
      <w:r w:rsidR="00531B5A" w:rsidRPr="006070EA">
        <w:rPr>
          <w:rFonts w:asciiTheme="majorHAnsi" w:hAnsiTheme="majorHAnsi" w:cstheme="majorHAnsi"/>
          <w:color w:val="000000"/>
          <w:sz w:val="18"/>
          <w:szCs w:val="18"/>
          <w:shd w:val="clear" w:color="auto" w:fill="FFFFFF"/>
        </w:rPr>
        <w:t>á</w:t>
      </w:r>
      <w:r w:rsidRPr="006070EA">
        <w:rPr>
          <w:rFonts w:asciiTheme="majorHAnsi" w:hAnsiTheme="majorHAnsi" w:cstheme="majorHAnsi"/>
          <w:color w:val="000000"/>
          <w:sz w:val="18"/>
          <w:szCs w:val="18"/>
          <w:shd w:val="clear" w:color="auto" w:fill="FFFFFF"/>
        </w:rPr>
        <w:t>, na třech vyvýšeninách porostlých nyní lužním lesem stával za dob Přemyslovců hrad Mydlovar a v jeho podhradí obec Mydlovary. V dřívějších dobách zde stávalo neolitické, později i</w:t>
      </w:r>
      <w:r w:rsidR="00531B5A" w:rsidRPr="006070EA">
        <w:rPr>
          <w:rFonts w:asciiTheme="majorHAnsi" w:hAnsiTheme="majorHAnsi" w:cstheme="majorHAnsi"/>
          <w:color w:val="000000"/>
          <w:sz w:val="18"/>
          <w:szCs w:val="18"/>
          <w:shd w:val="clear" w:color="auto" w:fill="FFFFFF"/>
        </w:rPr>
        <w:t> </w:t>
      </w:r>
      <w:r w:rsidRPr="006070EA">
        <w:rPr>
          <w:rFonts w:asciiTheme="majorHAnsi" w:hAnsiTheme="majorHAnsi" w:cstheme="majorHAnsi"/>
          <w:color w:val="000000"/>
          <w:sz w:val="18"/>
          <w:szCs w:val="18"/>
          <w:shd w:val="clear" w:color="auto" w:fill="FFFFFF"/>
        </w:rPr>
        <w:t>keltské opidium. Ves však zanikla a hrad byl opuštěn v roce 1553.</w:t>
      </w:r>
    </w:p>
    <w:p w14:paraId="411397F1" w14:textId="665DDEF7" w:rsidR="00151744" w:rsidRPr="006070EA" w:rsidRDefault="00151744" w:rsidP="00531B5A">
      <w:pPr>
        <w:spacing w:before="120" w:after="120"/>
        <w:jc w:val="both"/>
        <w:rPr>
          <w:rFonts w:asciiTheme="majorHAnsi" w:hAnsiTheme="majorHAnsi" w:cstheme="majorHAnsi"/>
          <w:color w:val="000000"/>
          <w:sz w:val="20"/>
          <w:szCs w:val="20"/>
          <w:shd w:val="clear" w:color="auto" w:fill="FFFFFF"/>
          <w:lang w:eastAsia="cs-CZ"/>
        </w:rPr>
      </w:pPr>
      <w:r w:rsidRPr="006070EA">
        <w:rPr>
          <w:rFonts w:asciiTheme="majorHAnsi" w:hAnsiTheme="majorHAnsi" w:cstheme="majorHAnsi"/>
          <w:color w:val="000000"/>
          <w:sz w:val="18"/>
          <w:szCs w:val="18"/>
          <w:shd w:val="clear" w:color="auto" w:fill="FFFFFF"/>
        </w:rPr>
        <w:tab/>
        <w:t xml:space="preserve"> Opevněné sídlo, nejspíše hrad stávalo také v nedaleké obci Kostomlaty na vyvýšenině na místě dnešního kostela a</w:t>
      </w:r>
      <w:r w:rsidR="00531B5A" w:rsidRPr="006070EA">
        <w:rPr>
          <w:rFonts w:asciiTheme="majorHAnsi" w:hAnsiTheme="majorHAnsi" w:cstheme="majorHAnsi"/>
          <w:color w:val="000000"/>
          <w:sz w:val="18"/>
          <w:szCs w:val="18"/>
          <w:shd w:val="clear" w:color="auto" w:fill="FFFFFF"/>
        </w:rPr>
        <w:t> </w:t>
      </w:r>
      <w:r w:rsidRPr="006070EA">
        <w:rPr>
          <w:rFonts w:asciiTheme="majorHAnsi" w:hAnsiTheme="majorHAnsi" w:cstheme="majorHAnsi"/>
          <w:color w:val="000000"/>
          <w:sz w:val="18"/>
          <w:szCs w:val="18"/>
          <w:shd w:val="clear" w:color="auto" w:fill="FFFFFF"/>
        </w:rPr>
        <w:t>hřbitova</w:t>
      </w:r>
      <w:r w:rsidRPr="006070EA">
        <w:rPr>
          <w:rFonts w:asciiTheme="majorHAnsi" w:hAnsiTheme="majorHAnsi" w:cstheme="majorHAnsi"/>
          <w:color w:val="000000"/>
          <w:sz w:val="18"/>
          <w:szCs w:val="18"/>
          <w:shd w:val="clear" w:color="auto" w:fill="FFFFFF"/>
          <w:lang w:eastAsia="cs-CZ"/>
        </w:rPr>
        <w:t xml:space="preserve">. Roku 1458 připadly Kostomlaty </w:t>
      </w:r>
      <w:r w:rsidRPr="006070EA">
        <w:rPr>
          <w:rFonts w:asciiTheme="majorHAnsi" w:hAnsiTheme="majorHAnsi" w:cstheme="majorHAnsi"/>
          <w:bCs/>
          <w:color w:val="000000"/>
          <w:sz w:val="18"/>
          <w:szCs w:val="18"/>
          <w:shd w:val="clear" w:color="auto" w:fill="FFFFFF"/>
          <w:lang w:eastAsia="cs-CZ"/>
        </w:rPr>
        <w:t>Jiřímu z Poděbrad</w:t>
      </w:r>
      <w:r w:rsidRPr="006070EA">
        <w:rPr>
          <w:rFonts w:asciiTheme="majorHAnsi" w:hAnsiTheme="majorHAnsi" w:cstheme="majorHAnsi"/>
          <w:color w:val="000000"/>
          <w:sz w:val="18"/>
          <w:szCs w:val="18"/>
          <w:shd w:val="clear" w:color="auto" w:fill="FFFFFF"/>
          <w:lang w:eastAsia="cs-CZ"/>
        </w:rPr>
        <w:t xml:space="preserve">, pozdějšímu králi českých zemí. V roce 1547 byly připojeny Kostomlaty k Lyskému panství. V dalších letech se Kostomlaty dostaly do vlastnictví řady majitelů. V letech </w:t>
      </w:r>
      <w:proofErr w:type="gramStart"/>
      <w:r w:rsidRPr="006070EA">
        <w:rPr>
          <w:rFonts w:asciiTheme="majorHAnsi" w:hAnsiTheme="majorHAnsi" w:cstheme="majorHAnsi"/>
          <w:color w:val="000000"/>
          <w:sz w:val="18"/>
          <w:szCs w:val="18"/>
          <w:shd w:val="clear" w:color="auto" w:fill="FFFFFF"/>
          <w:lang w:eastAsia="cs-CZ"/>
        </w:rPr>
        <w:t>1702 – 1712</w:t>
      </w:r>
      <w:proofErr w:type="gramEnd"/>
      <w:r w:rsidRPr="006070EA">
        <w:rPr>
          <w:rFonts w:asciiTheme="majorHAnsi" w:hAnsiTheme="majorHAnsi" w:cstheme="majorHAnsi"/>
          <w:color w:val="000000"/>
          <w:sz w:val="18"/>
          <w:szCs w:val="18"/>
          <w:shd w:val="clear" w:color="auto" w:fill="FFFFFF"/>
          <w:lang w:eastAsia="cs-CZ"/>
        </w:rPr>
        <w:t xml:space="preserve"> </w:t>
      </w:r>
      <w:r w:rsidR="00531B5A" w:rsidRPr="006070EA">
        <w:rPr>
          <w:rFonts w:asciiTheme="majorHAnsi" w:hAnsiTheme="majorHAnsi" w:cstheme="majorHAnsi"/>
          <w:color w:val="000000"/>
          <w:sz w:val="18"/>
          <w:szCs w:val="18"/>
          <w:shd w:val="clear" w:color="auto" w:fill="FFFFFF"/>
          <w:lang w:eastAsia="cs-CZ"/>
        </w:rPr>
        <w:t xml:space="preserve">zde </w:t>
      </w:r>
      <w:r w:rsidRPr="006070EA">
        <w:rPr>
          <w:rFonts w:asciiTheme="majorHAnsi" w:hAnsiTheme="majorHAnsi" w:cstheme="majorHAnsi"/>
          <w:color w:val="000000"/>
          <w:sz w:val="18"/>
          <w:szCs w:val="18"/>
          <w:shd w:val="clear" w:color="auto" w:fill="FFFFFF"/>
          <w:lang w:eastAsia="cs-CZ"/>
        </w:rPr>
        <w:t xml:space="preserve">byla založena škola. </w:t>
      </w:r>
      <w:r w:rsidRPr="006070EA">
        <w:rPr>
          <w:rFonts w:asciiTheme="majorHAnsi" w:hAnsiTheme="majorHAnsi" w:cstheme="majorHAnsi"/>
          <w:bCs/>
          <w:color w:val="000000"/>
          <w:sz w:val="18"/>
          <w:szCs w:val="18"/>
          <w:shd w:val="clear" w:color="auto" w:fill="FFFFFF"/>
          <w:lang w:eastAsia="cs-CZ"/>
        </w:rPr>
        <w:t>Výraznou dominantou je chrám</w:t>
      </w:r>
      <w:r w:rsidRPr="006070EA">
        <w:rPr>
          <w:rFonts w:asciiTheme="majorHAnsi" w:hAnsiTheme="majorHAnsi" w:cstheme="majorHAnsi"/>
          <w:color w:val="000000"/>
          <w:sz w:val="18"/>
          <w:szCs w:val="18"/>
          <w:shd w:val="clear" w:color="auto" w:fill="FFFFFF"/>
          <w:lang w:eastAsia="cs-CZ"/>
        </w:rPr>
        <w:t> </w:t>
      </w:r>
      <w:r w:rsidRPr="006070EA">
        <w:rPr>
          <w:rFonts w:asciiTheme="majorHAnsi" w:hAnsiTheme="majorHAnsi" w:cstheme="majorHAnsi"/>
          <w:bCs/>
          <w:color w:val="000000"/>
          <w:sz w:val="18"/>
          <w:szCs w:val="18"/>
          <w:shd w:val="clear" w:color="auto" w:fill="FFFFFF"/>
          <w:lang w:eastAsia="cs-CZ"/>
        </w:rPr>
        <w:t>sv. Bartoloměje</w:t>
      </w:r>
      <w:r w:rsidRPr="006070EA">
        <w:rPr>
          <w:rFonts w:asciiTheme="majorHAnsi" w:hAnsiTheme="majorHAnsi" w:cstheme="majorHAnsi"/>
          <w:color w:val="000000"/>
          <w:sz w:val="18"/>
          <w:szCs w:val="18"/>
          <w:shd w:val="clear" w:color="auto" w:fill="FFFFFF"/>
          <w:lang w:eastAsia="cs-CZ"/>
        </w:rPr>
        <w:t xml:space="preserve">, postavený v roce 1778, avšak kostel a fara jsou připomínány již v druhé polovině 14. </w:t>
      </w:r>
      <w:r w:rsidR="00531B5A" w:rsidRPr="006070EA">
        <w:rPr>
          <w:rFonts w:asciiTheme="majorHAnsi" w:hAnsiTheme="majorHAnsi" w:cstheme="majorHAnsi"/>
          <w:color w:val="000000"/>
          <w:sz w:val="18"/>
          <w:szCs w:val="18"/>
          <w:shd w:val="clear" w:color="auto" w:fill="FFFFFF"/>
          <w:lang w:eastAsia="cs-CZ"/>
        </w:rPr>
        <w:t>s</w:t>
      </w:r>
      <w:r w:rsidRPr="006070EA">
        <w:rPr>
          <w:rFonts w:asciiTheme="majorHAnsi" w:hAnsiTheme="majorHAnsi" w:cstheme="majorHAnsi"/>
          <w:color w:val="000000"/>
          <w:sz w:val="18"/>
          <w:szCs w:val="18"/>
          <w:shd w:val="clear" w:color="auto" w:fill="FFFFFF"/>
          <w:lang w:eastAsia="cs-CZ"/>
        </w:rPr>
        <w:t>toletí. Roku 1843 byla zřízena vinopalna. Ta byla později zbořena, a na jejím místě byl roku 1870 postaven cukrovar s novým dvorem. V polovině 19. století byly vykáceny četné lesy v okolí Kostomlat a následně proměněny v pole.</w:t>
      </w:r>
      <w:r w:rsidRPr="006070EA">
        <w:rPr>
          <w:rFonts w:asciiTheme="majorHAnsi" w:hAnsiTheme="majorHAnsi" w:cstheme="majorHAnsi"/>
          <w:color w:val="000000"/>
          <w:sz w:val="20"/>
          <w:szCs w:val="20"/>
          <w:shd w:val="clear" w:color="auto" w:fill="FFFFFF"/>
          <w:lang w:eastAsia="cs-CZ"/>
        </w:rPr>
        <w:t xml:space="preserve"> </w:t>
      </w:r>
      <w:r w:rsidRPr="006070EA">
        <w:rPr>
          <w:rFonts w:asciiTheme="majorHAnsi" w:hAnsiTheme="majorHAnsi" w:cstheme="majorHAnsi"/>
          <w:color w:val="000000"/>
          <w:sz w:val="18"/>
          <w:szCs w:val="20"/>
          <w:shd w:val="clear" w:color="auto" w:fill="FFFFFF"/>
          <w:lang w:eastAsia="cs-CZ"/>
        </w:rPr>
        <w:t>Obec má od roku 1875 poštu a stanici železniční dráhy. </w:t>
      </w:r>
      <w:r w:rsidRPr="006070EA">
        <w:rPr>
          <w:rFonts w:asciiTheme="majorHAnsi" w:hAnsiTheme="majorHAnsi" w:cstheme="majorHAnsi"/>
          <w:bCs/>
          <w:color w:val="000000"/>
          <w:sz w:val="18"/>
          <w:szCs w:val="20"/>
          <w:shd w:val="clear" w:color="auto" w:fill="FFFFFF"/>
          <w:lang w:eastAsia="cs-CZ"/>
        </w:rPr>
        <w:t>Železniční trať</w:t>
      </w:r>
      <w:r w:rsidRPr="006070EA">
        <w:rPr>
          <w:rFonts w:asciiTheme="majorHAnsi" w:hAnsiTheme="majorHAnsi" w:cstheme="majorHAnsi"/>
          <w:color w:val="000000"/>
          <w:sz w:val="18"/>
          <w:szCs w:val="20"/>
          <w:shd w:val="clear" w:color="auto" w:fill="FFFFFF"/>
          <w:lang w:eastAsia="cs-CZ"/>
        </w:rPr>
        <w:t> se začala stavět v roce 1872 od Nymburka do Lysé nad Labem.</w:t>
      </w:r>
    </w:p>
    <w:p w14:paraId="27B8CF18" w14:textId="77777777" w:rsidR="00151744" w:rsidRPr="006070EA" w:rsidRDefault="00151744" w:rsidP="00531B5A">
      <w:pPr>
        <w:pStyle w:val="Atext"/>
        <w:rPr>
          <w:rFonts w:asciiTheme="majorHAnsi" w:hAnsiTheme="majorHAnsi" w:cstheme="majorHAnsi"/>
          <w:color w:val="000000"/>
        </w:rPr>
      </w:pPr>
      <w:r w:rsidRPr="006070EA">
        <w:rPr>
          <w:rFonts w:asciiTheme="majorHAnsi" w:hAnsiTheme="majorHAnsi" w:cstheme="majorHAnsi"/>
          <w:color w:val="000000"/>
        </w:rPr>
        <w:t xml:space="preserve">Podrobný vývoj je popsán v členění na jednotlivá sídla v řešeném území. </w:t>
      </w:r>
    </w:p>
    <w:p w14:paraId="77ED9DB0" w14:textId="1444C218" w:rsidR="00151744" w:rsidRPr="006070EA" w:rsidRDefault="00151744" w:rsidP="00D430EF">
      <w:pPr>
        <w:keepNext/>
        <w:spacing w:before="120" w:after="120"/>
        <w:rPr>
          <w:rFonts w:asciiTheme="majorHAnsi" w:hAnsiTheme="majorHAnsi" w:cstheme="majorHAnsi"/>
          <w:b/>
          <w:bCs/>
          <w:i/>
          <w:iCs/>
          <w:color w:val="000000"/>
          <w:sz w:val="20"/>
          <w:szCs w:val="20"/>
        </w:rPr>
      </w:pPr>
      <w:bookmarkStart w:id="312" w:name="_Toc486259514"/>
      <w:r w:rsidRPr="006070EA">
        <w:rPr>
          <w:rFonts w:asciiTheme="majorHAnsi" w:hAnsiTheme="majorHAnsi" w:cstheme="majorHAnsi"/>
          <w:b/>
          <w:bCs/>
          <w:i/>
          <w:iCs/>
          <w:color w:val="000000"/>
          <w:sz w:val="20"/>
          <w:szCs w:val="20"/>
        </w:rPr>
        <w:t>Hronětice</w:t>
      </w:r>
      <w:bookmarkEnd w:id="312"/>
    </w:p>
    <w:p w14:paraId="4A161474" w14:textId="77777777" w:rsidR="00B3456F" w:rsidRPr="006070EA" w:rsidRDefault="00B3456F" w:rsidP="00B3456F">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t>Vývoj počtu obyvatel a počtu domů v sídle</w:t>
      </w:r>
    </w:p>
    <w:p w14:paraId="0875AEB6" w14:textId="77777777" w:rsidR="00151744" w:rsidRPr="006070EA" w:rsidRDefault="00151744" w:rsidP="00151744">
      <w:pPr>
        <w:pStyle w:val="Atext"/>
        <w:ind w:firstLine="0"/>
        <w:rPr>
          <w:rFonts w:asciiTheme="majorHAnsi" w:hAnsiTheme="majorHAnsi" w:cstheme="majorHAnsi"/>
          <w:noProof/>
          <w:color w:val="000000"/>
          <w:lang w:eastAsia="cs-CZ"/>
        </w:rPr>
      </w:pPr>
      <w:r w:rsidRPr="006070EA">
        <w:rPr>
          <w:rFonts w:asciiTheme="majorHAnsi" w:hAnsiTheme="majorHAnsi" w:cstheme="majorHAnsi"/>
          <w:noProof/>
          <w:color w:val="000000"/>
          <w:lang w:eastAsia="cs-CZ"/>
        </w:rPr>
        <w:drawing>
          <wp:inline distT="0" distB="0" distL="0" distR="0" wp14:anchorId="490F5B0A" wp14:editId="4BD71A90">
            <wp:extent cx="5569585" cy="3600000"/>
            <wp:effectExtent l="0" t="0" r="0" b="0"/>
            <wp:docPr id="55" name="Graf 5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8"/>
              </a:graphicData>
            </a:graphic>
          </wp:inline>
        </w:drawing>
      </w:r>
    </w:p>
    <w:p w14:paraId="25BC2A0D" w14:textId="3359790B" w:rsidR="00151744" w:rsidRPr="006070EA" w:rsidRDefault="00151744" w:rsidP="00BB48C8">
      <w:pPr>
        <w:pStyle w:val="Atext"/>
        <w:keepLines/>
        <w:rPr>
          <w:rFonts w:asciiTheme="majorHAnsi" w:hAnsiTheme="majorHAnsi" w:cstheme="majorHAnsi"/>
          <w:color w:val="000000"/>
        </w:rPr>
      </w:pPr>
      <w:r w:rsidRPr="006070EA">
        <w:rPr>
          <w:rFonts w:asciiTheme="majorHAnsi" w:hAnsiTheme="majorHAnsi" w:cstheme="majorHAnsi"/>
          <w:color w:val="000000"/>
        </w:rPr>
        <w:lastRenderedPageBreak/>
        <w:t xml:space="preserve">Vývoj sídelní struktury zástavby původních chalup, která se později ve 20. století více koncentrovala podél silnice, lze nyní považovat za stagnující. V posledních </w:t>
      </w:r>
      <w:r w:rsidR="00B3456F" w:rsidRPr="006070EA">
        <w:rPr>
          <w:rFonts w:asciiTheme="majorHAnsi" w:hAnsiTheme="majorHAnsi" w:cstheme="majorHAnsi"/>
          <w:color w:val="000000"/>
        </w:rPr>
        <w:t>dvaceti</w:t>
      </w:r>
      <w:r w:rsidRPr="006070EA">
        <w:rPr>
          <w:rFonts w:asciiTheme="majorHAnsi" w:hAnsiTheme="majorHAnsi" w:cstheme="majorHAnsi"/>
          <w:color w:val="000000"/>
        </w:rPr>
        <w:t xml:space="preserve"> letech bylo realizováno 6 rodinných domů. Obytné území sídla aktuálně tvoří 81 domů (údaj k roku 2011), což je historické maximum, avšak </w:t>
      </w:r>
      <w:r w:rsidR="00B3456F" w:rsidRPr="006070EA">
        <w:rPr>
          <w:rFonts w:asciiTheme="majorHAnsi" w:hAnsiTheme="majorHAnsi" w:cstheme="majorHAnsi"/>
          <w:color w:val="000000"/>
        </w:rPr>
        <w:t>nejvyššího počtu</w:t>
      </w:r>
      <w:r w:rsidRPr="006070EA">
        <w:rPr>
          <w:rFonts w:asciiTheme="majorHAnsi" w:hAnsiTheme="majorHAnsi" w:cstheme="majorHAnsi"/>
          <w:color w:val="000000"/>
        </w:rPr>
        <w:t xml:space="preserve"> obyvatel dosáhlo sídlo koncem 19.</w:t>
      </w:r>
      <w:r w:rsidR="00B3456F" w:rsidRPr="006070EA">
        <w:rPr>
          <w:rFonts w:asciiTheme="majorHAnsi" w:hAnsiTheme="majorHAnsi" w:cstheme="majorHAnsi"/>
          <w:color w:val="000000"/>
        </w:rPr>
        <w:t xml:space="preserve"> </w:t>
      </w:r>
      <w:r w:rsidRPr="006070EA">
        <w:rPr>
          <w:rFonts w:asciiTheme="majorHAnsi" w:hAnsiTheme="majorHAnsi" w:cstheme="majorHAnsi"/>
          <w:color w:val="000000"/>
        </w:rPr>
        <w:t>st</w:t>
      </w:r>
      <w:r w:rsidR="00B3456F" w:rsidRPr="006070EA">
        <w:rPr>
          <w:rFonts w:asciiTheme="majorHAnsi" w:hAnsiTheme="majorHAnsi" w:cstheme="majorHAnsi"/>
          <w:color w:val="000000"/>
        </w:rPr>
        <w:t>o</w:t>
      </w:r>
      <w:r w:rsidRPr="006070EA">
        <w:rPr>
          <w:rFonts w:asciiTheme="majorHAnsi" w:hAnsiTheme="majorHAnsi" w:cstheme="majorHAnsi"/>
          <w:color w:val="000000"/>
        </w:rPr>
        <w:t>l</w:t>
      </w:r>
      <w:r w:rsidR="00B3456F" w:rsidRPr="006070EA">
        <w:rPr>
          <w:rFonts w:asciiTheme="majorHAnsi" w:hAnsiTheme="majorHAnsi" w:cstheme="majorHAnsi"/>
          <w:color w:val="000000"/>
        </w:rPr>
        <w:t>etí</w:t>
      </w:r>
      <w:r w:rsidRPr="006070EA">
        <w:rPr>
          <w:rFonts w:asciiTheme="majorHAnsi" w:hAnsiTheme="majorHAnsi" w:cstheme="majorHAnsi"/>
          <w:color w:val="000000"/>
        </w:rPr>
        <w:t xml:space="preserve">. Dnes je stálý počet obyvatel téměř třetinový. Úpadek počtu obyvatel se zastavil v roce 1991, od té doby je počet obyvatel </w:t>
      </w:r>
      <w:r w:rsidR="00B3456F" w:rsidRPr="006070EA">
        <w:rPr>
          <w:rFonts w:asciiTheme="majorHAnsi" w:hAnsiTheme="majorHAnsi" w:cstheme="majorHAnsi"/>
          <w:color w:val="000000"/>
        </w:rPr>
        <w:t>stabilizovaný</w:t>
      </w:r>
      <w:r w:rsidRPr="006070EA">
        <w:rPr>
          <w:rFonts w:asciiTheme="majorHAnsi" w:hAnsiTheme="majorHAnsi" w:cstheme="majorHAnsi"/>
          <w:color w:val="000000"/>
        </w:rPr>
        <w:t>.</w:t>
      </w:r>
    </w:p>
    <w:p w14:paraId="3EA5F576"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t>Urbanistický vývoj</w:t>
      </w:r>
    </w:p>
    <w:tbl>
      <w:tblPr>
        <w:tblW w:w="0" w:type="auto"/>
        <w:jc w:val="center"/>
        <w:tblLook w:val="04A0" w:firstRow="1" w:lastRow="0" w:firstColumn="1" w:lastColumn="0" w:noHBand="0" w:noVBand="1"/>
      </w:tblPr>
      <w:tblGrid>
        <w:gridCol w:w="4536"/>
        <w:gridCol w:w="4461"/>
      </w:tblGrid>
      <w:tr w:rsidR="00151744" w:rsidRPr="006070EA" w14:paraId="3A9F10A3" w14:textId="77777777" w:rsidTr="000E35EE">
        <w:trPr>
          <w:trHeight w:val="283"/>
          <w:jc w:val="center"/>
        </w:trPr>
        <w:tc>
          <w:tcPr>
            <w:tcW w:w="4412" w:type="dxa"/>
          </w:tcPr>
          <w:p w14:paraId="7FC6874E" w14:textId="77777777" w:rsidR="00151744" w:rsidRPr="006070EA" w:rsidRDefault="00151744" w:rsidP="00B3456F">
            <w:pPr>
              <w:pStyle w:val="Bezmezer"/>
              <w:keepNext/>
              <w:jc w:val="left"/>
              <w:rPr>
                <w:rFonts w:asciiTheme="majorHAnsi" w:hAnsiTheme="majorHAnsi" w:cstheme="majorHAnsi"/>
                <w:b/>
                <w:color w:val="000000"/>
                <w:lang w:val="cs-CZ"/>
              </w:rPr>
            </w:pPr>
            <w:r w:rsidRPr="006070EA">
              <w:rPr>
                <w:rFonts w:asciiTheme="majorHAnsi" w:hAnsiTheme="majorHAnsi" w:cstheme="majorHAnsi"/>
                <w:b/>
                <w:noProof/>
                <w:color w:val="000000"/>
                <w:lang w:val="cs-CZ"/>
              </w:rPr>
              <w:drawing>
                <wp:inline distT="0" distB="0" distL="0" distR="0" wp14:anchorId="2661974E" wp14:editId="08F66448">
                  <wp:extent cx="2686050" cy="2686050"/>
                  <wp:effectExtent l="0" t="0" r="0" b="0"/>
                  <wp:docPr id="54" name="Obrázek 54"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Obrázek 54" descr="Obsah obrázku mapa&#10;&#10;Popis byl vytvořen automaticky"/>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2686050" cy="2686050"/>
                          </a:xfrm>
                          <a:prstGeom prst="rect">
                            <a:avLst/>
                          </a:prstGeom>
                          <a:noFill/>
                          <a:ln>
                            <a:noFill/>
                          </a:ln>
                        </pic:spPr>
                      </pic:pic>
                    </a:graphicData>
                  </a:graphic>
                </wp:inline>
              </w:drawing>
            </w:r>
          </w:p>
        </w:tc>
        <w:tc>
          <w:tcPr>
            <w:tcW w:w="4410" w:type="dxa"/>
          </w:tcPr>
          <w:p w14:paraId="7E41BA90" w14:textId="77777777" w:rsidR="00151744" w:rsidRPr="006070EA" w:rsidRDefault="00151744" w:rsidP="00B3456F">
            <w:pPr>
              <w:pStyle w:val="Bezmezer"/>
              <w:keepNext/>
              <w:ind w:right="-171"/>
              <w:jc w:val="left"/>
              <w:rPr>
                <w:rFonts w:asciiTheme="majorHAnsi" w:hAnsiTheme="majorHAnsi" w:cstheme="majorHAnsi"/>
                <w:color w:val="000000"/>
                <w:lang w:val="cs-CZ"/>
              </w:rPr>
            </w:pPr>
            <w:r w:rsidRPr="006070EA">
              <w:rPr>
                <w:rFonts w:asciiTheme="majorHAnsi" w:hAnsiTheme="majorHAnsi" w:cstheme="majorHAnsi"/>
                <w:noProof/>
                <w:color w:val="000000"/>
                <w:lang w:val="cs-CZ"/>
              </w:rPr>
              <w:drawing>
                <wp:inline distT="0" distB="0" distL="0" distR="0" wp14:anchorId="6F71C292" wp14:editId="7A423F84">
                  <wp:extent cx="2695575" cy="2686050"/>
                  <wp:effectExtent l="0" t="0" r="0" b="0"/>
                  <wp:docPr id="53" name="Obrázek 53"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Obrázek 53" descr="Obsah obrázku text&#10;&#10;Popis byl vytvořen automaticky"/>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2695575" cy="2686050"/>
                          </a:xfrm>
                          <a:prstGeom prst="rect">
                            <a:avLst/>
                          </a:prstGeom>
                          <a:noFill/>
                          <a:ln>
                            <a:noFill/>
                          </a:ln>
                        </pic:spPr>
                      </pic:pic>
                    </a:graphicData>
                  </a:graphic>
                </wp:inline>
              </w:drawing>
            </w:r>
          </w:p>
        </w:tc>
      </w:tr>
      <w:tr w:rsidR="00151744" w:rsidRPr="006070EA" w14:paraId="6B670ADC" w14:textId="77777777" w:rsidTr="000E35EE">
        <w:trPr>
          <w:trHeight w:val="168"/>
          <w:jc w:val="center"/>
        </w:trPr>
        <w:tc>
          <w:tcPr>
            <w:tcW w:w="4412" w:type="dxa"/>
            <w:vAlign w:val="center"/>
          </w:tcPr>
          <w:p w14:paraId="034E0D78" w14:textId="77777777" w:rsidR="00151744" w:rsidRPr="006070EA" w:rsidRDefault="00151744" w:rsidP="00B3456F">
            <w:pPr>
              <w:pStyle w:val="Atextkurzva"/>
              <w:jc w:val="left"/>
              <w:rPr>
                <w:rFonts w:asciiTheme="majorHAnsi" w:hAnsiTheme="majorHAnsi" w:cstheme="majorHAnsi"/>
                <w:color w:val="000000"/>
              </w:rPr>
            </w:pPr>
            <w:r w:rsidRPr="006070EA">
              <w:rPr>
                <w:rFonts w:asciiTheme="majorHAnsi" w:hAnsiTheme="majorHAnsi" w:cstheme="majorHAnsi"/>
                <w:color w:val="000000"/>
              </w:rPr>
              <w:t>Zákres sídla ve Stabilním katastru z roku 1838</w:t>
            </w:r>
          </w:p>
        </w:tc>
        <w:tc>
          <w:tcPr>
            <w:tcW w:w="4410" w:type="dxa"/>
            <w:vAlign w:val="center"/>
          </w:tcPr>
          <w:p w14:paraId="6467564F" w14:textId="77777777" w:rsidR="00151744" w:rsidRPr="006070EA" w:rsidRDefault="00151744" w:rsidP="00B3456F">
            <w:pPr>
              <w:pStyle w:val="Atextkurzva"/>
              <w:jc w:val="left"/>
              <w:rPr>
                <w:rFonts w:asciiTheme="majorHAnsi" w:hAnsiTheme="majorHAnsi" w:cstheme="majorHAnsi"/>
                <w:color w:val="000000"/>
              </w:rPr>
            </w:pPr>
            <w:r w:rsidRPr="006070EA">
              <w:rPr>
                <w:rFonts w:asciiTheme="majorHAnsi" w:hAnsiTheme="majorHAnsi" w:cstheme="majorHAnsi"/>
                <w:color w:val="000000"/>
              </w:rPr>
              <w:t>Letecký snímek z roku 1954</w:t>
            </w:r>
          </w:p>
        </w:tc>
      </w:tr>
      <w:tr w:rsidR="00151744" w:rsidRPr="006070EA" w14:paraId="6BE20CDA" w14:textId="77777777" w:rsidTr="000E35EE">
        <w:trPr>
          <w:trHeight w:val="283"/>
          <w:jc w:val="center"/>
        </w:trPr>
        <w:tc>
          <w:tcPr>
            <w:tcW w:w="4412" w:type="dxa"/>
          </w:tcPr>
          <w:p w14:paraId="6B189BEC" w14:textId="77777777" w:rsidR="00151744" w:rsidRPr="006070EA" w:rsidRDefault="00151744" w:rsidP="000E35EE">
            <w:pPr>
              <w:pStyle w:val="Bezmezer"/>
              <w:keepNext/>
              <w:rPr>
                <w:rFonts w:asciiTheme="majorHAnsi" w:hAnsiTheme="majorHAnsi" w:cstheme="majorHAnsi"/>
                <w:b/>
                <w:color w:val="000000"/>
                <w:lang w:val="cs-CZ"/>
              </w:rPr>
            </w:pPr>
            <w:r w:rsidRPr="006070EA">
              <w:rPr>
                <w:rFonts w:asciiTheme="majorHAnsi" w:hAnsiTheme="majorHAnsi" w:cstheme="majorHAnsi"/>
                <w:b/>
                <w:noProof/>
                <w:color w:val="000000"/>
                <w:lang w:val="cs-CZ"/>
              </w:rPr>
              <w:drawing>
                <wp:inline distT="0" distB="0" distL="0" distR="0" wp14:anchorId="5A8B9B1F" wp14:editId="46AD348A">
                  <wp:extent cx="2743200" cy="2514600"/>
                  <wp:effectExtent l="0" t="0" r="0" b="0"/>
                  <wp:docPr id="52" name="Obrázek 52"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Obrázek 52" descr="Obsah obrázku text&#10;&#10;Popis byl vytvořen automaticky"/>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2743200" cy="2514600"/>
                          </a:xfrm>
                          <a:prstGeom prst="rect">
                            <a:avLst/>
                          </a:prstGeom>
                          <a:noFill/>
                          <a:ln>
                            <a:noFill/>
                          </a:ln>
                        </pic:spPr>
                      </pic:pic>
                    </a:graphicData>
                  </a:graphic>
                </wp:inline>
              </w:drawing>
            </w:r>
          </w:p>
        </w:tc>
        <w:tc>
          <w:tcPr>
            <w:tcW w:w="4410" w:type="dxa"/>
          </w:tcPr>
          <w:p w14:paraId="2A228C45" w14:textId="38C2A6C2" w:rsidR="00151744" w:rsidRPr="006070EA" w:rsidRDefault="00151744" w:rsidP="000E35EE">
            <w:pPr>
              <w:pStyle w:val="Atext"/>
              <w:keepNext/>
              <w:rPr>
                <w:rFonts w:asciiTheme="majorHAnsi" w:hAnsiTheme="majorHAnsi" w:cstheme="majorHAnsi"/>
                <w:color w:val="000000"/>
                <w:shd w:val="clear" w:color="auto" w:fill="FFFFFF"/>
              </w:rPr>
            </w:pPr>
            <w:r w:rsidRPr="006070EA">
              <w:rPr>
                <w:rFonts w:asciiTheme="majorHAnsi" w:hAnsiTheme="majorHAnsi" w:cstheme="majorHAnsi"/>
                <w:bCs w:val="0"/>
                <w:color w:val="000000"/>
                <w:shd w:val="clear" w:color="auto" w:fill="FFFFFF"/>
              </w:rPr>
              <w:t>Hronětice</w:t>
            </w:r>
            <w:r w:rsidRPr="006070EA">
              <w:rPr>
                <w:rStyle w:val="apple-converted-space"/>
                <w:rFonts w:asciiTheme="majorHAnsi" w:hAnsiTheme="majorHAnsi" w:cstheme="majorHAnsi"/>
                <w:color w:val="000000"/>
                <w:shd w:val="clear" w:color="auto" w:fill="FFFFFF"/>
              </w:rPr>
              <w:t> </w:t>
            </w:r>
            <w:r w:rsidRPr="006070EA">
              <w:rPr>
                <w:rFonts w:asciiTheme="majorHAnsi" w:hAnsiTheme="majorHAnsi" w:cstheme="majorHAnsi"/>
                <w:color w:val="000000"/>
                <w:shd w:val="clear" w:color="auto" w:fill="FFFFFF"/>
              </w:rPr>
              <w:t>leží při Hronětickém potoce asi 2 km severně od Kostomlat</w:t>
            </w:r>
            <w:r w:rsidR="00B3456F" w:rsidRPr="006070EA">
              <w:rPr>
                <w:rFonts w:asciiTheme="majorHAnsi" w:hAnsiTheme="majorHAnsi" w:cstheme="majorHAnsi"/>
                <w:color w:val="000000"/>
                <w:shd w:val="clear" w:color="auto" w:fill="FFFFFF"/>
              </w:rPr>
              <w:t xml:space="preserve"> nad Labem</w:t>
            </w:r>
            <w:r w:rsidRPr="006070EA">
              <w:rPr>
                <w:rFonts w:asciiTheme="majorHAnsi" w:hAnsiTheme="majorHAnsi" w:cstheme="majorHAnsi"/>
                <w:color w:val="000000"/>
                <w:shd w:val="clear" w:color="auto" w:fill="FFFFFF"/>
              </w:rPr>
              <w:t xml:space="preserve">. </w:t>
            </w:r>
            <w:r w:rsidR="00B3456F" w:rsidRPr="006070EA">
              <w:rPr>
                <w:rFonts w:asciiTheme="majorHAnsi" w:hAnsiTheme="majorHAnsi" w:cstheme="majorHAnsi"/>
                <w:color w:val="000000"/>
                <w:shd w:val="clear" w:color="auto" w:fill="FFFFFF"/>
              </w:rPr>
              <w:t>Sídlo</w:t>
            </w:r>
            <w:r w:rsidRPr="006070EA">
              <w:rPr>
                <w:rFonts w:asciiTheme="majorHAnsi" w:hAnsiTheme="majorHAnsi" w:cstheme="majorHAnsi"/>
                <w:color w:val="000000"/>
                <w:shd w:val="clear" w:color="auto" w:fill="FFFFFF"/>
              </w:rPr>
              <w:t xml:space="preserve"> pravděpodobně patřil</w:t>
            </w:r>
            <w:r w:rsidR="00B3456F" w:rsidRPr="006070EA">
              <w:rPr>
                <w:rFonts w:asciiTheme="majorHAnsi" w:hAnsiTheme="majorHAnsi" w:cstheme="majorHAnsi"/>
                <w:color w:val="000000"/>
                <w:shd w:val="clear" w:color="auto" w:fill="FFFFFF"/>
              </w:rPr>
              <w:t>o</w:t>
            </w:r>
            <w:r w:rsidRPr="006070EA">
              <w:rPr>
                <w:rFonts w:asciiTheme="majorHAnsi" w:hAnsiTheme="majorHAnsi" w:cstheme="majorHAnsi"/>
                <w:color w:val="000000"/>
                <w:shd w:val="clear" w:color="auto" w:fill="FFFFFF"/>
              </w:rPr>
              <w:t xml:space="preserve"> od roku 1495 k panství Kostomlaty, které se roku 1547 spojilo s panstvím Lysá nad Labem.</w:t>
            </w:r>
          </w:p>
          <w:p w14:paraId="0A6BFD53" w14:textId="7FC32BFF" w:rsidR="00151744" w:rsidRPr="006070EA" w:rsidRDefault="00151744" w:rsidP="000E35EE">
            <w:pPr>
              <w:pStyle w:val="Atext"/>
              <w:keepNext/>
              <w:rPr>
                <w:rFonts w:asciiTheme="majorHAnsi" w:hAnsiTheme="majorHAnsi" w:cstheme="majorHAnsi"/>
                <w:color w:val="000000"/>
              </w:rPr>
            </w:pPr>
            <w:r w:rsidRPr="006070EA">
              <w:rPr>
                <w:rFonts w:asciiTheme="majorHAnsi" w:hAnsiTheme="majorHAnsi" w:cstheme="majorHAnsi"/>
                <w:color w:val="000000"/>
                <w:shd w:val="clear" w:color="auto" w:fill="FFFFFF"/>
              </w:rPr>
              <w:t>V polovině 16. století zde bylo 10 usedlostí a</w:t>
            </w:r>
            <w:r w:rsidR="00B3456F" w:rsidRPr="006070EA">
              <w:rPr>
                <w:rFonts w:asciiTheme="majorHAnsi" w:hAnsiTheme="majorHAnsi" w:cstheme="majorHAnsi"/>
                <w:color w:val="000000"/>
                <w:shd w:val="clear" w:color="auto" w:fill="FFFFFF"/>
              </w:rPr>
              <w:t> </w:t>
            </w:r>
            <w:r w:rsidRPr="006070EA">
              <w:rPr>
                <w:rFonts w:asciiTheme="majorHAnsi" w:hAnsiTheme="majorHAnsi" w:cstheme="majorHAnsi"/>
                <w:color w:val="000000"/>
                <w:shd w:val="clear" w:color="auto" w:fill="FFFFFF"/>
              </w:rPr>
              <w:t>krčma. Třicetiletá válka znamenala potíže i pro Hronětice</w:t>
            </w:r>
            <w:r w:rsidR="00B3456F" w:rsidRPr="006070EA">
              <w:rPr>
                <w:rFonts w:asciiTheme="majorHAnsi" w:hAnsiTheme="majorHAnsi" w:cstheme="majorHAnsi"/>
                <w:color w:val="000000"/>
                <w:shd w:val="clear" w:color="auto" w:fill="FFFFFF"/>
              </w:rPr>
              <w:t xml:space="preserve"> –</w:t>
            </w:r>
            <w:r w:rsidRPr="006070EA">
              <w:rPr>
                <w:rFonts w:asciiTheme="majorHAnsi" w:hAnsiTheme="majorHAnsi" w:cstheme="majorHAnsi"/>
                <w:color w:val="000000"/>
                <w:shd w:val="clear" w:color="auto" w:fill="FFFFFF"/>
              </w:rPr>
              <w:t xml:space="preserve"> </w:t>
            </w:r>
            <w:r w:rsidR="00B3456F" w:rsidRPr="006070EA">
              <w:rPr>
                <w:rFonts w:asciiTheme="majorHAnsi" w:hAnsiTheme="majorHAnsi" w:cstheme="majorHAnsi"/>
                <w:color w:val="000000"/>
                <w:shd w:val="clear" w:color="auto" w:fill="FFFFFF"/>
              </w:rPr>
              <w:t>č</w:t>
            </w:r>
            <w:r w:rsidRPr="006070EA">
              <w:rPr>
                <w:rFonts w:asciiTheme="majorHAnsi" w:hAnsiTheme="majorHAnsi" w:cstheme="majorHAnsi"/>
                <w:color w:val="000000"/>
                <w:shd w:val="clear" w:color="auto" w:fill="FFFFFF"/>
              </w:rPr>
              <w:t>ást opuštěných pozemků byla přidělena k nově založené vsi Vápensk</w:t>
            </w:r>
            <w:r w:rsidR="00B3456F" w:rsidRPr="006070EA">
              <w:rPr>
                <w:rFonts w:asciiTheme="majorHAnsi" w:hAnsiTheme="majorHAnsi" w:cstheme="majorHAnsi"/>
                <w:color w:val="000000"/>
                <w:shd w:val="clear" w:color="auto" w:fill="FFFFFF"/>
              </w:rPr>
              <w:t>o</w:t>
            </w:r>
            <w:r w:rsidRPr="006070EA">
              <w:rPr>
                <w:rFonts w:asciiTheme="majorHAnsi" w:hAnsiTheme="majorHAnsi" w:cstheme="majorHAnsi"/>
                <w:color w:val="000000"/>
                <w:shd w:val="clear" w:color="auto" w:fill="FFFFFF"/>
              </w:rPr>
              <w:t>, část byla připojena ke dvoru Šibice, který vznikl ze stejnojmenné vsi.</w:t>
            </w:r>
          </w:p>
        </w:tc>
      </w:tr>
      <w:tr w:rsidR="00151744" w:rsidRPr="006070EA" w14:paraId="0A10133A" w14:textId="77777777" w:rsidTr="000E35EE">
        <w:trPr>
          <w:trHeight w:val="283"/>
          <w:jc w:val="center"/>
        </w:trPr>
        <w:tc>
          <w:tcPr>
            <w:tcW w:w="4412" w:type="dxa"/>
            <w:vAlign w:val="center"/>
          </w:tcPr>
          <w:p w14:paraId="5A13EDC5" w14:textId="77777777" w:rsidR="00151744" w:rsidRPr="006070EA" w:rsidRDefault="00151744" w:rsidP="00B3456F">
            <w:pPr>
              <w:pStyle w:val="Atextkurzva"/>
              <w:jc w:val="left"/>
              <w:rPr>
                <w:rFonts w:asciiTheme="majorHAnsi" w:hAnsiTheme="majorHAnsi" w:cstheme="majorHAnsi"/>
                <w:color w:val="000000"/>
              </w:rPr>
            </w:pPr>
            <w:r w:rsidRPr="006070EA">
              <w:rPr>
                <w:rFonts w:asciiTheme="majorHAnsi" w:hAnsiTheme="majorHAnsi" w:cstheme="majorHAnsi"/>
                <w:color w:val="000000"/>
              </w:rPr>
              <w:t>Letecký snímek z roku 2010</w:t>
            </w:r>
          </w:p>
        </w:tc>
        <w:tc>
          <w:tcPr>
            <w:tcW w:w="4410" w:type="dxa"/>
            <w:vAlign w:val="center"/>
          </w:tcPr>
          <w:p w14:paraId="49959208" w14:textId="77777777" w:rsidR="00151744" w:rsidRPr="006070EA" w:rsidRDefault="00151744" w:rsidP="00B3456F">
            <w:pPr>
              <w:pStyle w:val="Atextkurzva"/>
              <w:jc w:val="left"/>
              <w:rPr>
                <w:rFonts w:asciiTheme="majorHAnsi" w:hAnsiTheme="majorHAnsi" w:cstheme="majorHAnsi"/>
                <w:color w:val="000000"/>
              </w:rPr>
            </w:pPr>
          </w:p>
        </w:tc>
      </w:tr>
    </w:tbl>
    <w:p w14:paraId="25BE5524" w14:textId="77777777" w:rsidR="00151744" w:rsidRPr="006070EA" w:rsidRDefault="00151744" w:rsidP="006C286A">
      <w:pPr>
        <w:keepNext/>
        <w:spacing w:before="120" w:after="120"/>
        <w:rPr>
          <w:rFonts w:asciiTheme="majorHAnsi" w:hAnsiTheme="majorHAnsi" w:cstheme="majorHAnsi"/>
          <w:b/>
          <w:bCs/>
          <w:i/>
          <w:iCs/>
          <w:color w:val="000000"/>
          <w:sz w:val="20"/>
          <w:szCs w:val="20"/>
        </w:rPr>
      </w:pPr>
      <w:bookmarkStart w:id="313" w:name="_Toc486259515"/>
      <w:r w:rsidRPr="006070EA">
        <w:rPr>
          <w:rFonts w:asciiTheme="majorHAnsi" w:hAnsiTheme="majorHAnsi" w:cstheme="majorHAnsi"/>
          <w:b/>
          <w:bCs/>
          <w:i/>
          <w:iCs/>
          <w:color w:val="000000"/>
          <w:sz w:val="20"/>
          <w:szCs w:val="20"/>
        </w:rPr>
        <w:lastRenderedPageBreak/>
        <w:t>Kostomlaty nad Labem</w:t>
      </w:r>
      <w:bookmarkEnd w:id="313"/>
    </w:p>
    <w:p w14:paraId="11D4FAFB"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t>Vývoj počtu obyvatel a počtu domů v sídle</w:t>
      </w:r>
    </w:p>
    <w:p w14:paraId="32AD2BCD" w14:textId="77777777" w:rsidR="00151744" w:rsidRPr="006070EA" w:rsidRDefault="00151744" w:rsidP="00151744">
      <w:pPr>
        <w:pStyle w:val="Atext"/>
        <w:ind w:firstLine="0"/>
        <w:rPr>
          <w:rFonts w:asciiTheme="majorHAnsi" w:hAnsiTheme="majorHAnsi" w:cstheme="majorHAnsi"/>
          <w:noProof/>
          <w:color w:val="000000"/>
          <w:lang w:eastAsia="cs-CZ"/>
        </w:rPr>
      </w:pPr>
      <w:r w:rsidRPr="006070EA">
        <w:rPr>
          <w:rFonts w:asciiTheme="majorHAnsi" w:hAnsiTheme="majorHAnsi" w:cstheme="majorHAnsi"/>
          <w:noProof/>
          <w:color w:val="000000"/>
          <w:lang w:eastAsia="cs-CZ"/>
        </w:rPr>
        <w:drawing>
          <wp:inline distT="0" distB="0" distL="0" distR="0" wp14:anchorId="56D8D28C" wp14:editId="77111E01">
            <wp:extent cx="5560060" cy="3600000"/>
            <wp:effectExtent l="0" t="0" r="2540" b="635"/>
            <wp:docPr id="51" name="Graf 5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p w14:paraId="38762F4A" w14:textId="751480D6" w:rsidR="00151744" w:rsidRPr="006070EA" w:rsidRDefault="00151744" w:rsidP="00151744">
      <w:pPr>
        <w:pStyle w:val="Atext"/>
        <w:rPr>
          <w:rFonts w:asciiTheme="majorHAnsi" w:hAnsiTheme="majorHAnsi" w:cstheme="majorHAnsi"/>
          <w:color w:val="000000"/>
        </w:rPr>
      </w:pPr>
      <w:r w:rsidRPr="006070EA">
        <w:rPr>
          <w:rFonts w:asciiTheme="majorHAnsi" w:hAnsiTheme="majorHAnsi" w:cstheme="majorHAnsi"/>
          <w:color w:val="000000"/>
        </w:rPr>
        <w:t xml:space="preserve">Počet obyvatel v obci má stejně jako počet domů v celém měřeném období vyjma 60-70.let, kdy docházelo k prudkému stěhování do větších měst, celkově </w:t>
      </w:r>
      <w:r w:rsidR="00377C45" w:rsidRPr="006070EA">
        <w:rPr>
          <w:rFonts w:asciiTheme="majorHAnsi" w:hAnsiTheme="majorHAnsi" w:cstheme="majorHAnsi"/>
          <w:color w:val="000000"/>
        </w:rPr>
        <w:t>rostoucí</w:t>
      </w:r>
      <w:r w:rsidRPr="006070EA">
        <w:rPr>
          <w:rFonts w:asciiTheme="majorHAnsi" w:hAnsiTheme="majorHAnsi" w:cstheme="majorHAnsi"/>
          <w:color w:val="000000"/>
        </w:rPr>
        <w:t xml:space="preserve"> tendenci. V současnosti sídlo dosahuje svého historického maxima v počtu obyvatel i domů. Vývoj počtu domů lze považovat za zásadní. V současnosti dosahuje počet domů téměř šestinásobku zástavby z roku 1869. </w:t>
      </w:r>
    </w:p>
    <w:p w14:paraId="2900FF3A"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t>Urbanistický vývoj</w:t>
      </w:r>
    </w:p>
    <w:tbl>
      <w:tblPr>
        <w:tblW w:w="0" w:type="auto"/>
        <w:jc w:val="center"/>
        <w:tblLook w:val="04A0" w:firstRow="1" w:lastRow="0" w:firstColumn="1" w:lastColumn="0" w:noHBand="0" w:noVBand="1"/>
      </w:tblPr>
      <w:tblGrid>
        <w:gridCol w:w="4590"/>
        <w:gridCol w:w="4410"/>
      </w:tblGrid>
      <w:tr w:rsidR="00151744" w:rsidRPr="006070EA" w14:paraId="65B30A0C" w14:textId="77777777" w:rsidTr="00BB48C8">
        <w:trPr>
          <w:trHeight w:val="283"/>
          <w:jc w:val="center"/>
        </w:trPr>
        <w:tc>
          <w:tcPr>
            <w:tcW w:w="4590" w:type="dxa"/>
          </w:tcPr>
          <w:p w14:paraId="264C29A4" w14:textId="77777777" w:rsidR="00151744" w:rsidRPr="006070EA" w:rsidRDefault="00151744" w:rsidP="000E35EE">
            <w:pPr>
              <w:pStyle w:val="Bezmezer"/>
              <w:keepNext/>
              <w:rPr>
                <w:rFonts w:asciiTheme="majorHAnsi" w:hAnsiTheme="majorHAnsi" w:cstheme="majorHAnsi"/>
                <w:b/>
                <w:color w:val="000000"/>
                <w:lang w:val="cs-CZ"/>
              </w:rPr>
            </w:pPr>
            <w:r w:rsidRPr="006070EA">
              <w:rPr>
                <w:rFonts w:asciiTheme="majorHAnsi" w:hAnsiTheme="majorHAnsi" w:cstheme="majorHAnsi"/>
                <w:noProof/>
                <w:color w:val="000000"/>
                <w:lang w:val="cs-CZ"/>
              </w:rPr>
              <w:drawing>
                <wp:anchor distT="0" distB="0" distL="114300" distR="114300" simplePos="0" relativeHeight="251658752" behindDoc="0" locked="0" layoutInCell="1" allowOverlap="1" wp14:anchorId="70106997" wp14:editId="40AFB26D">
                  <wp:simplePos x="0" y="0"/>
                  <wp:positionH relativeFrom="column">
                    <wp:posOffset>-54610</wp:posOffset>
                  </wp:positionH>
                  <wp:positionV relativeFrom="paragraph">
                    <wp:posOffset>0</wp:posOffset>
                  </wp:positionV>
                  <wp:extent cx="2781300" cy="2492375"/>
                  <wp:effectExtent l="0" t="0" r="0" b="0"/>
                  <wp:wrapNone/>
                  <wp:docPr id="57" name="Obrázek 57"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Obrázek 57" descr="Obsah obrázku mapa&#10;&#10;Popis byl vytvořen automaticky"/>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781300" cy="249237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4410" w:type="dxa"/>
          </w:tcPr>
          <w:p w14:paraId="52E63CB0" w14:textId="77777777" w:rsidR="00151744" w:rsidRPr="006070EA" w:rsidRDefault="00151744" w:rsidP="000E35EE">
            <w:pPr>
              <w:pStyle w:val="Bezmezer"/>
              <w:keepNext/>
              <w:ind w:right="-171"/>
              <w:rPr>
                <w:rFonts w:asciiTheme="majorHAnsi" w:hAnsiTheme="majorHAnsi" w:cstheme="majorHAnsi"/>
                <w:color w:val="000000"/>
                <w:lang w:val="cs-CZ"/>
              </w:rPr>
            </w:pPr>
            <w:r w:rsidRPr="006070EA">
              <w:rPr>
                <w:rFonts w:asciiTheme="majorHAnsi" w:hAnsiTheme="majorHAnsi" w:cstheme="majorHAnsi"/>
                <w:noProof/>
                <w:color w:val="000000"/>
                <w:lang w:val="cs-CZ" w:eastAsia="cs-CZ"/>
              </w:rPr>
              <w:drawing>
                <wp:inline distT="0" distB="0" distL="0" distR="0" wp14:anchorId="2F5CE115" wp14:editId="1933A22C">
                  <wp:extent cx="2638425" cy="2476500"/>
                  <wp:effectExtent l="0" t="0" r="0" b="0"/>
                  <wp:docPr id="50" name="Obrázek 50" descr="Obsah obrázku interiér, patro, místnos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Obrázek 50" descr="Obsah obrázku interiér, patro, místnost&#10;&#10;Popis byl vytvořen automaticky"/>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638425" cy="2476500"/>
                          </a:xfrm>
                          <a:prstGeom prst="rect">
                            <a:avLst/>
                          </a:prstGeom>
                          <a:noFill/>
                          <a:ln>
                            <a:noFill/>
                          </a:ln>
                        </pic:spPr>
                      </pic:pic>
                    </a:graphicData>
                  </a:graphic>
                </wp:inline>
              </w:drawing>
            </w:r>
          </w:p>
        </w:tc>
      </w:tr>
      <w:tr w:rsidR="00151744" w:rsidRPr="006070EA" w14:paraId="0232AC0C" w14:textId="77777777" w:rsidTr="00BB48C8">
        <w:trPr>
          <w:trHeight w:val="168"/>
          <w:jc w:val="center"/>
        </w:trPr>
        <w:tc>
          <w:tcPr>
            <w:tcW w:w="4590" w:type="dxa"/>
            <w:vAlign w:val="center"/>
          </w:tcPr>
          <w:p w14:paraId="20954D98" w14:textId="77777777" w:rsidR="00151744" w:rsidRPr="006070EA" w:rsidRDefault="00151744" w:rsidP="00B3456F">
            <w:pPr>
              <w:pStyle w:val="Atextkurzva"/>
              <w:jc w:val="left"/>
              <w:rPr>
                <w:rFonts w:asciiTheme="majorHAnsi" w:hAnsiTheme="majorHAnsi" w:cstheme="majorHAnsi"/>
                <w:color w:val="000000"/>
              </w:rPr>
            </w:pPr>
            <w:r w:rsidRPr="006070EA">
              <w:rPr>
                <w:rFonts w:asciiTheme="majorHAnsi" w:hAnsiTheme="majorHAnsi" w:cstheme="majorHAnsi"/>
                <w:color w:val="000000"/>
              </w:rPr>
              <w:t>Zákres sídla ve Stabilním katastru z roku 1838</w:t>
            </w:r>
          </w:p>
        </w:tc>
        <w:tc>
          <w:tcPr>
            <w:tcW w:w="4410" w:type="dxa"/>
            <w:vAlign w:val="center"/>
          </w:tcPr>
          <w:p w14:paraId="1ACE94E4" w14:textId="77777777" w:rsidR="00151744" w:rsidRPr="006070EA" w:rsidRDefault="00151744" w:rsidP="00B3456F">
            <w:pPr>
              <w:pStyle w:val="Atextkurzva"/>
              <w:jc w:val="left"/>
              <w:rPr>
                <w:rFonts w:asciiTheme="majorHAnsi" w:hAnsiTheme="majorHAnsi" w:cstheme="majorHAnsi"/>
                <w:color w:val="000000"/>
              </w:rPr>
            </w:pPr>
            <w:r w:rsidRPr="006070EA">
              <w:rPr>
                <w:rFonts w:asciiTheme="majorHAnsi" w:hAnsiTheme="majorHAnsi" w:cstheme="majorHAnsi"/>
                <w:color w:val="000000"/>
              </w:rPr>
              <w:t>Letecký snímek z roku 1954</w:t>
            </w:r>
          </w:p>
        </w:tc>
      </w:tr>
      <w:tr w:rsidR="00151744" w:rsidRPr="006070EA" w14:paraId="35E542F2" w14:textId="77777777" w:rsidTr="00BB48C8">
        <w:trPr>
          <w:trHeight w:val="283"/>
          <w:jc w:val="center"/>
        </w:trPr>
        <w:tc>
          <w:tcPr>
            <w:tcW w:w="4590" w:type="dxa"/>
            <w:vAlign w:val="center"/>
          </w:tcPr>
          <w:p w14:paraId="42D5242C" w14:textId="77777777" w:rsidR="00151744" w:rsidRPr="006070EA" w:rsidRDefault="00151744" w:rsidP="00B3456F">
            <w:pPr>
              <w:pStyle w:val="Atextkurzva"/>
              <w:jc w:val="left"/>
              <w:rPr>
                <w:rFonts w:asciiTheme="majorHAnsi" w:hAnsiTheme="majorHAnsi" w:cstheme="majorHAnsi"/>
                <w:color w:val="000000"/>
              </w:rPr>
            </w:pPr>
            <w:r w:rsidRPr="006070EA">
              <w:rPr>
                <w:rFonts w:asciiTheme="majorHAnsi" w:hAnsiTheme="majorHAnsi" w:cstheme="majorHAnsi"/>
                <w:noProof/>
                <w:color w:val="000000"/>
              </w:rPr>
              <w:lastRenderedPageBreak/>
              <w:drawing>
                <wp:inline distT="0" distB="0" distL="0" distR="0" wp14:anchorId="6CE126A8" wp14:editId="6657B311">
                  <wp:extent cx="2777490" cy="2597785"/>
                  <wp:effectExtent l="0" t="0" r="0" b="0"/>
                  <wp:docPr id="56" name="Obrázek 56"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Obrázek 56" descr="Obsah obrázku mapa&#10;&#10;Popis byl vytvořen automaticky"/>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777490" cy="2597785"/>
                          </a:xfrm>
                          <a:prstGeom prst="rect">
                            <a:avLst/>
                          </a:prstGeom>
                          <a:noFill/>
                          <a:ln>
                            <a:noFill/>
                          </a:ln>
                        </pic:spPr>
                      </pic:pic>
                    </a:graphicData>
                  </a:graphic>
                </wp:inline>
              </w:drawing>
            </w:r>
          </w:p>
          <w:p w14:paraId="1368794E" w14:textId="77777777" w:rsidR="00151744" w:rsidRPr="006070EA" w:rsidRDefault="00151744" w:rsidP="00B3456F">
            <w:pPr>
              <w:pStyle w:val="Atextkurzva"/>
              <w:jc w:val="left"/>
              <w:rPr>
                <w:rFonts w:asciiTheme="majorHAnsi" w:hAnsiTheme="majorHAnsi" w:cstheme="majorHAnsi"/>
                <w:color w:val="000000"/>
              </w:rPr>
            </w:pPr>
            <w:r w:rsidRPr="006070EA">
              <w:rPr>
                <w:rFonts w:asciiTheme="majorHAnsi" w:hAnsiTheme="majorHAnsi" w:cstheme="majorHAnsi"/>
                <w:color w:val="000000"/>
              </w:rPr>
              <w:t>Letecký snímek z roku 2010</w:t>
            </w:r>
          </w:p>
        </w:tc>
        <w:tc>
          <w:tcPr>
            <w:tcW w:w="4410" w:type="dxa"/>
          </w:tcPr>
          <w:p w14:paraId="2A0250DF" w14:textId="22377C9F" w:rsidR="00151744" w:rsidRPr="006070EA" w:rsidRDefault="00377C45" w:rsidP="00AF46BB">
            <w:pPr>
              <w:pStyle w:val="Atext"/>
              <w:keepNext/>
              <w:rPr>
                <w:rFonts w:asciiTheme="majorHAnsi" w:hAnsiTheme="majorHAnsi" w:cstheme="majorHAnsi"/>
                <w:i/>
                <w:iCs w:val="0"/>
                <w:color w:val="000000"/>
              </w:rPr>
            </w:pPr>
            <w:r w:rsidRPr="006070EA">
              <w:rPr>
                <w:rFonts w:asciiTheme="majorHAnsi" w:hAnsiTheme="majorHAnsi" w:cstheme="majorHAnsi"/>
                <w:bCs w:val="0"/>
                <w:color w:val="000000"/>
                <w:shd w:val="clear" w:color="auto" w:fill="FFFFFF"/>
              </w:rPr>
              <w:t>Stavební rozvoj v Kostomlatech nad Labem je v posledních letech koncentrován především do</w:t>
            </w:r>
            <w:r w:rsidR="00AF46BB" w:rsidRPr="006070EA">
              <w:rPr>
                <w:rFonts w:asciiTheme="majorHAnsi" w:hAnsiTheme="majorHAnsi" w:cstheme="majorHAnsi"/>
                <w:bCs w:val="0"/>
                <w:color w:val="000000"/>
                <w:shd w:val="clear" w:color="auto" w:fill="FFFFFF"/>
              </w:rPr>
              <w:t xml:space="preserve"> jižní části sídla, což je důsledkem využití</w:t>
            </w:r>
            <w:r w:rsidRPr="006070EA">
              <w:rPr>
                <w:rFonts w:asciiTheme="majorHAnsi" w:hAnsiTheme="majorHAnsi" w:cstheme="majorHAnsi"/>
                <w:bCs w:val="0"/>
                <w:color w:val="000000"/>
                <w:shd w:val="clear" w:color="auto" w:fill="FFFFFF"/>
              </w:rPr>
              <w:t xml:space="preserve"> rozvojových </w:t>
            </w:r>
            <w:r w:rsidR="00AF46BB" w:rsidRPr="006070EA">
              <w:rPr>
                <w:rFonts w:asciiTheme="majorHAnsi" w:hAnsiTheme="majorHAnsi" w:cstheme="majorHAnsi"/>
                <w:bCs w:val="0"/>
                <w:color w:val="000000"/>
                <w:shd w:val="clear" w:color="auto" w:fill="FFFFFF"/>
              </w:rPr>
              <w:t>ploch, vymezených v platném ÚPO Kostomlaty nad Labem.</w:t>
            </w:r>
          </w:p>
        </w:tc>
      </w:tr>
    </w:tbl>
    <w:p w14:paraId="3745FFC7" w14:textId="3ED7A9C2" w:rsidR="00151744" w:rsidRPr="006070EA" w:rsidRDefault="00151744" w:rsidP="00047F30">
      <w:pPr>
        <w:keepNext/>
        <w:spacing w:before="120" w:after="120"/>
        <w:rPr>
          <w:rFonts w:asciiTheme="majorHAnsi" w:hAnsiTheme="majorHAnsi" w:cstheme="majorHAnsi"/>
          <w:b/>
          <w:bCs/>
          <w:i/>
          <w:iCs/>
          <w:color w:val="000000"/>
          <w:sz w:val="20"/>
          <w:szCs w:val="20"/>
        </w:rPr>
      </w:pPr>
      <w:bookmarkStart w:id="314" w:name="_Toc486259516"/>
      <w:r w:rsidRPr="006070EA">
        <w:rPr>
          <w:rFonts w:asciiTheme="majorHAnsi" w:hAnsiTheme="majorHAnsi" w:cstheme="majorHAnsi"/>
          <w:b/>
          <w:bCs/>
          <w:i/>
          <w:iCs/>
          <w:color w:val="000000"/>
          <w:sz w:val="20"/>
          <w:szCs w:val="20"/>
        </w:rPr>
        <w:t>Lány</w:t>
      </w:r>
      <w:bookmarkEnd w:id="314"/>
    </w:p>
    <w:p w14:paraId="1372422C"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t>Vývoj počtu obyvatel a počtu domů v sídle</w:t>
      </w:r>
    </w:p>
    <w:p w14:paraId="21615366" w14:textId="77777777" w:rsidR="00151744" w:rsidRPr="006070EA" w:rsidRDefault="00151744" w:rsidP="00151744">
      <w:pPr>
        <w:pStyle w:val="Atext"/>
        <w:ind w:firstLine="0"/>
        <w:rPr>
          <w:rFonts w:asciiTheme="majorHAnsi" w:hAnsiTheme="majorHAnsi" w:cstheme="majorHAnsi"/>
          <w:noProof/>
          <w:color w:val="000000"/>
          <w:lang w:eastAsia="cs-CZ"/>
        </w:rPr>
      </w:pPr>
      <w:r w:rsidRPr="006070EA">
        <w:rPr>
          <w:rFonts w:asciiTheme="majorHAnsi" w:hAnsiTheme="majorHAnsi" w:cstheme="majorHAnsi"/>
          <w:noProof/>
          <w:color w:val="000000"/>
          <w:lang w:eastAsia="cs-CZ"/>
        </w:rPr>
        <w:drawing>
          <wp:inline distT="0" distB="0" distL="0" distR="0" wp14:anchorId="30B3B2ED" wp14:editId="27FD336D">
            <wp:extent cx="5569585" cy="3600000"/>
            <wp:effectExtent l="0" t="0" r="0" b="0"/>
            <wp:docPr id="49" name="Graf 49"/>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2DC9397C" w14:textId="77777777" w:rsidR="00151744" w:rsidRPr="006070EA" w:rsidRDefault="00151744" w:rsidP="00151744">
      <w:pPr>
        <w:pStyle w:val="Atext"/>
        <w:rPr>
          <w:rFonts w:asciiTheme="majorHAnsi" w:hAnsiTheme="majorHAnsi" w:cstheme="majorHAnsi"/>
          <w:color w:val="000000"/>
        </w:rPr>
      </w:pPr>
      <w:r w:rsidRPr="006070EA">
        <w:rPr>
          <w:rFonts w:asciiTheme="majorHAnsi" w:hAnsiTheme="majorHAnsi" w:cstheme="majorHAnsi"/>
          <w:color w:val="000000"/>
        </w:rPr>
        <w:t>Typické ulicové sídlo zachovávající si svůj historický půdorys. Vývoj počtu domů zůstává s menším kolísáním na původním stavu z roku 1869, kdy sídlo dosahovalo svého historického maxima v počtu obyvatel. Dnes je stálý počet obyvatel téměř třetinový. Úpadek počtu obyvatel se zastavil v roce 1991, od té doby je počet obyvatel téměř stagnující.</w:t>
      </w:r>
    </w:p>
    <w:p w14:paraId="290C0C9F"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lastRenderedPageBreak/>
        <w:t>Urbanistický vývoj</w:t>
      </w:r>
    </w:p>
    <w:tbl>
      <w:tblPr>
        <w:tblW w:w="0" w:type="auto"/>
        <w:jc w:val="center"/>
        <w:tblLook w:val="04A0" w:firstRow="1" w:lastRow="0" w:firstColumn="1" w:lastColumn="0" w:noHBand="0" w:noVBand="1"/>
      </w:tblPr>
      <w:tblGrid>
        <w:gridCol w:w="4565"/>
        <w:gridCol w:w="4505"/>
      </w:tblGrid>
      <w:tr w:rsidR="00151744" w:rsidRPr="006070EA" w14:paraId="02244D81" w14:textId="77777777" w:rsidTr="00047F30">
        <w:trPr>
          <w:trHeight w:val="283"/>
          <w:jc w:val="center"/>
        </w:trPr>
        <w:tc>
          <w:tcPr>
            <w:tcW w:w="4607" w:type="dxa"/>
          </w:tcPr>
          <w:p w14:paraId="4E4CF8AB" w14:textId="77777777" w:rsidR="00151744" w:rsidRPr="006070EA" w:rsidRDefault="00151744" w:rsidP="000E35EE">
            <w:pPr>
              <w:pStyle w:val="Bezmezer"/>
              <w:keepNext/>
              <w:rPr>
                <w:rFonts w:asciiTheme="majorHAnsi" w:hAnsiTheme="majorHAnsi" w:cstheme="majorHAnsi"/>
                <w:b/>
                <w:color w:val="000000"/>
                <w:lang w:val="cs-CZ"/>
              </w:rPr>
            </w:pPr>
            <w:r w:rsidRPr="006070EA">
              <w:rPr>
                <w:rFonts w:asciiTheme="majorHAnsi" w:hAnsiTheme="majorHAnsi" w:cstheme="majorHAnsi"/>
                <w:noProof/>
                <w:color w:val="000000"/>
                <w:lang w:val="cs-CZ" w:eastAsia="cs-CZ"/>
              </w:rPr>
              <w:drawing>
                <wp:inline distT="0" distB="0" distL="0" distR="0" wp14:anchorId="5A90A7B8" wp14:editId="7A7F1A3A">
                  <wp:extent cx="2705100" cy="2771775"/>
                  <wp:effectExtent l="0" t="0" r="0" b="0"/>
                  <wp:docPr id="48" name="Obrázek 48"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Obrázek 48" descr="Obsah obrázku mapa&#10;&#10;Popis byl vytvořen automaticky"/>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2705100" cy="2771775"/>
                          </a:xfrm>
                          <a:prstGeom prst="rect">
                            <a:avLst/>
                          </a:prstGeom>
                          <a:noFill/>
                          <a:ln>
                            <a:noFill/>
                          </a:ln>
                        </pic:spPr>
                      </pic:pic>
                    </a:graphicData>
                  </a:graphic>
                </wp:inline>
              </w:drawing>
            </w:r>
          </w:p>
        </w:tc>
        <w:tc>
          <w:tcPr>
            <w:tcW w:w="4410" w:type="dxa"/>
          </w:tcPr>
          <w:p w14:paraId="79EC87D7" w14:textId="77777777" w:rsidR="00151744" w:rsidRPr="006070EA" w:rsidRDefault="00151744" w:rsidP="000E35EE">
            <w:pPr>
              <w:pStyle w:val="Bezmezer"/>
              <w:keepNext/>
              <w:ind w:right="-171"/>
              <w:rPr>
                <w:rFonts w:asciiTheme="majorHAnsi" w:hAnsiTheme="majorHAnsi" w:cstheme="majorHAnsi"/>
                <w:color w:val="000000"/>
                <w:lang w:val="cs-CZ"/>
              </w:rPr>
            </w:pPr>
            <w:r w:rsidRPr="006070EA">
              <w:rPr>
                <w:rFonts w:asciiTheme="majorHAnsi" w:hAnsiTheme="majorHAnsi" w:cstheme="majorHAnsi"/>
                <w:noProof/>
                <w:color w:val="000000"/>
                <w:lang w:val="cs-CZ" w:eastAsia="cs-CZ"/>
              </w:rPr>
              <w:drawing>
                <wp:inline distT="0" distB="0" distL="0" distR="0" wp14:anchorId="791E21D9" wp14:editId="14056890">
                  <wp:extent cx="2752725" cy="2752725"/>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2752725" cy="2752725"/>
                          </a:xfrm>
                          <a:prstGeom prst="rect">
                            <a:avLst/>
                          </a:prstGeom>
                          <a:noFill/>
                          <a:ln>
                            <a:noFill/>
                          </a:ln>
                        </pic:spPr>
                      </pic:pic>
                    </a:graphicData>
                  </a:graphic>
                </wp:inline>
              </w:drawing>
            </w:r>
          </w:p>
        </w:tc>
      </w:tr>
      <w:tr w:rsidR="00151744" w:rsidRPr="006070EA" w14:paraId="1266609E" w14:textId="77777777" w:rsidTr="00047F30">
        <w:trPr>
          <w:trHeight w:val="168"/>
          <w:jc w:val="center"/>
        </w:trPr>
        <w:tc>
          <w:tcPr>
            <w:tcW w:w="4607" w:type="dxa"/>
            <w:vAlign w:val="center"/>
          </w:tcPr>
          <w:p w14:paraId="45BDEDDC" w14:textId="77777777" w:rsidR="00151744" w:rsidRPr="006070EA" w:rsidRDefault="00151744" w:rsidP="00047F30">
            <w:pPr>
              <w:pStyle w:val="Atextkurzva"/>
              <w:jc w:val="left"/>
              <w:rPr>
                <w:rFonts w:asciiTheme="majorHAnsi" w:hAnsiTheme="majorHAnsi" w:cstheme="majorHAnsi"/>
                <w:color w:val="000000"/>
              </w:rPr>
            </w:pPr>
            <w:r w:rsidRPr="006070EA">
              <w:rPr>
                <w:rFonts w:asciiTheme="majorHAnsi" w:hAnsiTheme="majorHAnsi" w:cstheme="majorHAnsi"/>
                <w:color w:val="000000"/>
              </w:rPr>
              <w:t>Zákres sídla ve Stabilním katastru z roku 1838</w:t>
            </w:r>
          </w:p>
        </w:tc>
        <w:tc>
          <w:tcPr>
            <w:tcW w:w="4410" w:type="dxa"/>
            <w:vAlign w:val="center"/>
          </w:tcPr>
          <w:p w14:paraId="225AD9E8" w14:textId="77777777" w:rsidR="00151744" w:rsidRPr="006070EA" w:rsidRDefault="00151744" w:rsidP="00047F30">
            <w:pPr>
              <w:pStyle w:val="Atextkurzva"/>
              <w:jc w:val="left"/>
              <w:rPr>
                <w:rFonts w:asciiTheme="majorHAnsi" w:hAnsiTheme="majorHAnsi" w:cstheme="majorHAnsi"/>
                <w:color w:val="000000"/>
              </w:rPr>
            </w:pPr>
            <w:r w:rsidRPr="006070EA">
              <w:rPr>
                <w:rFonts w:asciiTheme="majorHAnsi" w:hAnsiTheme="majorHAnsi" w:cstheme="majorHAnsi"/>
                <w:color w:val="000000"/>
              </w:rPr>
              <w:t>Letecký snímek z roku 1954</w:t>
            </w:r>
          </w:p>
        </w:tc>
      </w:tr>
      <w:tr w:rsidR="00151744" w:rsidRPr="006070EA" w14:paraId="7E0BB086" w14:textId="77777777" w:rsidTr="000E35EE">
        <w:trPr>
          <w:trHeight w:val="283"/>
          <w:jc w:val="center"/>
        </w:trPr>
        <w:tc>
          <w:tcPr>
            <w:tcW w:w="4607" w:type="dxa"/>
          </w:tcPr>
          <w:p w14:paraId="7C953DE0" w14:textId="77777777" w:rsidR="00151744" w:rsidRPr="006070EA" w:rsidRDefault="00151744" w:rsidP="000E35EE">
            <w:pPr>
              <w:pStyle w:val="Bezmezer"/>
              <w:keepNext/>
              <w:rPr>
                <w:rFonts w:asciiTheme="majorHAnsi" w:hAnsiTheme="majorHAnsi" w:cstheme="majorHAnsi"/>
                <w:b/>
                <w:color w:val="000000"/>
                <w:lang w:val="cs-CZ"/>
              </w:rPr>
            </w:pPr>
            <w:r w:rsidRPr="006070EA">
              <w:rPr>
                <w:rFonts w:asciiTheme="majorHAnsi" w:hAnsiTheme="majorHAnsi" w:cstheme="majorHAnsi"/>
                <w:b/>
                <w:noProof/>
                <w:color w:val="000000"/>
                <w:lang w:val="cs-CZ"/>
              </w:rPr>
              <w:drawing>
                <wp:inline distT="0" distB="0" distL="0" distR="0" wp14:anchorId="2E8910FD" wp14:editId="5B5D87FC">
                  <wp:extent cx="2790825" cy="2781300"/>
                  <wp:effectExtent l="0" t="0" r="0" b="0"/>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790825" cy="2781300"/>
                          </a:xfrm>
                          <a:prstGeom prst="rect">
                            <a:avLst/>
                          </a:prstGeom>
                          <a:noFill/>
                          <a:ln>
                            <a:noFill/>
                          </a:ln>
                        </pic:spPr>
                      </pic:pic>
                    </a:graphicData>
                  </a:graphic>
                </wp:inline>
              </w:drawing>
            </w:r>
          </w:p>
        </w:tc>
        <w:tc>
          <w:tcPr>
            <w:tcW w:w="4410" w:type="dxa"/>
          </w:tcPr>
          <w:p w14:paraId="0473A839" w14:textId="69D5E1DB" w:rsidR="00151744" w:rsidRPr="006070EA" w:rsidRDefault="00151744" w:rsidP="000E35EE">
            <w:pPr>
              <w:pStyle w:val="Atext"/>
              <w:rPr>
                <w:rFonts w:asciiTheme="majorHAnsi" w:hAnsiTheme="majorHAnsi" w:cstheme="majorHAnsi"/>
                <w:color w:val="000000"/>
              </w:rPr>
            </w:pPr>
            <w:r w:rsidRPr="006070EA">
              <w:rPr>
                <w:rFonts w:asciiTheme="majorHAnsi" w:hAnsiTheme="majorHAnsi" w:cstheme="majorHAnsi"/>
                <w:color w:val="000000"/>
              </w:rPr>
              <w:t>Lány leží západně od Nymburka, v rovině po pravé straně silnice od Kostomlat nad Labem k Hroněticím. Na jižní straně sousedí s Kostomlaty.  Lány patřily ke zboží Kostomlatskému, které král Vladislav přenechal zápisem z roku 1495 Janovi ze Šelenberga.</w:t>
            </w:r>
          </w:p>
          <w:p w14:paraId="64095145" w14:textId="5EA66074" w:rsidR="00151744" w:rsidRPr="006070EA" w:rsidRDefault="00151744" w:rsidP="000E35EE">
            <w:pPr>
              <w:pStyle w:val="Atext"/>
              <w:rPr>
                <w:rFonts w:asciiTheme="majorHAnsi" w:hAnsiTheme="majorHAnsi" w:cstheme="majorHAnsi"/>
                <w:color w:val="000000"/>
              </w:rPr>
            </w:pPr>
            <w:r w:rsidRPr="006070EA">
              <w:rPr>
                <w:rFonts w:asciiTheme="majorHAnsi" w:hAnsiTheme="majorHAnsi" w:cstheme="majorHAnsi"/>
                <w:color w:val="000000"/>
              </w:rPr>
              <w:t>Třicetiletá válka postihla i Lány. Poměry ve vsi se změnily a původní hospodářství zanikla. V roce 1654 bylo napočítáno jen 19 usedlostí s</w:t>
            </w:r>
            <w:r w:rsidR="00EF336E" w:rsidRPr="006070EA">
              <w:rPr>
                <w:rFonts w:asciiTheme="majorHAnsi" w:hAnsiTheme="majorHAnsi" w:cstheme="majorHAnsi"/>
                <w:color w:val="000000"/>
              </w:rPr>
              <w:t xml:space="preserve"> méně než </w:t>
            </w:r>
            <w:r w:rsidRPr="006070EA">
              <w:rPr>
                <w:rFonts w:asciiTheme="majorHAnsi" w:hAnsiTheme="majorHAnsi" w:cstheme="majorHAnsi"/>
                <w:color w:val="000000"/>
              </w:rPr>
              <w:t xml:space="preserve">polovinou pozemků. Ostatní pozemky ležely ladem. </w:t>
            </w:r>
          </w:p>
          <w:p w14:paraId="547FB79B" w14:textId="77777777" w:rsidR="00151744" w:rsidRPr="006070EA" w:rsidRDefault="00151744" w:rsidP="000E35EE">
            <w:pPr>
              <w:pStyle w:val="Atext"/>
              <w:rPr>
                <w:rFonts w:asciiTheme="majorHAnsi" w:hAnsiTheme="majorHAnsi" w:cstheme="majorHAnsi"/>
                <w:color w:val="000000"/>
              </w:rPr>
            </w:pPr>
            <w:r w:rsidRPr="006070EA">
              <w:rPr>
                <w:rFonts w:asciiTheme="majorHAnsi" w:hAnsiTheme="majorHAnsi" w:cstheme="majorHAnsi"/>
                <w:color w:val="000000"/>
              </w:rPr>
              <w:t>V 18. století obyvatelstvo strádalo násilím protireformace a značnými robotními povinnostmi, což vedlo k nepokojům a vystěhování celých rodin ze vsi.</w:t>
            </w:r>
          </w:p>
          <w:p w14:paraId="42B39298" w14:textId="77777777" w:rsidR="00151744" w:rsidRPr="006070EA" w:rsidRDefault="00151744" w:rsidP="000E35EE">
            <w:pPr>
              <w:pStyle w:val="Atext"/>
              <w:keepNext/>
              <w:rPr>
                <w:rFonts w:asciiTheme="majorHAnsi" w:hAnsiTheme="majorHAnsi" w:cstheme="majorHAnsi"/>
                <w:color w:val="000000"/>
              </w:rPr>
            </w:pPr>
          </w:p>
        </w:tc>
      </w:tr>
      <w:tr w:rsidR="00151744" w:rsidRPr="006070EA" w14:paraId="0C2E0992" w14:textId="77777777" w:rsidTr="000E35EE">
        <w:trPr>
          <w:trHeight w:val="283"/>
          <w:jc w:val="center"/>
        </w:trPr>
        <w:tc>
          <w:tcPr>
            <w:tcW w:w="4607" w:type="dxa"/>
            <w:vAlign w:val="center"/>
          </w:tcPr>
          <w:p w14:paraId="218006AF" w14:textId="77777777" w:rsidR="00151744" w:rsidRPr="006070EA" w:rsidRDefault="00151744" w:rsidP="000E35EE">
            <w:pPr>
              <w:pStyle w:val="Atextkurzva"/>
              <w:rPr>
                <w:rFonts w:asciiTheme="majorHAnsi" w:hAnsiTheme="majorHAnsi" w:cstheme="majorHAnsi"/>
                <w:color w:val="000000"/>
              </w:rPr>
            </w:pPr>
            <w:r w:rsidRPr="006070EA">
              <w:rPr>
                <w:rFonts w:asciiTheme="majorHAnsi" w:hAnsiTheme="majorHAnsi" w:cstheme="majorHAnsi"/>
                <w:color w:val="000000"/>
              </w:rPr>
              <w:t>Letecký snímek z roku 2010</w:t>
            </w:r>
          </w:p>
        </w:tc>
        <w:tc>
          <w:tcPr>
            <w:tcW w:w="4410" w:type="dxa"/>
            <w:vAlign w:val="center"/>
          </w:tcPr>
          <w:p w14:paraId="478D20BF" w14:textId="77777777" w:rsidR="00151744" w:rsidRPr="006070EA" w:rsidRDefault="00151744" w:rsidP="000E35EE">
            <w:pPr>
              <w:pStyle w:val="Bezmezer"/>
              <w:rPr>
                <w:rFonts w:asciiTheme="majorHAnsi" w:hAnsiTheme="majorHAnsi" w:cstheme="majorHAnsi"/>
                <w:i/>
                <w:color w:val="000000"/>
                <w:lang w:val="cs-CZ"/>
              </w:rPr>
            </w:pPr>
          </w:p>
        </w:tc>
      </w:tr>
    </w:tbl>
    <w:p w14:paraId="5D31D2C5" w14:textId="77777777" w:rsidR="00151744" w:rsidRPr="006070EA" w:rsidRDefault="00151744" w:rsidP="00EF336E">
      <w:pPr>
        <w:keepNext/>
        <w:spacing w:before="120" w:after="120"/>
        <w:rPr>
          <w:rFonts w:asciiTheme="majorHAnsi" w:hAnsiTheme="majorHAnsi" w:cstheme="majorHAnsi"/>
          <w:b/>
          <w:bCs/>
          <w:i/>
          <w:iCs/>
          <w:color w:val="000000"/>
          <w:sz w:val="20"/>
          <w:szCs w:val="20"/>
        </w:rPr>
      </w:pPr>
      <w:bookmarkStart w:id="315" w:name="_Toc486259517"/>
      <w:r w:rsidRPr="006070EA">
        <w:rPr>
          <w:rFonts w:asciiTheme="majorHAnsi" w:hAnsiTheme="majorHAnsi" w:cstheme="majorHAnsi"/>
          <w:b/>
          <w:bCs/>
          <w:i/>
          <w:iCs/>
          <w:color w:val="000000"/>
          <w:sz w:val="20"/>
          <w:szCs w:val="20"/>
        </w:rPr>
        <w:lastRenderedPageBreak/>
        <w:t>Rozkoš</w:t>
      </w:r>
      <w:bookmarkEnd w:id="315"/>
    </w:p>
    <w:p w14:paraId="5B6FBA43"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t>Vývoj počtu obyvatel a počtu domů v sídle</w:t>
      </w:r>
    </w:p>
    <w:p w14:paraId="68498F5A" w14:textId="77777777" w:rsidR="00151744" w:rsidRPr="006070EA" w:rsidRDefault="00151744" w:rsidP="00151744">
      <w:pPr>
        <w:pStyle w:val="Atext"/>
        <w:ind w:firstLine="0"/>
        <w:rPr>
          <w:rFonts w:asciiTheme="majorHAnsi" w:hAnsiTheme="majorHAnsi" w:cstheme="majorHAnsi"/>
          <w:noProof/>
          <w:color w:val="000000"/>
          <w:lang w:eastAsia="cs-CZ"/>
        </w:rPr>
      </w:pPr>
      <w:r w:rsidRPr="006070EA">
        <w:rPr>
          <w:rFonts w:asciiTheme="majorHAnsi" w:hAnsiTheme="majorHAnsi" w:cstheme="majorHAnsi"/>
          <w:noProof/>
          <w:color w:val="000000"/>
          <w:lang w:eastAsia="cs-CZ"/>
        </w:rPr>
        <w:drawing>
          <wp:inline distT="0" distB="0" distL="0" distR="0" wp14:anchorId="2E36B2BA" wp14:editId="33E34CAA">
            <wp:extent cx="5569585" cy="3600000"/>
            <wp:effectExtent l="0" t="0" r="0" b="0"/>
            <wp:docPr id="45" name="Graf 45"/>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0"/>
              </a:graphicData>
            </a:graphic>
          </wp:inline>
        </w:drawing>
      </w:r>
    </w:p>
    <w:p w14:paraId="690D68ED" w14:textId="77777777" w:rsidR="00151744" w:rsidRPr="006070EA" w:rsidRDefault="00151744" w:rsidP="00151744">
      <w:pPr>
        <w:pStyle w:val="Atext"/>
        <w:rPr>
          <w:rFonts w:asciiTheme="majorHAnsi" w:hAnsiTheme="majorHAnsi" w:cstheme="majorHAnsi"/>
          <w:color w:val="000000"/>
        </w:rPr>
      </w:pPr>
      <w:r w:rsidRPr="006070EA">
        <w:rPr>
          <w:rFonts w:asciiTheme="majorHAnsi" w:hAnsiTheme="majorHAnsi" w:cstheme="majorHAnsi"/>
          <w:color w:val="000000"/>
        </w:rPr>
        <w:t>Malé sídlo Rozkoš dosáhlo svého maxima v počtu obyvatel a domů v 50. letech 20. století. Počet domů v současnosti zůstává na stejných číslech, avšak počet obyvatel klesl o jednu třetinu. Pozorujeme mírný zlom v počtu obyvatel od roku 2001.</w:t>
      </w:r>
    </w:p>
    <w:p w14:paraId="427F4841"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t>Urbanistický vývoj</w:t>
      </w:r>
    </w:p>
    <w:tbl>
      <w:tblPr>
        <w:tblW w:w="0" w:type="auto"/>
        <w:jc w:val="center"/>
        <w:tblLook w:val="04A0" w:firstRow="1" w:lastRow="0" w:firstColumn="1" w:lastColumn="0" w:noHBand="0" w:noVBand="1"/>
      </w:tblPr>
      <w:tblGrid>
        <w:gridCol w:w="4557"/>
        <w:gridCol w:w="4513"/>
      </w:tblGrid>
      <w:tr w:rsidR="00151744" w:rsidRPr="006070EA" w14:paraId="63A3F627" w14:textId="77777777" w:rsidTr="00485315">
        <w:trPr>
          <w:trHeight w:val="283"/>
          <w:jc w:val="center"/>
        </w:trPr>
        <w:tc>
          <w:tcPr>
            <w:tcW w:w="4528" w:type="dxa"/>
          </w:tcPr>
          <w:p w14:paraId="2803BEA1" w14:textId="77777777" w:rsidR="00151744" w:rsidRPr="006070EA" w:rsidRDefault="00151744" w:rsidP="000E35EE">
            <w:pPr>
              <w:pStyle w:val="Bezmezer"/>
              <w:keepNext/>
              <w:rPr>
                <w:rFonts w:asciiTheme="majorHAnsi" w:hAnsiTheme="majorHAnsi" w:cstheme="majorHAnsi"/>
                <w:b/>
                <w:color w:val="000000"/>
                <w:lang w:val="cs-CZ"/>
              </w:rPr>
            </w:pPr>
            <w:r w:rsidRPr="006070EA">
              <w:rPr>
                <w:rFonts w:asciiTheme="majorHAnsi" w:hAnsiTheme="majorHAnsi" w:cstheme="majorHAnsi"/>
                <w:b/>
                <w:noProof/>
                <w:color w:val="000000"/>
                <w:lang w:val="cs-CZ"/>
              </w:rPr>
              <w:drawing>
                <wp:inline distT="0" distB="0" distL="0" distR="0" wp14:anchorId="7BE1EE83" wp14:editId="25881984">
                  <wp:extent cx="2790825" cy="2790825"/>
                  <wp:effectExtent l="0" t="0" r="0" b="0"/>
                  <wp:docPr id="44" name="Obrázek 44"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Obrázek 44" descr="Obsah obrázku mapa&#10;&#10;Popis byl vytvořen automaticky"/>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2790825" cy="2790825"/>
                          </a:xfrm>
                          <a:prstGeom prst="rect">
                            <a:avLst/>
                          </a:prstGeom>
                          <a:noFill/>
                          <a:ln>
                            <a:noFill/>
                          </a:ln>
                        </pic:spPr>
                      </pic:pic>
                    </a:graphicData>
                  </a:graphic>
                </wp:inline>
              </w:drawing>
            </w:r>
          </w:p>
        </w:tc>
        <w:tc>
          <w:tcPr>
            <w:tcW w:w="4542" w:type="dxa"/>
          </w:tcPr>
          <w:p w14:paraId="32B4F83C" w14:textId="77777777" w:rsidR="00151744" w:rsidRPr="006070EA" w:rsidRDefault="00151744" w:rsidP="000E35EE">
            <w:pPr>
              <w:pStyle w:val="Bezmezer"/>
              <w:keepNext/>
              <w:ind w:right="-171"/>
              <w:rPr>
                <w:rFonts w:asciiTheme="majorHAnsi" w:hAnsiTheme="majorHAnsi" w:cstheme="majorHAnsi"/>
                <w:color w:val="000000"/>
                <w:lang w:val="cs-CZ"/>
              </w:rPr>
            </w:pPr>
            <w:r w:rsidRPr="006070EA">
              <w:rPr>
                <w:rFonts w:asciiTheme="majorHAnsi" w:hAnsiTheme="majorHAnsi" w:cstheme="majorHAnsi"/>
                <w:noProof/>
                <w:color w:val="000000"/>
                <w:lang w:val="cs-CZ" w:eastAsia="cs-CZ"/>
              </w:rPr>
              <w:drawing>
                <wp:inline distT="0" distB="0" distL="0" distR="0" wp14:anchorId="7147B597" wp14:editId="670E5D7C">
                  <wp:extent cx="2800350" cy="2790825"/>
                  <wp:effectExtent l="0" t="0" r="0" b="0"/>
                  <wp:docPr id="42" name="Obrázek 42" descr="Obsah obrázku text, bílá, staré&#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Obrázek 42" descr="Obsah obrázku text, bílá, staré&#10;&#10;Popis byl vytvořen automaticky"/>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800350" cy="2790825"/>
                          </a:xfrm>
                          <a:prstGeom prst="rect">
                            <a:avLst/>
                          </a:prstGeom>
                          <a:noFill/>
                          <a:ln>
                            <a:noFill/>
                          </a:ln>
                        </pic:spPr>
                      </pic:pic>
                    </a:graphicData>
                  </a:graphic>
                </wp:inline>
              </w:drawing>
            </w:r>
          </w:p>
        </w:tc>
      </w:tr>
      <w:tr w:rsidR="00151744" w:rsidRPr="006070EA" w14:paraId="21E0836D" w14:textId="77777777" w:rsidTr="00485315">
        <w:trPr>
          <w:trHeight w:val="168"/>
          <w:jc w:val="center"/>
        </w:trPr>
        <w:tc>
          <w:tcPr>
            <w:tcW w:w="4528" w:type="dxa"/>
            <w:vAlign w:val="center"/>
          </w:tcPr>
          <w:p w14:paraId="242726A3" w14:textId="77777777" w:rsidR="00151744" w:rsidRPr="006070EA" w:rsidRDefault="00151744" w:rsidP="000E35EE">
            <w:pPr>
              <w:pStyle w:val="Atextkurzva"/>
              <w:rPr>
                <w:rFonts w:asciiTheme="majorHAnsi" w:hAnsiTheme="majorHAnsi" w:cstheme="majorHAnsi"/>
                <w:color w:val="000000"/>
              </w:rPr>
            </w:pPr>
            <w:r w:rsidRPr="006070EA">
              <w:rPr>
                <w:rFonts w:asciiTheme="majorHAnsi" w:hAnsiTheme="majorHAnsi" w:cstheme="majorHAnsi"/>
                <w:color w:val="000000"/>
              </w:rPr>
              <w:t>Zákres sídla ve Stabilním katastru z roku 1838</w:t>
            </w:r>
          </w:p>
        </w:tc>
        <w:tc>
          <w:tcPr>
            <w:tcW w:w="4542" w:type="dxa"/>
            <w:vAlign w:val="center"/>
          </w:tcPr>
          <w:p w14:paraId="0D020758" w14:textId="77777777" w:rsidR="00151744" w:rsidRPr="006070EA" w:rsidRDefault="00151744" w:rsidP="000E35EE">
            <w:pPr>
              <w:pStyle w:val="Atextkurzva"/>
              <w:rPr>
                <w:rFonts w:asciiTheme="majorHAnsi" w:hAnsiTheme="majorHAnsi" w:cstheme="majorHAnsi"/>
                <w:color w:val="000000"/>
              </w:rPr>
            </w:pPr>
            <w:r w:rsidRPr="006070EA">
              <w:rPr>
                <w:rFonts w:asciiTheme="majorHAnsi" w:hAnsiTheme="majorHAnsi" w:cstheme="majorHAnsi"/>
                <w:color w:val="000000"/>
              </w:rPr>
              <w:t>Letecký snímek z roku 1954</w:t>
            </w:r>
          </w:p>
        </w:tc>
      </w:tr>
      <w:tr w:rsidR="00485315" w:rsidRPr="006070EA" w14:paraId="27C5F0B8" w14:textId="77777777" w:rsidTr="00485315">
        <w:trPr>
          <w:trHeight w:val="168"/>
          <w:jc w:val="center"/>
        </w:trPr>
        <w:tc>
          <w:tcPr>
            <w:tcW w:w="4528" w:type="dxa"/>
            <w:vAlign w:val="center"/>
          </w:tcPr>
          <w:p w14:paraId="4B29E440" w14:textId="77777777" w:rsidR="00485315" w:rsidRPr="006070EA" w:rsidRDefault="00485315" w:rsidP="00485315">
            <w:pPr>
              <w:pStyle w:val="Atextkurzva"/>
              <w:rPr>
                <w:rFonts w:asciiTheme="majorHAnsi" w:hAnsiTheme="majorHAnsi" w:cstheme="majorHAnsi"/>
                <w:color w:val="000000"/>
              </w:rPr>
            </w:pPr>
            <w:bookmarkStart w:id="316" w:name="_Toc486259518"/>
            <w:r w:rsidRPr="006070EA">
              <w:rPr>
                <w:rFonts w:asciiTheme="majorHAnsi" w:hAnsiTheme="majorHAnsi" w:cstheme="majorHAnsi"/>
                <w:noProof/>
                <w:color w:val="000000"/>
              </w:rPr>
              <w:lastRenderedPageBreak/>
              <w:drawing>
                <wp:inline distT="0" distB="0" distL="0" distR="0" wp14:anchorId="0CD956B5" wp14:editId="08E01C2C">
                  <wp:extent cx="2828925" cy="2809875"/>
                  <wp:effectExtent l="0" t="0" r="0" b="0"/>
                  <wp:docPr id="33" name="Obrázek 33" descr="Obsah obrázku interiér, zelená, oblou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Obrázek 33" descr="Obsah obrázku interiér, zelená, oblouk&#10;&#10;Popis byl vytvořen automaticky"/>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2828925" cy="2809875"/>
                          </a:xfrm>
                          <a:prstGeom prst="rect">
                            <a:avLst/>
                          </a:prstGeom>
                          <a:noFill/>
                          <a:ln>
                            <a:noFill/>
                          </a:ln>
                        </pic:spPr>
                      </pic:pic>
                    </a:graphicData>
                  </a:graphic>
                </wp:inline>
              </w:drawing>
            </w:r>
          </w:p>
        </w:tc>
        <w:tc>
          <w:tcPr>
            <w:tcW w:w="4542" w:type="dxa"/>
            <w:vAlign w:val="center"/>
          </w:tcPr>
          <w:p w14:paraId="21264C5C" w14:textId="77777777" w:rsidR="00485315" w:rsidRPr="006070EA" w:rsidRDefault="00485315" w:rsidP="00485315">
            <w:pPr>
              <w:pStyle w:val="Atextkurzva"/>
              <w:rPr>
                <w:rFonts w:asciiTheme="majorHAnsi" w:hAnsiTheme="majorHAnsi" w:cstheme="majorHAnsi"/>
                <w:color w:val="000000"/>
              </w:rPr>
            </w:pPr>
            <w:r w:rsidRPr="006070EA">
              <w:rPr>
                <w:rFonts w:asciiTheme="majorHAnsi" w:hAnsiTheme="majorHAnsi" w:cstheme="majorHAnsi"/>
                <w:color w:val="000000"/>
              </w:rPr>
              <w:t xml:space="preserve">Rozkoš je část obce, rozložená západně od Kostomlat. Osadou prochází silnice ke Stratovu a Lysé nad Labem a protéká jí rameno Vlkavského potoka, na kterém byl provozován mlýn „Rozkoš“ (stavba byla několikrát přestavována). </w:t>
            </w:r>
          </w:p>
          <w:p w14:paraId="554C287B" w14:textId="77777777" w:rsidR="00485315" w:rsidRPr="006070EA" w:rsidRDefault="00485315" w:rsidP="00485315">
            <w:pPr>
              <w:pStyle w:val="Atextkurzva"/>
              <w:rPr>
                <w:rFonts w:asciiTheme="majorHAnsi" w:hAnsiTheme="majorHAnsi" w:cstheme="majorHAnsi"/>
                <w:color w:val="000000"/>
              </w:rPr>
            </w:pPr>
            <w:r w:rsidRPr="006070EA">
              <w:rPr>
                <w:rFonts w:asciiTheme="majorHAnsi" w:hAnsiTheme="majorHAnsi" w:cstheme="majorHAnsi"/>
                <w:color w:val="000000"/>
              </w:rPr>
              <w:t>Zajímavé je, že v soupise z roku 1787 není ještě o Rozkoši informace. Teprve roku 1835 se uvádí na panství Lysé: mlýn Rozkoš s 15 čísly a 93 obyvateli.</w:t>
            </w:r>
          </w:p>
          <w:p w14:paraId="65B9E653" w14:textId="77777777" w:rsidR="00485315" w:rsidRPr="006070EA" w:rsidRDefault="00485315" w:rsidP="00485315">
            <w:pPr>
              <w:pStyle w:val="Atextkurzva"/>
              <w:rPr>
                <w:rFonts w:asciiTheme="majorHAnsi" w:hAnsiTheme="majorHAnsi" w:cstheme="majorHAnsi"/>
                <w:color w:val="000000"/>
              </w:rPr>
            </w:pPr>
          </w:p>
        </w:tc>
      </w:tr>
      <w:tr w:rsidR="00485315" w:rsidRPr="006070EA" w14:paraId="5C82468C" w14:textId="77777777" w:rsidTr="00485315">
        <w:trPr>
          <w:trHeight w:val="168"/>
          <w:jc w:val="center"/>
        </w:trPr>
        <w:tc>
          <w:tcPr>
            <w:tcW w:w="4528" w:type="dxa"/>
            <w:vAlign w:val="center"/>
          </w:tcPr>
          <w:p w14:paraId="6FB09244" w14:textId="77777777" w:rsidR="00485315" w:rsidRPr="006070EA" w:rsidRDefault="00485315" w:rsidP="00485315">
            <w:pPr>
              <w:pStyle w:val="Atextkurzva"/>
              <w:spacing w:before="0"/>
              <w:rPr>
                <w:rFonts w:asciiTheme="majorHAnsi" w:hAnsiTheme="majorHAnsi" w:cstheme="majorHAnsi"/>
                <w:color w:val="000000"/>
              </w:rPr>
            </w:pPr>
            <w:r w:rsidRPr="006070EA">
              <w:rPr>
                <w:rFonts w:asciiTheme="majorHAnsi" w:hAnsiTheme="majorHAnsi" w:cstheme="majorHAnsi"/>
                <w:color w:val="000000"/>
              </w:rPr>
              <w:t>Letecký snímek z roku 2010</w:t>
            </w:r>
          </w:p>
        </w:tc>
        <w:tc>
          <w:tcPr>
            <w:tcW w:w="4542" w:type="dxa"/>
            <w:vAlign w:val="center"/>
          </w:tcPr>
          <w:p w14:paraId="63E82938" w14:textId="77777777" w:rsidR="00485315" w:rsidRPr="006070EA" w:rsidRDefault="00485315" w:rsidP="00485315">
            <w:pPr>
              <w:pStyle w:val="Atextkurzva"/>
              <w:spacing w:before="0"/>
              <w:rPr>
                <w:rFonts w:asciiTheme="majorHAnsi" w:hAnsiTheme="majorHAnsi" w:cstheme="majorHAnsi"/>
                <w:color w:val="000000"/>
              </w:rPr>
            </w:pPr>
          </w:p>
        </w:tc>
      </w:tr>
    </w:tbl>
    <w:p w14:paraId="3C630743" w14:textId="23A20CC4" w:rsidR="00151744" w:rsidRPr="006070EA" w:rsidRDefault="00151744" w:rsidP="00EF336E">
      <w:pPr>
        <w:keepNext/>
        <w:spacing w:before="120" w:after="120"/>
        <w:rPr>
          <w:rFonts w:asciiTheme="majorHAnsi" w:hAnsiTheme="majorHAnsi" w:cstheme="majorHAnsi"/>
          <w:b/>
          <w:bCs/>
          <w:i/>
          <w:iCs/>
          <w:color w:val="000000"/>
          <w:sz w:val="20"/>
          <w:szCs w:val="20"/>
        </w:rPr>
      </w:pPr>
      <w:r w:rsidRPr="006070EA">
        <w:rPr>
          <w:rFonts w:asciiTheme="majorHAnsi" w:hAnsiTheme="majorHAnsi" w:cstheme="majorHAnsi"/>
          <w:b/>
          <w:bCs/>
          <w:i/>
          <w:iCs/>
          <w:color w:val="000000"/>
          <w:sz w:val="20"/>
          <w:szCs w:val="20"/>
        </w:rPr>
        <w:t>Vápensko</w:t>
      </w:r>
      <w:bookmarkEnd w:id="316"/>
    </w:p>
    <w:p w14:paraId="3E1A5A6D"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t>Vývoj počtu obyvatel a počtu domů v sídle</w:t>
      </w:r>
    </w:p>
    <w:p w14:paraId="140BCD36" w14:textId="77777777" w:rsidR="00151744" w:rsidRPr="006070EA" w:rsidRDefault="00151744" w:rsidP="00151744">
      <w:pPr>
        <w:pStyle w:val="Atext"/>
        <w:ind w:firstLine="0"/>
        <w:rPr>
          <w:rFonts w:asciiTheme="majorHAnsi" w:hAnsiTheme="majorHAnsi" w:cstheme="majorHAnsi"/>
          <w:color w:val="000000"/>
        </w:rPr>
      </w:pPr>
      <w:r w:rsidRPr="006070EA">
        <w:rPr>
          <w:rFonts w:asciiTheme="majorHAnsi" w:hAnsiTheme="majorHAnsi" w:cstheme="majorHAnsi"/>
          <w:noProof/>
          <w:color w:val="000000"/>
          <w:lang w:eastAsia="cs-CZ"/>
        </w:rPr>
        <w:drawing>
          <wp:inline distT="0" distB="0" distL="0" distR="0" wp14:anchorId="2FCB954F" wp14:editId="09BF7104">
            <wp:extent cx="5569585" cy="3600000"/>
            <wp:effectExtent l="0" t="0" r="0" b="0"/>
            <wp:docPr id="32" name="Graf 3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44"/>
              </a:graphicData>
            </a:graphic>
          </wp:inline>
        </w:drawing>
      </w:r>
    </w:p>
    <w:p w14:paraId="23CC3A48" w14:textId="3AFBD8CE" w:rsidR="00151744" w:rsidRPr="006070EA" w:rsidRDefault="00151744" w:rsidP="00151744">
      <w:pPr>
        <w:pStyle w:val="Atext"/>
        <w:rPr>
          <w:rFonts w:asciiTheme="majorHAnsi" w:hAnsiTheme="majorHAnsi" w:cstheme="majorHAnsi"/>
          <w:color w:val="000000"/>
        </w:rPr>
      </w:pPr>
      <w:r w:rsidRPr="006070EA">
        <w:rPr>
          <w:rFonts w:asciiTheme="majorHAnsi" w:hAnsiTheme="majorHAnsi" w:cstheme="majorHAnsi"/>
          <w:color w:val="000000"/>
        </w:rPr>
        <w:t>Typické sídlo okrouhlicového tvaru, zachovávající si svůj historický ráz. Maxima v počtu domů sídlo dosahovalo v 50.</w:t>
      </w:r>
      <w:r w:rsidR="003C696A" w:rsidRPr="006070EA">
        <w:rPr>
          <w:rFonts w:asciiTheme="majorHAnsi" w:hAnsiTheme="majorHAnsi" w:cstheme="majorHAnsi"/>
          <w:color w:val="000000"/>
        </w:rPr>
        <w:t> </w:t>
      </w:r>
      <w:r w:rsidRPr="006070EA">
        <w:rPr>
          <w:rFonts w:asciiTheme="majorHAnsi" w:hAnsiTheme="majorHAnsi" w:cstheme="majorHAnsi"/>
          <w:color w:val="000000"/>
        </w:rPr>
        <w:t>letech 20. století</w:t>
      </w:r>
      <w:r w:rsidR="003C696A" w:rsidRPr="006070EA">
        <w:rPr>
          <w:rFonts w:asciiTheme="majorHAnsi" w:hAnsiTheme="majorHAnsi" w:cstheme="majorHAnsi"/>
          <w:color w:val="000000"/>
        </w:rPr>
        <w:t>,</w:t>
      </w:r>
      <w:r w:rsidRPr="006070EA">
        <w:rPr>
          <w:rFonts w:asciiTheme="majorHAnsi" w:hAnsiTheme="majorHAnsi" w:cstheme="majorHAnsi"/>
          <w:color w:val="000000"/>
        </w:rPr>
        <w:t xml:space="preserve"> </w:t>
      </w:r>
      <w:r w:rsidR="003C696A" w:rsidRPr="006070EA">
        <w:rPr>
          <w:rFonts w:asciiTheme="majorHAnsi" w:hAnsiTheme="majorHAnsi" w:cstheme="majorHAnsi"/>
          <w:color w:val="000000"/>
        </w:rPr>
        <w:t xml:space="preserve">nejvyšší </w:t>
      </w:r>
      <w:r w:rsidRPr="006070EA">
        <w:rPr>
          <w:rFonts w:asciiTheme="majorHAnsi" w:hAnsiTheme="majorHAnsi" w:cstheme="majorHAnsi"/>
          <w:color w:val="000000"/>
        </w:rPr>
        <w:t>poč</w:t>
      </w:r>
      <w:r w:rsidR="003C696A" w:rsidRPr="006070EA">
        <w:rPr>
          <w:rFonts w:asciiTheme="majorHAnsi" w:hAnsiTheme="majorHAnsi" w:cstheme="majorHAnsi"/>
          <w:color w:val="000000"/>
        </w:rPr>
        <w:t>e</w:t>
      </w:r>
      <w:r w:rsidRPr="006070EA">
        <w:rPr>
          <w:rFonts w:asciiTheme="majorHAnsi" w:hAnsiTheme="majorHAnsi" w:cstheme="majorHAnsi"/>
          <w:color w:val="000000"/>
        </w:rPr>
        <w:t xml:space="preserve">t obyvatel vesnice </w:t>
      </w:r>
      <w:r w:rsidR="003C696A" w:rsidRPr="006070EA">
        <w:rPr>
          <w:rFonts w:asciiTheme="majorHAnsi" w:hAnsiTheme="majorHAnsi" w:cstheme="majorHAnsi"/>
          <w:color w:val="000000"/>
        </w:rPr>
        <w:t xml:space="preserve">byl zaznamenán </w:t>
      </w:r>
      <w:r w:rsidRPr="006070EA">
        <w:rPr>
          <w:rFonts w:asciiTheme="majorHAnsi" w:hAnsiTheme="majorHAnsi" w:cstheme="majorHAnsi"/>
          <w:color w:val="000000"/>
        </w:rPr>
        <w:t xml:space="preserve">v období </w:t>
      </w:r>
      <w:proofErr w:type="gramStart"/>
      <w:r w:rsidRPr="006070EA">
        <w:rPr>
          <w:rFonts w:asciiTheme="majorHAnsi" w:hAnsiTheme="majorHAnsi" w:cstheme="majorHAnsi"/>
          <w:color w:val="000000"/>
        </w:rPr>
        <w:t>1869</w:t>
      </w:r>
      <w:r w:rsidR="003C696A" w:rsidRPr="006070EA">
        <w:rPr>
          <w:rFonts w:asciiTheme="majorHAnsi" w:hAnsiTheme="majorHAnsi" w:cstheme="majorHAnsi"/>
          <w:color w:val="000000"/>
        </w:rPr>
        <w:t xml:space="preserve"> – </w:t>
      </w:r>
      <w:r w:rsidRPr="006070EA">
        <w:rPr>
          <w:rFonts w:asciiTheme="majorHAnsi" w:hAnsiTheme="majorHAnsi" w:cstheme="majorHAnsi"/>
          <w:color w:val="000000"/>
        </w:rPr>
        <w:t>1930</w:t>
      </w:r>
      <w:proofErr w:type="gramEnd"/>
      <w:r w:rsidRPr="006070EA">
        <w:rPr>
          <w:rFonts w:asciiTheme="majorHAnsi" w:hAnsiTheme="majorHAnsi" w:cstheme="majorHAnsi"/>
          <w:color w:val="000000"/>
        </w:rPr>
        <w:t xml:space="preserve">, Od 30. let 20. století došlo k trvalému úbytku obyvatel, který se zastavil až počátkem </w:t>
      </w:r>
      <w:r w:rsidR="003C696A" w:rsidRPr="006070EA">
        <w:rPr>
          <w:rFonts w:asciiTheme="majorHAnsi" w:hAnsiTheme="majorHAnsi" w:cstheme="majorHAnsi"/>
          <w:color w:val="000000"/>
        </w:rPr>
        <w:t>21. století</w:t>
      </w:r>
      <w:r w:rsidRPr="006070EA">
        <w:rPr>
          <w:rFonts w:asciiTheme="majorHAnsi" w:hAnsiTheme="majorHAnsi" w:cstheme="majorHAnsi"/>
          <w:color w:val="000000"/>
        </w:rPr>
        <w:t>.</w:t>
      </w:r>
    </w:p>
    <w:p w14:paraId="6CE48F54" w14:textId="77777777" w:rsidR="00151744" w:rsidRPr="006070EA" w:rsidRDefault="00151744" w:rsidP="00151744">
      <w:pPr>
        <w:pStyle w:val="Anadpistun"/>
        <w:rPr>
          <w:rFonts w:asciiTheme="majorHAnsi" w:hAnsiTheme="majorHAnsi" w:cstheme="majorHAnsi"/>
          <w:b w:val="0"/>
          <w:bCs/>
          <w:i/>
          <w:iCs/>
          <w:color w:val="000000"/>
          <w:u w:val="single"/>
        </w:rPr>
      </w:pPr>
      <w:r w:rsidRPr="006070EA">
        <w:rPr>
          <w:rFonts w:asciiTheme="majorHAnsi" w:hAnsiTheme="majorHAnsi" w:cstheme="majorHAnsi"/>
          <w:b w:val="0"/>
          <w:bCs/>
          <w:i/>
          <w:iCs/>
          <w:color w:val="000000"/>
          <w:u w:val="single"/>
        </w:rPr>
        <w:lastRenderedPageBreak/>
        <w:t>Urbanistický vývoj</w:t>
      </w:r>
    </w:p>
    <w:tbl>
      <w:tblPr>
        <w:tblW w:w="0" w:type="auto"/>
        <w:jc w:val="center"/>
        <w:tblLook w:val="04A0" w:firstRow="1" w:lastRow="0" w:firstColumn="1" w:lastColumn="0" w:noHBand="0" w:noVBand="1"/>
      </w:tblPr>
      <w:tblGrid>
        <w:gridCol w:w="4564"/>
        <w:gridCol w:w="4506"/>
      </w:tblGrid>
      <w:tr w:rsidR="00151744" w:rsidRPr="006070EA" w14:paraId="743518B1" w14:textId="77777777" w:rsidTr="000E35EE">
        <w:trPr>
          <w:trHeight w:val="283"/>
          <w:jc w:val="center"/>
        </w:trPr>
        <w:tc>
          <w:tcPr>
            <w:tcW w:w="4528" w:type="dxa"/>
          </w:tcPr>
          <w:p w14:paraId="175B8C0B" w14:textId="77777777" w:rsidR="00151744" w:rsidRPr="006070EA" w:rsidRDefault="00151744" w:rsidP="000E35EE">
            <w:pPr>
              <w:pStyle w:val="Bezmezer"/>
              <w:keepNext/>
              <w:rPr>
                <w:rFonts w:asciiTheme="majorHAnsi" w:hAnsiTheme="majorHAnsi" w:cstheme="majorHAnsi"/>
                <w:b/>
                <w:color w:val="000000"/>
                <w:lang w:val="cs-CZ"/>
              </w:rPr>
            </w:pPr>
            <w:r w:rsidRPr="006070EA">
              <w:rPr>
                <w:rFonts w:asciiTheme="majorHAnsi" w:hAnsiTheme="majorHAnsi" w:cstheme="majorHAnsi"/>
                <w:noProof/>
                <w:color w:val="000000"/>
                <w:lang w:val="cs-CZ" w:eastAsia="cs-CZ"/>
              </w:rPr>
              <w:drawing>
                <wp:inline distT="0" distB="0" distL="0" distR="0" wp14:anchorId="17C57E57" wp14:editId="0E8C881B">
                  <wp:extent cx="2781300" cy="2781300"/>
                  <wp:effectExtent l="0" t="0" r="0" b="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2781300" cy="2781300"/>
                          </a:xfrm>
                          <a:prstGeom prst="rect">
                            <a:avLst/>
                          </a:prstGeom>
                          <a:noFill/>
                          <a:ln>
                            <a:noFill/>
                          </a:ln>
                        </pic:spPr>
                      </pic:pic>
                    </a:graphicData>
                  </a:graphic>
                </wp:inline>
              </w:drawing>
            </w:r>
          </w:p>
        </w:tc>
        <w:tc>
          <w:tcPr>
            <w:tcW w:w="4410" w:type="dxa"/>
          </w:tcPr>
          <w:p w14:paraId="2E1845A8" w14:textId="77777777" w:rsidR="00151744" w:rsidRPr="006070EA" w:rsidRDefault="00151744" w:rsidP="000E35EE">
            <w:pPr>
              <w:pStyle w:val="Bezmezer"/>
              <w:keepNext/>
              <w:ind w:right="-171"/>
              <w:rPr>
                <w:rFonts w:asciiTheme="majorHAnsi" w:hAnsiTheme="majorHAnsi" w:cstheme="majorHAnsi"/>
                <w:color w:val="000000"/>
                <w:lang w:val="cs-CZ"/>
              </w:rPr>
            </w:pPr>
            <w:r w:rsidRPr="006070EA">
              <w:rPr>
                <w:rFonts w:asciiTheme="majorHAnsi" w:hAnsiTheme="majorHAnsi" w:cstheme="majorHAnsi"/>
                <w:noProof/>
                <w:color w:val="000000"/>
                <w:lang w:val="cs-CZ" w:eastAsia="cs-CZ"/>
              </w:rPr>
              <w:drawing>
                <wp:inline distT="0" distB="0" distL="0" distR="0" wp14:anchorId="404E25A3" wp14:editId="1106B00A">
                  <wp:extent cx="2800350" cy="2800350"/>
                  <wp:effectExtent l="0" t="0" r="0" b="0"/>
                  <wp:docPr id="27" name="Obrázek 27"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Obrázek 27" descr="Obsah obrázku text&#10;&#10;Popis byl vytvořen automaticky"/>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2800350" cy="2800350"/>
                          </a:xfrm>
                          <a:prstGeom prst="rect">
                            <a:avLst/>
                          </a:prstGeom>
                          <a:noFill/>
                          <a:ln>
                            <a:noFill/>
                          </a:ln>
                        </pic:spPr>
                      </pic:pic>
                    </a:graphicData>
                  </a:graphic>
                </wp:inline>
              </w:drawing>
            </w:r>
          </w:p>
        </w:tc>
      </w:tr>
      <w:tr w:rsidR="00151744" w:rsidRPr="006070EA" w14:paraId="5AF43D0E" w14:textId="77777777" w:rsidTr="000E35EE">
        <w:trPr>
          <w:trHeight w:val="168"/>
          <w:jc w:val="center"/>
        </w:trPr>
        <w:tc>
          <w:tcPr>
            <w:tcW w:w="4528" w:type="dxa"/>
            <w:vAlign w:val="center"/>
          </w:tcPr>
          <w:p w14:paraId="34013643" w14:textId="77777777" w:rsidR="00151744" w:rsidRPr="006070EA" w:rsidRDefault="00151744" w:rsidP="000E35EE">
            <w:pPr>
              <w:pStyle w:val="Atextkurzva"/>
              <w:rPr>
                <w:rFonts w:asciiTheme="majorHAnsi" w:hAnsiTheme="majorHAnsi" w:cstheme="majorHAnsi"/>
                <w:color w:val="000000"/>
              </w:rPr>
            </w:pPr>
            <w:r w:rsidRPr="006070EA">
              <w:rPr>
                <w:rFonts w:asciiTheme="majorHAnsi" w:hAnsiTheme="majorHAnsi" w:cstheme="majorHAnsi"/>
                <w:color w:val="000000"/>
              </w:rPr>
              <w:t>Zákres sídla ve Stabilním katastru z roku 1838</w:t>
            </w:r>
          </w:p>
        </w:tc>
        <w:tc>
          <w:tcPr>
            <w:tcW w:w="4410" w:type="dxa"/>
            <w:vAlign w:val="center"/>
          </w:tcPr>
          <w:p w14:paraId="2D8B7AD6" w14:textId="77777777" w:rsidR="00151744" w:rsidRPr="006070EA" w:rsidRDefault="00151744" w:rsidP="000E35EE">
            <w:pPr>
              <w:pStyle w:val="Atextkurzva"/>
              <w:rPr>
                <w:rFonts w:asciiTheme="majorHAnsi" w:hAnsiTheme="majorHAnsi" w:cstheme="majorHAnsi"/>
                <w:color w:val="000000"/>
              </w:rPr>
            </w:pPr>
            <w:r w:rsidRPr="006070EA">
              <w:rPr>
                <w:rFonts w:asciiTheme="majorHAnsi" w:hAnsiTheme="majorHAnsi" w:cstheme="majorHAnsi"/>
                <w:color w:val="000000"/>
              </w:rPr>
              <w:t>Letecký snímek z roku 1954</w:t>
            </w:r>
          </w:p>
        </w:tc>
      </w:tr>
      <w:tr w:rsidR="00151744" w:rsidRPr="006070EA" w14:paraId="13C7A618" w14:textId="77777777" w:rsidTr="000E35EE">
        <w:trPr>
          <w:trHeight w:val="283"/>
          <w:jc w:val="center"/>
        </w:trPr>
        <w:tc>
          <w:tcPr>
            <w:tcW w:w="4528" w:type="dxa"/>
          </w:tcPr>
          <w:p w14:paraId="66D72FB4" w14:textId="77777777" w:rsidR="00151744" w:rsidRPr="006070EA" w:rsidRDefault="00151744" w:rsidP="000E35EE">
            <w:pPr>
              <w:pStyle w:val="Bezmezer"/>
              <w:keepNext/>
              <w:rPr>
                <w:rFonts w:asciiTheme="majorHAnsi" w:hAnsiTheme="majorHAnsi" w:cstheme="majorHAnsi"/>
                <w:b/>
                <w:color w:val="000000"/>
                <w:lang w:val="cs-CZ"/>
              </w:rPr>
            </w:pPr>
            <w:r w:rsidRPr="006070EA">
              <w:rPr>
                <w:rFonts w:asciiTheme="majorHAnsi" w:hAnsiTheme="majorHAnsi" w:cstheme="majorHAnsi"/>
                <w:noProof/>
                <w:color w:val="000000"/>
                <w:lang w:val="cs-CZ" w:eastAsia="cs-CZ"/>
              </w:rPr>
              <w:drawing>
                <wp:inline distT="0" distB="0" distL="0" distR="0" wp14:anchorId="489C3098" wp14:editId="2B012391">
                  <wp:extent cx="2838450" cy="2838450"/>
                  <wp:effectExtent l="0" t="0" r="0" b="0"/>
                  <wp:docPr id="11" name="Obrázek 11" descr="Obsah obrázku tex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Obrázek 11" descr="Obsah obrázku text&#10;&#10;Popis byl vytvořen automaticky"/>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2838450" cy="2838450"/>
                          </a:xfrm>
                          <a:prstGeom prst="rect">
                            <a:avLst/>
                          </a:prstGeom>
                          <a:noFill/>
                          <a:ln>
                            <a:noFill/>
                          </a:ln>
                        </pic:spPr>
                      </pic:pic>
                    </a:graphicData>
                  </a:graphic>
                </wp:inline>
              </w:drawing>
            </w:r>
          </w:p>
        </w:tc>
        <w:tc>
          <w:tcPr>
            <w:tcW w:w="4410" w:type="dxa"/>
          </w:tcPr>
          <w:p w14:paraId="684E02A0" w14:textId="3CC1FA70" w:rsidR="003C696A" w:rsidRPr="006070EA" w:rsidRDefault="003C696A" w:rsidP="003C696A">
            <w:pPr>
              <w:pStyle w:val="Atext"/>
              <w:rPr>
                <w:rFonts w:asciiTheme="majorHAnsi" w:hAnsiTheme="majorHAnsi" w:cstheme="majorHAnsi"/>
                <w:color w:val="000000"/>
              </w:rPr>
            </w:pPr>
            <w:r w:rsidRPr="006070EA">
              <w:rPr>
                <w:rFonts w:asciiTheme="majorHAnsi" w:hAnsiTheme="majorHAnsi" w:cstheme="majorHAnsi"/>
                <w:color w:val="000000"/>
                <w:shd w:val="clear" w:color="auto" w:fill="FFFFFF"/>
              </w:rPr>
              <w:t>Roku 1709 založil hrabě František Antonín Špork v Lysé novou ves při Hroněticích se šesti chalupami a rozdělil hronětické grunty novým osadníkům. Ves (dnes Vápensko) byla původně pojmenována „Ráj“. Jméno se však dlouho neudrželo</w:t>
            </w:r>
            <w:r w:rsidR="00303A96" w:rsidRPr="006070EA">
              <w:rPr>
                <w:rFonts w:asciiTheme="majorHAnsi" w:hAnsiTheme="majorHAnsi" w:cstheme="majorHAnsi"/>
                <w:color w:val="000000"/>
                <w:shd w:val="clear" w:color="auto" w:fill="FFFFFF"/>
              </w:rPr>
              <w:t>.</w:t>
            </w:r>
          </w:p>
        </w:tc>
      </w:tr>
      <w:tr w:rsidR="00151744" w:rsidRPr="006070EA" w14:paraId="5C8DDACA" w14:textId="77777777" w:rsidTr="000E35EE">
        <w:trPr>
          <w:trHeight w:val="283"/>
          <w:jc w:val="center"/>
        </w:trPr>
        <w:tc>
          <w:tcPr>
            <w:tcW w:w="4528" w:type="dxa"/>
            <w:vAlign w:val="center"/>
          </w:tcPr>
          <w:p w14:paraId="6D3BA4C2" w14:textId="77777777" w:rsidR="00151744" w:rsidRPr="006070EA" w:rsidRDefault="00151744" w:rsidP="000E35EE">
            <w:pPr>
              <w:pStyle w:val="Atextkurzva"/>
              <w:rPr>
                <w:rFonts w:asciiTheme="majorHAnsi" w:hAnsiTheme="majorHAnsi" w:cstheme="majorHAnsi"/>
                <w:color w:val="000000"/>
              </w:rPr>
            </w:pPr>
            <w:r w:rsidRPr="006070EA">
              <w:rPr>
                <w:rFonts w:asciiTheme="majorHAnsi" w:hAnsiTheme="majorHAnsi" w:cstheme="majorHAnsi"/>
                <w:color w:val="000000"/>
              </w:rPr>
              <w:t>Letecký snímek z roku 2010</w:t>
            </w:r>
          </w:p>
        </w:tc>
        <w:tc>
          <w:tcPr>
            <w:tcW w:w="4410" w:type="dxa"/>
            <w:vAlign w:val="center"/>
          </w:tcPr>
          <w:p w14:paraId="242C8F9A" w14:textId="77777777" w:rsidR="00151744" w:rsidRPr="006070EA" w:rsidRDefault="00151744" w:rsidP="000E35EE">
            <w:pPr>
              <w:pStyle w:val="Bezmezer"/>
              <w:rPr>
                <w:rFonts w:asciiTheme="majorHAnsi" w:hAnsiTheme="majorHAnsi" w:cstheme="majorHAnsi"/>
                <w:i/>
                <w:color w:val="000000"/>
                <w:lang w:val="cs-CZ"/>
              </w:rPr>
            </w:pPr>
          </w:p>
        </w:tc>
      </w:tr>
    </w:tbl>
    <w:p w14:paraId="1FFFEC7A" w14:textId="5F3F6497" w:rsidR="00DE526D" w:rsidRPr="006070EA" w:rsidRDefault="00BC0409" w:rsidP="005F4B67">
      <w:pPr>
        <w:spacing w:before="120" w:after="120" w:line="240" w:lineRule="auto"/>
        <w:ind w:firstLine="709"/>
        <w:jc w:val="both"/>
        <w:rPr>
          <w:rFonts w:asciiTheme="majorHAnsi" w:hAnsiTheme="majorHAnsi" w:cstheme="majorHAnsi"/>
          <w:sz w:val="18"/>
        </w:rPr>
      </w:pPr>
      <w:r w:rsidRPr="006070EA">
        <w:rPr>
          <w:rFonts w:asciiTheme="majorHAnsi" w:hAnsiTheme="majorHAnsi" w:cstheme="majorHAnsi"/>
          <w:sz w:val="18"/>
        </w:rPr>
        <w:t>Charakter krajiny zůstává převážně zachován, převažuje zemědělské využití. Z porovnání leteckých snímků z</w:t>
      </w:r>
      <w:r w:rsidR="00303A96" w:rsidRPr="006070EA">
        <w:rPr>
          <w:rFonts w:asciiTheme="majorHAnsi" w:hAnsiTheme="majorHAnsi" w:cstheme="majorHAnsi"/>
          <w:sz w:val="18"/>
        </w:rPr>
        <w:t xml:space="preserve"> 50. </w:t>
      </w:r>
      <w:r w:rsidRPr="006070EA">
        <w:rPr>
          <w:rFonts w:asciiTheme="majorHAnsi" w:hAnsiTheme="majorHAnsi" w:cstheme="majorHAnsi"/>
          <w:sz w:val="18"/>
        </w:rPr>
        <w:t xml:space="preserve">let </w:t>
      </w:r>
      <w:r w:rsidR="00303A96" w:rsidRPr="006070EA">
        <w:rPr>
          <w:rFonts w:asciiTheme="majorHAnsi" w:hAnsiTheme="majorHAnsi" w:cstheme="majorHAnsi"/>
          <w:sz w:val="18"/>
        </w:rPr>
        <w:t xml:space="preserve">20. století (vlevo) a ze současnosti (vlevo) </w:t>
      </w:r>
      <w:r w:rsidRPr="006070EA">
        <w:rPr>
          <w:rFonts w:asciiTheme="majorHAnsi" w:hAnsiTheme="majorHAnsi" w:cstheme="majorHAnsi"/>
          <w:sz w:val="18"/>
        </w:rPr>
        <w:t xml:space="preserve">je zřejmé zejména scelení zemědělských pozemků do větších bloků. </w:t>
      </w:r>
    </w:p>
    <w:p w14:paraId="1084A8D7" w14:textId="0D67C1FA" w:rsidR="00303A96" w:rsidRPr="006070EA" w:rsidRDefault="00303A96" w:rsidP="00303A96">
      <w:pPr>
        <w:spacing w:before="60" w:after="0" w:line="240" w:lineRule="auto"/>
        <w:jc w:val="both"/>
        <w:rPr>
          <w:rFonts w:asciiTheme="majorHAnsi" w:hAnsiTheme="majorHAnsi" w:cstheme="majorHAnsi"/>
          <w:color w:val="FF0000"/>
          <w:sz w:val="18"/>
        </w:rPr>
      </w:pPr>
      <w:r w:rsidRPr="006070EA">
        <w:rPr>
          <w:rFonts w:asciiTheme="majorHAnsi" w:hAnsiTheme="majorHAnsi" w:cstheme="majorHAnsi"/>
          <w:noProof/>
          <w:color w:val="FF0000"/>
          <w:sz w:val="18"/>
        </w:rPr>
        <w:lastRenderedPageBreak/>
        <w:drawing>
          <wp:inline distT="0" distB="0" distL="0" distR="0" wp14:anchorId="44B09020" wp14:editId="5ACD3499">
            <wp:extent cx="2843370" cy="38671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rotWithShape="1">
                    <a:blip r:embed="rId48">
                      <a:extLst>
                        <a:ext uri="{28A0092B-C50C-407E-A947-70E740481C1C}">
                          <a14:useLocalDpi xmlns:a14="http://schemas.microsoft.com/office/drawing/2010/main" val="0"/>
                        </a:ext>
                      </a:extLst>
                    </a:blip>
                    <a:srcRect t="729" b="680"/>
                    <a:stretch/>
                  </pic:blipFill>
                  <pic:spPr bwMode="auto">
                    <a:xfrm>
                      <a:off x="0" y="0"/>
                      <a:ext cx="2844000" cy="3868007"/>
                    </a:xfrm>
                    <a:prstGeom prst="rect">
                      <a:avLst/>
                    </a:prstGeom>
                    <a:noFill/>
                    <a:ln>
                      <a:noFill/>
                    </a:ln>
                    <a:extLst>
                      <a:ext uri="{53640926-AAD7-44D8-BBD7-CCE9431645EC}">
                        <a14:shadowObscured xmlns:a14="http://schemas.microsoft.com/office/drawing/2010/main"/>
                      </a:ext>
                    </a:extLst>
                  </pic:spPr>
                </pic:pic>
              </a:graphicData>
            </a:graphic>
          </wp:inline>
        </w:drawing>
      </w:r>
      <w:r w:rsidR="009E0B7E" w:rsidRPr="006070EA">
        <w:rPr>
          <w:rFonts w:asciiTheme="majorHAnsi" w:hAnsiTheme="majorHAnsi" w:cstheme="majorHAnsi"/>
          <w:color w:val="FF0000"/>
          <w:sz w:val="18"/>
        </w:rPr>
        <w:t xml:space="preserve"> </w:t>
      </w:r>
      <w:r w:rsidRPr="006070EA">
        <w:rPr>
          <w:rFonts w:asciiTheme="majorHAnsi" w:hAnsiTheme="majorHAnsi" w:cstheme="majorHAnsi"/>
          <w:noProof/>
          <w:color w:val="FF0000"/>
          <w:sz w:val="18"/>
        </w:rPr>
        <w:drawing>
          <wp:inline distT="0" distB="0" distL="0" distR="0" wp14:anchorId="697D8C53" wp14:editId="6ED8AA1A">
            <wp:extent cx="2844000" cy="3876444"/>
            <wp:effectExtent l="0" t="0" r="0"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2844000" cy="3876444"/>
                    </a:xfrm>
                    <a:prstGeom prst="rect">
                      <a:avLst/>
                    </a:prstGeom>
                    <a:noFill/>
                    <a:ln>
                      <a:noFill/>
                    </a:ln>
                  </pic:spPr>
                </pic:pic>
              </a:graphicData>
            </a:graphic>
          </wp:inline>
        </w:drawing>
      </w:r>
    </w:p>
    <w:p w14:paraId="381FD7CB" w14:textId="0FD25ABF" w:rsidR="00AB1F4C" w:rsidRPr="006070EA" w:rsidRDefault="00AB1F4C" w:rsidP="005F4B67">
      <w:pPr>
        <w:spacing w:before="120" w:after="120" w:line="240" w:lineRule="auto"/>
        <w:ind w:firstLine="709"/>
        <w:jc w:val="both"/>
        <w:rPr>
          <w:rFonts w:asciiTheme="majorHAnsi" w:hAnsiTheme="majorHAnsi" w:cstheme="majorHAnsi"/>
          <w:sz w:val="18"/>
        </w:rPr>
      </w:pPr>
      <w:r w:rsidRPr="006070EA">
        <w:rPr>
          <w:rFonts w:asciiTheme="majorHAnsi" w:hAnsiTheme="majorHAnsi" w:cstheme="majorHAnsi"/>
          <w:sz w:val="18"/>
        </w:rPr>
        <w:t>Od </w:t>
      </w:r>
      <w:r w:rsidR="002F426A" w:rsidRPr="006070EA">
        <w:rPr>
          <w:rFonts w:asciiTheme="majorHAnsi" w:hAnsiTheme="majorHAnsi" w:cstheme="majorHAnsi"/>
          <w:sz w:val="18"/>
        </w:rPr>
        <w:t>devadesátých let</w:t>
      </w:r>
      <w:r w:rsidRPr="006070EA">
        <w:rPr>
          <w:rFonts w:asciiTheme="majorHAnsi" w:hAnsiTheme="majorHAnsi" w:cstheme="majorHAnsi"/>
          <w:sz w:val="18"/>
        </w:rPr>
        <w:t xml:space="preserve"> dochází v obci ke kontinuálnímu růstu počtu obyvatel. Ten spolu s rostoucími nároky na kvalitu bydlení a s tím spjatým snižujícím se počtem obyvatel obývajících jednu domácnost </w:t>
      </w:r>
      <w:r w:rsidR="002F426A" w:rsidRPr="006070EA">
        <w:rPr>
          <w:rFonts w:asciiTheme="majorHAnsi" w:hAnsiTheme="majorHAnsi" w:cstheme="majorHAnsi"/>
          <w:sz w:val="18"/>
        </w:rPr>
        <w:t>zapříčinil</w:t>
      </w:r>
      <w:r w:rsidRPr="006070EA">
        <w:rPr>
          <w:rFonts w:asciiTheme="majorHAnsi" w:hAnsiTheme="majorHAnsi" w:cstheme="majorHAnsi"/>
          <w:sz w:val="18"/>
        </w:rPr>
        <w:t xml:space="preserve"> rozvoj zástavby v</w:t>
      </w:r>
      <w:r w:rsidR="00BC0409" w:rsidRPr="006070EA">
        <w:rPr>
          <w:rFonts w:asciiTheme="majorHAnsi" w:hAnsiTheme="majorHAnsi" w:cstheme="majorHAnsi"/>
          <w:sz w:val="18"/>
        </w:rPr>
        <w:t> </w:t>
      </w:r>
      <w:r w:rsidRPr="006070EA">
        <w:rPr>
          <w:rFonts w:asciiTheme="majorHAnsi" w:hAnsiTheme="majorHAnsi" w:cstheme="majorHAnsi"/>
          <w:sz w:val="18"/>
        </w:rPr>
        <w:t>obci</w:t>
      </w:r>
      <w:r w:rsidR="00BC0409" w:rsidRPr="006070EA">
        <w:rPr>
          <w:rFonts w:asciiTheme="majorHAnsi" w:hAnsiTheme="majorHAnsi" w:cstheme="majorHAnsi"/>
          <w:sz w:val="18"/>
        </w:rPr>
        <w:t xml:space="preserve">, který je nejzřetelnější </w:t>
      </w:r>
      <w:r w:rsidRPr="006070EA">
        <w:rPr>
          <w:rFonts w:asciiTheme="majorHAnsi" w:hAnsiTheme="majorHAnsi" w:cstheme="majorHAnsi"/>
          <w:sz w:val="18"/>
        </w:rPr>
        <w:t>v</w:t>
      </w:r>
      <w:r w:rsidR="00BC0409" w:rsidRPr="006070EA">
        <w:rPr>
          <w:rFonts w:asciiTheme="majorHAnsi" w:hAnsiTheme="majorHAnsi" w:cstheme="majorHAnsi"/>
          <w:sz w:val="18"/>
        </w:rPr>
        <w:t> </w:t>
      </w:r>
      <w:r w:rsidR="009E0B7E" w:rsidRPr="006070EA">
        <w:rPr>
          <w:rFonts w:asciiTheme="majorHAnsi" w:hAnsiTheme="majorHAnsi" w:cstheme="majorHAnsi"/>
          <w:sz w:val="18"/>
        </w:rPr>
        <w:t>jižní</w:t>
      </w:r>
      <w:r w:rsidR="00BC0409" w:rsidRPr="006070EA">
        <w:rPr>
          <w:rFonts w:asciiTheme="majorHAnsi" w:hAnsiTheme="majorHAnsi" w:cstheme="majorHAnsi"/>
          <w:sz w:val="18"/>
        </w:rPr>
        <w:t xml:space="preserve"> </w:t>
      </w:r>
      <w:r w:rsidR="002F426A" w:rsidRPr="006070EA">
        <w:rPr>
          <w:rFonts w:asciiTheme="majorHAnsi" w:hAnsiTheme="majorHAnsi" w:cstheme="majorHAnsi"/>
          <w:sz w:val="18"/>
        </w:rPr>
        <w:t xml:space="preserve">části </w:t>
      </w:r>
      <w:r w:rsidR="009E0B7E" w:rsidRPr="006070EA">
        <w:rPr>
          <w:rFonts w:asciiTheme="majorHAnsi" w:hAnsiTheme="majorHAnsi" w:cstheme="majorHAnsi"/>
          <w:sz w:val="18"/>
        </w:rPr>
        <w:t>Kostomlat nad Labem</w:t>
      </w:r>
      <w:r w:rsidRPr="006070EA">
        <w:rPr>
          <w:rFonts w:asciiTheme="majorHAnsi" w:hAnsiTheme="majorHAnsi" w:cstheme="majorHAnsi"/>
          <w:sz w:val="18"/>
        </w:rPr>
        <w:t xml:space="preserve">. </w:t>
      </w:r>
    </w:p>
    <w:p w14:paraId="38A6478F" w14:textId="6762885A" w:rsidR="00AB1F4C" w:rsidRPr="006070EA" w:rsidRDefault="002A349E" w:rsidP="009E07E1">
      <w:pPr>
        <w:spacing w:before="120" w:after="120" w:line="240" w:lineRule="auto"/>
        <w:ind w:firstLine="709"/>
        <w:jc w:val="both"/>
        <w:rPr>
          <w:rFonts w:asciiTheme="majorHAnsi" w:hAnsiTheme="majorHAnsi" w:cstheme="majorHAnsi"/>
          <w:sz w:val="18"/>
        </w:rPr>
      </w:pPr>
      <w:r w:rsidRPr="006070EA">
        <w:rPr>
          <w:rFonts w:asciiTheme="majorHAnsi" w:hAnsiTheme="majorHAnsi" w:cstheme="majorHAnsi"/>
          <w:sz w:val="18"/>
        </w:rPr>
        <w:t>Z</w:t>
      </w:r>
      <w:r w:rsidR="00BC0409" w:rsidRPr="006070EA">
        <w:rPr>
          <w:rFonts w:asciiTheme="majorHAnsi" w:hAnsiTheme="majorHAnsi" w:cstheme="majorHAnsi"/>
          <w:sz w:val="18"/>
        </w:rPr>
        <w:t>astavěné území v</w:t>
      </w:r>
      <w:r w:rsidR="009E0B7E" w:rsidRPr="006070EA">
        <w:rPr>
          <w:rFonts w:asciiTheme="majorHAnsi" w:hAnsiTheme="majorHAnsi" w:cstheme="majorHAnsi"/>
          <w:sz w:val="18"/>
        </w:rPr>
        <w:t xml:space="preserve"> sídlech </w:t>
      </w:r>
      <w:r w:rsidR="00AB1F4C" w:rsidRPr="006070EA">
        <w:rPr>
          <w:rFonts w:asciiTheme="majorHAnsi" w:hAnsiTheme="majorHAnsi" w:cstheme="majorHAnsi"/>
          <w:sz w:val="18"/>
        </w:rPr>
        <w:t xml:space="preserve">je </w:t>
      </w:r>
      <w:r w:rsidR="00BC0409" w:rsidRPr="006070EA">
        <w:rPr>
          <w:rFonts w:asciiTheme="majorHAnsi" w:hAnsiTheme="majorHAnsi" w:cstheme="majorHAnsi"/>
          <w:sz w:val="18"/>
        </w:rPr>
        <w:t>převážně</w:t>
      </w:r>
      <w:r w:rsidR="00AB1F4C" w:rsidRPr="006070EA">
        <w:rPr>
          <w:rFonts w:asciiTheme="majorHAnsi" w:hAnsiTheme="majorHAnsi" w:cstheme="majorHAnsi"/>
          <w:sz w:val="18"/>
        </w:rPr>
        <w:t xml:space="preserve"> naplněno a tvoří poměrně kompaktní celk</w:t>
      </w:r>
      <w:r w:rsidR="009E0B7E" w:rsidRPr="006070EA">
        <w:rPr>
          <w:rFonts w:asciiTheme="majorHAnsi" w:hAnsiTheme="majorHAnsi" w:cstheme="majorHAnsi"/>
          <w:sz w:val="18"/>
        </w:rPr>
        <w:t>y</w:t>
      </w:r>
      <w:r w:rsidR="00AB1F4C" w:rsidRPr="006070EA">
        <w:rPr>
          <w:rFonts w:asciiTheme="majorHAnsi" w:hAnsiTheme="majorHAnsi" w:cstheme="majorHAnsi"/>
          <w:sz w:val="18"/>
        </w:rPr>
        <w:t xml:space="preserve">. Zástavba charakteristicky doprovází klíčové komunikace </w:t>
      </w:r>
      <w:r w:rsidR="009E0B7E" w:rsidRPr="006070EA">
        <w:rPr>
          <w:rFonts w:asciiTheme="majorHAnsi" w:hAnsiTheme="majorHAnsi" w:cstheme="majorHAnsi"/>
          <w:sz w:val="18"/>
        </w:rPr>
        <w:t xml:space="preserve">(silnice II. a III. třídy, místní komunikace) </w:t>
      </w:r>
      <w:r w:rsidR="00BC0409" w:rsidRPr="006070EA">
        <w:rPr>
          <w:rFonts w:asciiTheme="majorHAnsi" w:hAnsiTheme="majorHAnsi" w:cstheme="majorHAnsi"/>
          <w:sz w:val="18"/>
        </w:rPr>
        <w:t>a vodní toky (</w:t>
      </w:r>
      <w:r w:rsidR="009E0B7E" w:rsidRPr="006070EA">
        <w:rPr>
          <w:rFonts w:asciiTheme="majorHAnsi" w:hAnsiTheme="majorHAnsi" w:cstheme="majorHAnsi"/>
          <w:sz w:val="18"/>
        </w:rPr>
        <w:t>Vlkava</w:t>
      </w:r>
      <w:r w:rsidR="00BC0409" w:rsidRPr="006070EA">
        <w:rPr>
          <w:rFonts w:asciiTheme="majorHAnsi" w:hAnsiTheme="majorHAnsi" w:cstheme="majorHAnsi"/>
          <w:sz w:val="18"/>
        </w:rPr>
        <w:t xml:space="preserve">, </w:t>
      </w:r>
      <w:r w:rsidR="009E0B7E" w:rsidRPr="006070EA">
        <w:rPr>
          <w:rFonts w:asciiTheme="majorHAnsi" w:hAnsiTheme="majorHAnsi" w:cstheme="majorHAnsi"/>
          <w:sz w:val="18"/>
        </w:rPr>
        <w:t xml:space="preserve">Hronětický </w:t>
      </w:r>
      <w:r w:rsidR="00BC0409" w:rsidRPr="006070EA">
        <w:rPr>
          <w:rFonts w:asciiTheme="majorHAnsi" w:hAnsiTheme="majorHAnsi" w:cstheme="majorHAnsi"/>
          <w:sz w:val="18"/>
        </w:rPr>
        <w:t xml:space="preserve">potok) </w:t>
      </w:r>
      <w:r w:rsidR="009E0B7E" w:rsidRPr="006070EA">
        <w:rPr>
          <w:rFonts w:asciiTheme="majorHAnsi" w:hAnsiTheme="majorHAnsi" w:cstheme="majorHAnsi"/>
          <w:sz w:val="18"/>
        </w:rPr>
        <w:t xml:space="preserve">v </w:t>
      </w:r>
      <w:r w:rsidR="00BC0409" w:rsidRPr="006070EA">
        <w:rPr>
          <w:rFonts w:asciiTheme="majorHAnsi" w:hAnsiTheme="majorHAnsi" w:cstheme="majorHAnsi"/>
          <w:sz w:val="18"/>
        </w:rPr>
        <w:t>řešené</w:t>
      </w:r>
      <w:r w:rsidR="009E0B7E" w:rsidRPr="006070EA">
        <w:rPr>
          <w:rFonts w:asciiTheme="majorHAnsi" w:hAnsiTheme="majorHAnsi" w:cstheme="majorHAnsi"/>
          <w:sz w:val="18"/>
        </w:rPr>
        <w:t>m</w:t>
      </w:r>
      <w:r w:rsidR="00BC0409" w:rsidRPr="006070EA">
        <w:rPr>
          <w:rFonts w:asciiTheme="majorHAnsi" w:hAnsiTheme="majorHAnsi" w:cstheme="majorHAnsi"/>
          <w:sz w:val="18"/>
        </w:rPr>
        <w:t xml:space="preserve"> území. V </w:t>
      </w:r>
      <w:r w:rsidR="00AB1F4C" w:rsidRPr="006070EA">
        <w:rPr>
          <w:rFonts w:asciiTheme="majorHAnsi" w:hAnsiTheme="majorHAnsi" w:cstheme="majorHAnsi"/>
          <w:sz w:val="18"/>
        </w:rPr>
        <w:t>území lze nalézt několik proluk, které lze označit za vnitřní rezervy zastavěného území, a jejichž využití by napomohlo k naplnění zvýšené poptávky po bydlení v</w:t>
      </w:r>
      <w:r w:rsidR="009E0B7E" w:rsidRPr="006070EA">
        <w:rPr>
          <w:rFonts w:asciiTheme="majorHAnsi" w:hAnsiTheme="majorHAnsi" w:cstheme="majorHAnsi"/>
          <w:sz w:val="18"/>
        </w:rPr>
        <w:t> </w:t>
      </w:r>
      <w:r w:rsidR="00AB1F4C" w:rsidRPr="006070EA">
        <w:rPr>
          <w:rFonts w:asciiTheme="majorHAnsi" w:hAnsiTheme="majorHAnsi" w:cstheme="majorHAnsi"/>
          <w:sz w:val="18"/>
        </w:rPr>
        <w:t>obci</w:t>
      </w:r>
      <w:r w:rsidR="009E0B7E" w:rsidRPr="006070EA">
        <w:rPr>
          <w:rFonts w:asciiTheme="majorHAnsi" w:hAnsiTheme="majorHAnsi" w:cstheme="majorHAnsi"/>
          <w:sz w:val="18"/>
        </w:rPr>
        <w:t xml:space="preserve"> (podrobněji viz kapitola 10.1)</w:t>
      </w:r>
      <w:r w:rsidR="00AB1F4C" w:rsidRPr="006070EA">
        <w:rPr>
          <w:rFonts w:asciiTheme="majorHAnsi" w:hAnsiTheme="majorHAnsi" w:cstheme="majorHAnsi"/>
          <w:sz w:val="18"/>
        </w:rPr>
        <w:t xml:space="preserve">. </w:t>
      </w:r>
    </w:p>
    <w:p w14:paraId="651E4249" w14:textId="79F39FF9" w:rsidR="00AB1F4C" w:rsidRPr="006070EA" w:rsidRDefault="00AB1F4C" w:rsidP="009E07E1">
      <w:pPr>
        <w:keepNext/>
        <w:spacing w:before="120" w:after="120" w:line="240" w:lineRule="auto"/>
        <w:rPr>
          <w:rFonts w:asciiTheme="majorHAnsi" w:hAnsiTheme="majorHAnsi" w:cstheme="majorHAnsi"/>
          <w:b/>
          <w:sz w:val="18"/>
          <w:szCs w:val="20"/>
        </w:rPr>
      </w:pPr>
      <w:r w:rsidRPr="006070EA">
        <w:rPr>
          <w:rFonts w:asciiTheme="majorHAnsi" w:hAnsiTheme="majorHAnsi" w:cstheme="majorHAnsi"/>
          <w:b/>
          <w:sz w:val="18"/>
          <w:szCs w:val="20"/>
        </w:rPr>
        <w:t>Odůvodnění stanovené urbanistické koncepce</w:t>
      </w:r>
      <w:r w:rsidR="009E0B7E" w:rsidRPr="006070EA">
        <w:rPr>
          <w:rFonts w:asciiTheme="majorHAnsi" w:hAnsiTheme="majorHAnsi" w:cstheme="majorHAnsi"/>
          <w:b/>
          <w:sz w:val="18"/>
          <w:szCs w:val="20"/>
        </w:rPr>
        <w:t xml:space="preserve"> </w:t>
      </w:r>
    </w:p>
    <w:p w14:paraId="05E5282F" w14:textId="04D9F936" w:rsidR="005F4B67" w:rsidRPr="006070EA" w:rsidRDefault="005F4B67" w:rsidP="005F4B67">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 xml:space="preserve">(7) </w:t>
      </w:r>
      <w:r w:rsidRPr="006070EA">
        <w:rPr>
          <w:rFonts w:asciiTheme="majorHAnsi" w:hAnsiTheme="majorHAnsi" w:cstheme="majorHAnsi"/>
          <w:i/>
          <w:snapToGrid w:val="0"/>
          <w:u w:val="single"/>
        </w:rPr>
        <w:t>výrokové části</w:t>
      </w:r>
    </w:p>
    <w:p w14:paraId="54E1C721" w14:textId="1954F8B4" w:rsidR="00AB1F4C" w:rsidRPr="006070EA" w:rsidRDefault="00AB1F4C" w:rsidP="00C41C56">
      <w:pPr>
        <w:spacing w:before="120" w:after="120" w:line="240" w:lineRule="auto"/>
        <w:ind w:firstLine="708"/>
        <w:jc w:val="both"/>
        <w:rPr>
          <w:rFonts w:asciiTheme="majorHAnsi" w:hAnsiTheme="majorHAnsi" w:cstheme="majorHAnsi"/>
          <w:sz w:val="18"/>
        </w:rPr>
      </w:pPr>
      <w:r w:rsidRPr="006070EA">
        <w:rPr>
          <w:rFonts w:asciiTheme="majorHAnsi" w:hAnsiTheme="majorHAnsi" w:cstheme="majorHAnsi"/>
          <w:sz w:val="18"/>
        </w:rPr>
        <w:t xml:space="preserve">Územní plán je koncipován s ohledem na funkční, plošné a prostorové předpoklady obce </w:t>
      </w:r>
      <w:r w:rsidR="005F4B67" w:rsidRPr="006070EA">
        <w:rPr>
          <w:rFonts w:asciiTheme="majorHAnsi" w:hAnsiTheme="majorHAnsi" w:cstheme="majorHAnsi"/>
          <w:sz w:val="18"/>
        </w:rPr>
        <w:t>Kostomlaty nad Labem</w:t>
      </w:r>
      <w:r w:rsidRPr="006070EA">
        <w:rPr>
          <w:rFonts w:asciiTheme="majorHAnsi" w:hAnsiTheme="majorHAnsi" w:cstheme="majorHAnsi"/>
          <w:sz w:val="18"/>
        </w:rPr>
        <w:t>. Respektuje stávající urbanistickou strukturu sídla, architektonické, historické a kulturní hodnoty, limity využití území (přírodní, technické), geomorfologické podmínky a zohledňuje výhledové předpoklady obce.</w:t>
      </w:r>
    </w:p>
    <w:p w14:paraId="74A12A4E" w14:textId="4F0D6D6B" w:rsidR="00AB1F4C" w:rsidRPr="006070EA" w:rsidRDefault="00AB1F4C" w:rsidP="00C41C56">
      <w:pPr>
        <w:spacing w:before="120" w:after="120" w:line="240" w:lineRule="auto"/>
        <w:ind w:firstLine="708"/>
        <w:jc w:val="both"/>
        <w:rPr>
          <w:rFonts w:asciiTheme="majorHAnsi" w:hAnsiTheme="majorHAnsi" w:cstheme="majorHAnsi"/>
          <w:sz w:val="18"/>
        </w:rPr>
      </w:pPr>
      <w:r w:rsidRPr="006070EA">
        <w:rPr>
          <w:rFonts w:asciiTheme="majorHAnsi" w:hAnsiTheme="majorHAnsi" w:cstheme="majorHAnsi"/>
          <w:sz w:val="18"/>
        </w:rPr>
        <w:t>Při vymezování zastavitelných ploch byly respektovány kompoziční vztahy v území a vytvořeny předpoklady pro zachování přírodních a architektonických dominant a fyzické prostupnosti území. Návrh zastavitelných ploch vychází zejména ze snahy zachovat v co největší míře stávající strukturu urbanizovaného území a novou zástavbou ji doplnit</w:t>
      </w:r>
      <w:r w:rsidR="00C16D54" w:rsidRPr="006070EA">
        <w:rPr>
          <w:rFonts w:asciiTheme="majorHAnsi" w:hAnsiTheme="majorHAnsi" w:cstheme="majorHAnsi"/>
          <w:sz w:val="18"/>
        </w:rPr>
        <w:t xml:space="preserve"> v souladu s koncepcí stanovenou platnou ÚPD obce</w:t>
      </w:r>
      <w:r w:rsidRPr="006070EA">
        <w:rPr>
          <w:rFonts w:asciiTheme="majorHAnsi" w:hAnsiTheme="majorHAnsi" w:cstheme="majorHAnsi"/>
          <w:sz w:val="18"/>
        </w:rPr>
        <w:t xml:space="preserve">. Preferována je přestavba stávajících </w:t>
      </w:r>
      <w:r w:rsidR="009C1BBA" w:rsidRPr="006070EA">
        <w:rPr>
          <w:rFonts w:asciiTheme="majorHAnsi" w:hAnsiTheme="majorHAnsi" w:cstheme="majorHAnsi"/>
          <w:sz w:val="18"/>
        </w:rPr>
        <w:t>objektů a doplnění zástavby</w:t>
      </w:r>
      <w:r w:rsidRPr="006070EA">
        <w:rPr>
          <w:rFonts w:asciiTheme="majorHAnsi" w:hAnsiTheme="majorHAnsi" w:cstheme="majorHAnsi"/>
          <w:sz w:val="18"/>
        </w:rPr>
        <w:t xml:space="preserve"> v zastavěném území</w:t>
      </w:r>
      <w:r w:rsidR="00C41C56" w:rsidRPr="006070EA">
        <w:rPr>
          <w:rFonts w:asciiTheme="majorHAnsi" w:hAnsiTheme="majorHAnsi" w:cstheme="majorHAnsi"/>
          <w:sz w:val="18"/>
        </w:rPr>
        <w:t xml:space="preserve"> a v přímé vazbě na něj</w:t>
      </w:r>
      <w:r w:rsidRPr="006070EA">
        <w:rPr>
          <w:rFonts w:asciiTheme="majorHAnsi" w:hAnsiTheme="majorHAnsi" w:cstheme="majorHAnsi"/>
          <w:sz w:val="18"/>
        </w:rPr>
        <w:t xml:space="preserve"> před </w:t>
      </w:r>
      <w:r w:rsidR="009C1BBA" w:rsidRPr="006070EA">
        <w:rPr>
          <w:rFonts w:asciiTheme="majorHAnsi" w:hAnsiTheme="majorHAnsi" w:cstheme="majorHAnsi"/>
          <w:sz w:val="18"/>
        </w:rPr>
        <w:t xml:space="preserve">novou </w:t>
      </w:r>
      <w:r w:rsidRPr="006070EA">
        <w:rPr>
          <w:rFonts w:asciiTheme="majorHAnsi" w:hAnsiTheme="majorHAnsi" w:cstheme="majorHAnsi"/>
          <w:sz w:val="18"/>
        </w:rPr>
        <w:t>zástavbou zasahující do volné krajiny.</w:t>
      </w:r>
    </w:p>
    <w:p w14:paraId="7AB7AC7F" w14:textId="0229FE64" w:rsidR="00451158" w:rsidRPr="006070EA" w:rsidRDefault="00451158" w:rsidP="00451158">
      <w:pPr>
        <w:pStyle w:val="Atext"/>
        <w:rPr>
          <w:rFonts w:asciiTheme="majorHAnsi" w:hAnsiTheme="majorHAnsi" w:cstheme="majorHAnsi"/>
        </w:rPr>
      </w:pPr>
      <w:r w:rsidRPr="006070EA">
        <w:rPr>
          <w:rFonts w:asciiTheme="majorHAnsi" w:hAnsiTheme="majorHAnsi" w:cstheme="majorHAnsi"/>
        </w:rPr>
        <w:t xml:space="preserve">Stabilizovaná urbanistická struktura sídel v území je dědictvím a dokladem historického vývoje území. Důvodem pro stanovení výroku je požadavek kontinuálního vývoje sídel se zohledněním a návazností na v minulosti již vytvořené urbanistické struktury. Ochrana těchto struktur je dále promítnuta do podmínek prostorového uspořádání zejména definováním prostorových struktur zástavby. </w:t>
      </w:r>
    </w:p>
    <w:p w14:paraId="65E0F310" w14:textId="2C808595" w:rsidR="00AB1F4C" w:rsidRPr="006070EA" w:rsidRDefault="00AB1F4C" w:rsidP="00C41C56">
      <w:pPr>
        <w:spacing w:before="120" w:after="120" w:line="240" w:lineRule="auto"/>
        <w:ind w:firstLine="708"/>
        <w:jc w:val="both"/>
        <w:rPr>
          <w:rFonts w:asciiTheme="majorHAnsi" w:hAnsiTheme="majorHAnsi" w:cstheme="majorHAnsi"/>
          <w:sz w:val="18"/>
        </w:rPr>
      </w:pPr>
      <w:r w:rsidRPr="006070EA">
        <w:rPr>
          <w:rFonts w:asciiTheme="majorHAnsi" w:hAnsiTheme="majorHAnsi" w:cstheme="majorHAnsi"/>
          <w:sz w:val="18"/>
        </w:rPr>
        <w:t>Vymezené zastavitelné plochy byly situovány do míst, kde vhodně doplní stávající zástavbu, výhradně v přímé návaznosti na zastavěné území, a kde bude možné jejich bezproblémové napojení na dopravní infrastrukturu a sítě technické infrastruktury. Cílem je vytvořit kompaktní urbanizované území a minimalizování nárok</w:t>
      </w:r>
      <w:r w:rsidR="009C1BBA" w:rsidRPr="006070EA">
        <w:rPr>
          <w:rFonts w:asciiTheme="majorHAnsi" w:hAnsiTheme="majorHAnsi" w:cstheme="majorHAnsi"/>
          <w:sz w:val="18"/>
        </w:rPr>
        <w:t>ů</w:t>
      </w:r>
      <w:r w:rsidRPr="006070EA">
        <w:rPr>
          <w:rFonts w:asciiTheme="majorHAnsi" w:hAnsiTheme="majorHAnsi" w:cstheme="majorHAnsi"/>
          <w:sz w:val="18"/>
        </w:rPr>
        <w:t xml:space="preserve"> na veřejné rozpočty a</w:t>
      </w:r>
      <w:r w:rsidR="00C16D54" w:rsidRPr="006070EA">
        <w:rPr>
          <w:rFonts w:asciiTheme="majorHAnsi" w:hAnsiTheme="majorHAnsi" w:cstheme="majorHAnsi"/>
          <w:sz w:val="18"/>
        </w:rPr>
        <w:t> </w:t>
      </w:r>
      <w:r w:rsidRPr="006070EA">
        <w:rPr>
          <w:rFonts w:asciiTheme="majorHAnsi" w:hAnsiTheme="majorHAnsi" w:cstheme="majorHAnsi"/>
          <w:sz w:val="18"/>
        </w:rPr>
        <w:t xml:space="preserve">zábor ZPF. Umístění zastavitelných ploch vychází z limitů využití území a dalších determinujících prvků, které jsou v řešeném území identifikovány. </w:t>
      </w:r>
      <w:r w:rsidR="00F7361F" w:rsidRPr="006070EA">
        <w:rPr>
          <w:rFonts w:asciiTheme="majorHAnsi" w:hAnsiTheme="majorHAnsi" w:cstheme="majorHAnsi"/>
          <w:sz w:val="18"/>
        </w:rPr>
        <w:t>Celkovou snahou urbanistické koncepce ÚP </w:t>
      </w:r>
      <w:r w:rsidR="00C41C56" w:rsidRPr="006070EA">
        <w:rPr>
          <w:rFonts w:asciiTheme="majorHAnsi" w:hAnsiTheme="majorHAnsi" w:cstheme="majorHAnsi"/>
          <w:sz w:val="18"/>
        </w:rPr>
        <w:t>Kostomlaty nad Labem</w:t>
      </w:r>
      <w:r w:rsidR="00F7361F" w:rsidRPr="006070EA">
        <w:rPr>
          <w:rFonts w:asciiTheme="majorHAnsi" w:hAnsiTheme="majorHAnsi" w:cstheme="majorHAnsi"/>
          <w:sz w:val="18"/>
        </w:rPr>
        <w:t xml:space="preserve"> je </w:t>
      </w:r>
      <w:r w:rsidR="00C16D54" w:rsidRPr="006070EA">
        <w:rPr>
          <w:rFonts w:asciiTheme="majorHAnsi" w:hAnsiTheme="majorHAnsi" w:cstheme="majorHAnsi"/>
          <w:sz w:val="18"/>
        </w:rPr>
        <w:t>umožnění rozvoje obce v souladu s koncepcí stanovenou</w:t>
      </w:r>
      <w:r w:rsidR="009C1BBA" w:rsidRPr="006070EA">
        <w:rPr>
          <w:rFonts w:asciiTheme="majorHAnsi" w:hAnsiTheme="majorHAnsi" w:cstheme="majorHAnsi"/>
          <w:sz w:val="18"/>
        </w:rPr>
        <w:t xml:space="preserve"> platnou ÚPD obce při současné snaze o hospodárné</w:t>
      </w:r>
      <w:r w:rsidR="00C16D54" w:rsidRPr="006070EA">
        <w:rPr>
          <w:rFonts w:asciiTheme="majorHAnsi" w:hAnsiTheme="majorHAnsi" w:cstheme="majorHAnsi"/>
          <w:sz w:val="18"/>
        </w:rPr>
        <w:t xml:space="preserve"> </w:t>
      </w:r>
      <w:r w:rsidR="00F7361F" w:rsidRPr="006070EA">
        <w:rPr>
          <w:rFonts w:asciiTheme="majorHAnsi" w:hAnsiTheme="majorHAnsi" w:cstheme="majorHAnsi"/>
          <w:sz w:val="18"/>
        </w:rPr>
        <w:t>využití zastavěného území, čím</w:t>
      </w:r>
      <w:r w:rsidR="00C16D54" w:rsidRPr="006070EA">
        <w:rPr>
          <w:rFonts w:asciiTheme="majorHAnsi" w:hAnsiTheme="majorHAnsi" w:cstheme="majorHAnsi"/>
          <w:sz w:val="18"/>
        </w:rPr>
        <w:t xml:space="preserve">ž ÚP naplňuje požadavky PÚR ČR, </w:t>
      </w:r>
      <w:r w:rsidR="00F7361F" w:rsidRPr="006070EA">
        <w:rPr>
          <w:rFonts w:asciiTheme="majorHAnsi" w:hAnsiTheme="majorHAnsi" w:cstheme="majorHAnsi"/>
          <w:sz w:val="18"/>
        </w:rPr>
        <w:t xml:space="preserve">nadřazené ÚPD – ZÚR </w:t>
      </w:r>
      <w:r w:rsidR="00C41C56" w:rsidRPr="006070EA">
        <w:rPr>
          <w:rFonts w:asciiTheme="majorHAnsi" w:hAnsiTheme="majorHAnsi" w:cstheme="majorHAnsi"/>
          <w:sz w:val="18"/>
        </w:rPr>
        <w:t>S</w:t>
      </w:r>
      <w:r w:rsidR="00C16D54" w:rsidRPr="006070EA">
        <w:rPr>
          <w:rFonts w:asciiTheme="majorHAnsi" w:hAnsiTheme="majorHAnsi" w:cstheme="majorHAnsi"/>
          <w:sz w:val="18"/>
        </w:rPr>
        <w:t xml:space="preserve">K, Zadání ÚP </w:t>
      </w:r>
      <w:r w:rsidR="00C41C56" w:rsidRPr="006070EA">
        <w:rPr>
          <w:rFonts w:asciiTheme="majorHAnsi" w:hAnsiTheme="majorHAnsi" w:cstheme="majorHAnsi"/>
          <w:sz w:val="18"/>
        </w:rPr>
        <w:t>Kostomlaty nad Labem</w:t>
      </w:r>
      <w:r w:rsidR="00C16D54" w:rsidRPr="006070EA">
        <w:rPr>
          <w:rFonts w:asciiTheme="majorHAnsi" w:hAnsiTheme="majorHAnsi" w:cstheme="majorHAnsi"/>
          <w:sz w:val="18"/>
        </w:rPr>
        <w:t>, stejně jako cíle a úkoly</w:t>
      </w:r>
      <w:r w:rsidR="009C1BBA" w:rsidRPr="006070EA">
        <w:rPr>
          <w:rFonts w:asciiTheme="majorHAnsi" w:hAnsiTheme="majorHAnsi" w:cstheme="majorHAnsi"/>
          <w:sz w:val="18"/>
        </w:rPr>
        <w:t xml:space="preserve"> územního plánování</w:t>
      </w:r>
      <w:r w:rsidR="00C16D54" w:rsidRPr="006070EA">
        <w:rPr>
          <w:rFonts w:asciiTheme="majorHAnsi" w:hAnsiTheme="majorHAnsi" w:cstheme="majorHAnsi"/>
          <w:sz w:val="18"/>
        </w:rPr>
        <w:t>, definované stavebním zákonem</w:t>
      </w:r>
      <w:r w:rsidR="00F7361F" w:rsidRPr="006070EA">
        <w:rPr>
          <w:rFonts w:asciiTheme="majorHAnsi" w:hAnsiTheme="majorHAnsi" w:cstheme="majorHAnsi"/>
          <w:sz w:val="18"/>
        </w:rPr>
        <w:t xml:space="preserve">. </w:t>
      </w:r>
    </w:p>
    <w:p w14:paraId="01D9890E" w14:textId="664221D0" w:rsidR="00AB1F4C" w:rsidRPr="006070EA" w:rsidRDefault="00AB1F4C" w:rsidP="00C41C56">
      <w:pPr>
        <w:pStyle w:val="Atext"/>
        <w:rPr>
          <w:rFonts w:asciiTheme="majorHAnsi" w:hAnsiTheme="majorHAnsi" w:cstheme="majorHAnsi"/>
        </w:rPr>
      </w:pPr>
      <w:r w:rsidRPr="006070EA">
        <w:rPr>
          <w:rFonts w:asciiTheme="majorHAnsi" w:hAnsiTheme="majorHAnsi" w:cstheme="majorHAnsi"/>
        </w:rPr>
        <w:t xml:space="preserve">Vymezením zastavitelných ploch s převládající funkcí bydlení reaguje Územní plán </w:t>
      </w:r>
      <w:r w:rsidR="00C41C56" w:rsidRPr="006070EA">
        <w:rPr>
          <w:rFonts w:asciiTheme="majorHAnsi" w:hAnsiTheme="majorHAnsi" w:cstheme="majorHAnsi"/>
        </w:rPr>
        <w:t>Kostomlaty nad Labem</w:t>
      </w:r>
      <w:r w:rsidRPr="006070EA">
        <w:rPr>
          <w:rFonts w:asciiTheme="majorHAnsi" w:hAnsiTheme="majorHAnsi" w:cstheme="majorHAnsi"/>
        </w:rPr>
        <w:t xml:space="preserve"> na dosavadní ÚPD, rozvíjí či</w:t>
      </w:r>
      <w:r w:rsidR="002B0DE6" w:rsidRPr="006070EA">
        <w:rPr>
          <w:rFonts w:asciiTheme="majorHAnsi" w:hAnsiTheme="majorHAnsi" w:cstheme="majorHAnsi"/>
        </w:rPr>
        <w:t xml:space="preserve"> koriguje stanovenou koncepci. </w:t>
      </w:r>
      <w:r w:rsidRPr="006070EA">
        <w:rPr>
          <w:rFonts w:asciiTheme="majorHAnsi" w:hAnsiTheme="majorHAnsi" w:cstheme="majorHAnsi"/>
        </w:rPr>
        <w:t xml:space="preserve">Vymezením stabilizovaných ploch a stanovením podmínek jejich využití </w:t>
      </w:r>
      <w:r w:rsidRPr="006070EA">
        <w:rPr>
          <w:rFonts w:asciiTheme="majorHAnsi" w:hAnsiTheme="majorHAnsi" w:cstheme="majorHAnsi"/>
        </w:rPr>
        <w:lastRenderedPageBreak/>
        <w:t xml:space="preserve">je definována jednoznačná priorita intenzifikace a funkční variability za účelem polyfunkčního užívání. Vymezením stabilizovaných občanského vybavení jsou vytvořeny podmínky pro jejich ochranu ve struktuře </w:t>
      </w:r>
      <w:r w:rsidR="00C41C56" w:rsidRPr="006070EA">
        <w:rPr>
          <w:rFonts w:asciiTheme="majorHAnsi" w:hAnsiTheme="majorHAnsi" w:cstheme="majorHAnsi"/>
        </w:rPr>
        <w:t xml:space="preserve">sídla </w:t>
      </w:r>
      <w:r w:rsidRPr="006070EA">
        <w:rPr>
          <w:rFonts w:asciiTheme="majorHAnsi" w:hAnsiTheme="majorHAnsi" w:cstheme="majorHAnsi"/>
        </w:rPr>
        <w:t>a</w:t>
      </w:r>
      <w:r w:rsidR="002B0DE6" w:rsidRPr="006070EA">
        <w:rPr>
          <w:rFonts w:asciiTheme="majorHAnsi" w:hAnsiTheme="majorHAnsi" w:cstheme="majorHAnsi"/>
        </w:rPr>
        <w:t> </w:t>
      </w:r>
      <w:r w:rsidR="00C41C56" w:rsidRPr="006070EA">
        <w:rPr>
          <w:rFonts w:asciiTheme="majorHAnsi" w:hAnsiTheme="majorHAnsi" w:cstheme="majorHAnsi"/>
        </w:rPr>
        <w:t xml:space="preserve">jejich </w:t>
      </w:r>
      <w:r w:rsidRPr="006070EA">
        <w:rPr>
          <w:rFonts w:asciiTheme="majorHAnsi" w:hAnsiTheme="majorHAnsi" w:cstheme="majorHAnsi"/>
        </w:rPr>
        <w:t>kvalitativní rozvoj. Za účelem rozvoje v oblasti cestovního ruchu a rekreace je v rámci podmínek ploch s rozdílným způsobem využití umožněno realizovat stavby a opatření zvyšující atraktivitu území pro turisty a rekreanty, zejména v rámci ploch občanského vybavení a</w:t>
      </w:r>
      <w:r w:rsidR="00C41C56" w:rsidRPr="006070EA">
        <w:rPr>
          <w:rFonts w:asciiTheme="majorHAnsi" w:hAnsiTheme="majorHAnsi" w:cstheme="majorHAnsi"/>
        </w:rPr>
        <w:t> </w:t>
      </w:r>
      <w:r w:rsidRPr="006070EA">
        <w:rPr>
          <w:rFonts w:asciiTheme="majorHAnsi" w:hAnsiTheme="majorHAnsi" w:cstheme="majorHAnsi"/>
        </w:rPr>
        <w:t xml:space="preserve">ploch smíšených </w:t>
      </w:r>
      <w:r w:rsidR="002F426A" w:rsidRPr="006070EA">
        <w:rPr>
          <w:rFonts w:asciiTheme="majorHAnsi" w:hAnsiTheme="majorHAnsi" w:cstheme="majorHAnsi"/>
        </w:rPr>
        <w:t>bydlení</w:t>
      </w:r>
      <w:r w:rsidRPr="006070EA">
        <w:rPr>
          <w:rFonts w:asciiTheme="majorHAnsi" w:hAnsiTheme="majorHAnsi" w:cstheme="majorHAnsi"/>
        </w:rPr>
        <w:t xml:space="preserve">. </w:t>
      </w:r>
      <w:r w:rsidR="002F426A" w:rsidRPr="006070EA">
        <w:rPr>
          <w:rFonts w:asciiTheme="majorHAnsi" w:hAnsiTheme="majorHAnsi" w:cstheme="majorHAnsi"/>
        </w:rPr>
        <w:t>Z</w:t>
      </w:r>
      <w:r w:rsidRPr="006070EA">
        <w:rPr>
          <w:rFonts w:asciiTheme="majorHAnsi" w:hAnsiTheme="majorHAnsi" w:cstheme="majorHAnsi"/>
        </w:rPr>
        <w:t>astavitelné plochy jsou vymezovány s cílem minimálních nároků na veřejné rozpočty</w:t>
      </w:r>
      <w:r w:rsidR="00C41C56" w:rsidRPr="006070EA">
        <w:rPr>
          <w:rFonts w:asciiTheme="majorHAnsi" w:hAnsiTheme="majorHAnsi" w:cstheme="majorHAnsi"/>
        </w:rPr>
        <w:t>.</w:t>
      </w:r>
    </w:p>
    <w:p w14:paraId="28D74F69" w14:textId="55CD5FFC" w:rsidR="008E4E06" w:rsidRPr="006070EA" w:rsidRDefault="00AB1F4C" w:rsidP="008E4E06">
      <w:pPr>
        <w:pStyle w:val="Atext"/>
        <w:rPr>
          <w:rFonts w:asciiTheme="majorHAnsi" w:hAnsiTheme="majorHAnsi" w:cstheme="majorHAnsi"/>
        </w:rPr>
      </w:pPr>
      <w:r w:rsidRPr="006070EA">
        <w:rPr>
          <w:rFonts w:asciiTheme="majorHAnsi" w:hAnsiTheme="majorHAnsi" w:cstheme="majorHAnsi"/>
        </w:rPr>
        <w:t xml:space="preserve">ÚP </w:t>
      </w:r>
      <w:r w:rsidR="00C41C56" w:rsidRPr="006070EA">
        <w:rPr>
          <w:rFonts w:asciiTheme="majorHAnsi" w:hAnsiTheme="majorHAnsi" w:cstheme="majorHAnsi"/>
        </w:rPr>
        <w:t>Kostomlaty nad Labem</w:t>
      </w:r>
      <w:r w:rsidRPr="006070EA">
        <w:rPr>
          <w:rFonts w:asciiTheme="majorHAnsi" w:hAnsiTheme="majorHAnsi" w:cstheme="majorHAnsi"/>
        </w:rPr>
        <w:t xml:space="preserve"> respektuje stávající strukturu veřejných prostranství, tvořenou především úseky místních a účelových komunikací, návesními prostory a dílčími plochami sídelní zeleně, a doplňuje ji. Návrh ÚP </w:t>
      </w:r>
      <w:r w:rsidR="00C41C56" w:rsidRPr="006070EA">
        <w:rPr>
          <w:rFonts w:asciiTheme="majorHAnsi" w:hAnsiTheme="majorHAnsi" w:cstheme="majorHAnsi"/>
        </w:rPr>
        <w:t>Kostomlaty nad Labem</w:t>
      </w:r>
      <w:r w:rsidRPr="006070EA">
        <w:rPr>
          <w:rFonts w:asciiTheme="majorHAnsi" w:hAnsiTheme="majorHAnsi" w:cstheme="majorHAnsi"/>
        </w:rPr>
        <w:t xml:space="preserve"> podněcuje založení, resp. obnovu úseků propojovacích komunikací v sídle. </w:t>
      </w:r>
      <w:r w:rsidR="002B0DE6" w:rsidRPr="006070EA">
        <w:rPr>
          <w:rFonts w:asciiTheme="majorHAnsi" w:hAnsiTheme="majorHAnsi" w:cstheme="majorHAnsi"/>
        </w:rPr>
        <w:t xml:space="preserve">Zároveň je doplněn systém veřejně přístupné zeleně. </w:t>
      </w:r>
      <w:r w:rsidR="008E4E06" w:rsidRPr="006070EA">
        <w:rPr>
          <w:rFonts w:asciiTheme="majorHAnsi" w:hAnsiTheme="majorHAnsi" w:cstheme="majorHAnsi"/>
        </w:rPr>
        <w:t>Plochy veřejných prostranství specifikované v ustanovení § 2 odst. 1 písm. m) stavebního zákona a § 7 vyhlášky č. 501/2006 Sb., jsou v územním plánu vymezeny jako součást veřejné infrastruktury. Zachování rozsahu veřejných prostranství a jejich kvalitativní rozvoj je ve veřejném zájmu. Veřejná prostranství tvoří základní kostru sídel i volné krajiny. Intenzivní využívání veřejných prostranství je základním předpokladem kvalitního života v sídlech. Veřejná prostranství jsou odrazem kvality života v sídlech a jsou těžištěm veřejného života. Využívají je všichni lidé vyskytující se v daném území z nejrůznějších důvodů. Proto je nutné dbát na zvyšování kvality veřejných prostranství zejména pro pohyb chodců, rozvoj systému tak, aby zajišťoval a</w:t>
      </w:r>
      <w:r w:rsidR="00E96988" w:rsidRPr="006070EA">
        <w:rPr>
          <w:rFonts w:asciiTheme="majorHAnsi" w:hAnsiTheme="majorHAnsi" w:cstheme="majorHAnsi"/>
        </w:rPr>
        <w:t> </w:t>
      </w:r>
      <w:r w:rsidR="008E4E06" w:rsidRPr="006070EA">
        <w:rPr>
          <w:rFonts w:asciiTheme="majorHAnsi" w:hAnsiTheme="majorHAnsi" w:cstheme="majorHAnsi"/>
        </w:rPr>
        <w:t>zlepšoval prostupnost území.</w:t>
      </w:r>
    </w:p>
    <w:p w14:paraId="70115E23" w14:textId="77777777" w:rsidR="00451158" w:rsidRPr="006070EA" w:rsidRDefault="00451158" w:rsidP="00451158">
      <w:pPr>
        <w:pStyle w:val="Atext"/>
        <w:rPr>
          <w:rFonts w:asciiTheme="majorHAnsi" w:hAnsiTheme="majorHAnsi" w:cstheme="majorHAnsi"/>
        </w:rPr>
      </w:pPr>
      <w:r w:rsidRPr="006070EA">
        <w:rPr>
          <w:rFonts w:asciiTheme="majorHAnsi" w:hAnsiTheme="majorHAnsi" w:cstheme="majorHAnsi"/>
        </w:rPr>
        <w:t>Veřejná prostranství jsou také nositeli existujících turistických a cyklistických tras, cyklostezek a naučných stezek. Turistická infrastruktura je významným předpokladem pro rozvoj cestovního ruchu a turistiky v území, proto je nutné ji chránit a rozvíjet, zcela vyloučit jakoukoliv redukci. Stanovením zásady je zdůrazněna funkce a způsob užívání veřejných prostranství, která tvoří základní matrici území, systém prostupnosti území a dostupnosti jednotlivých pozemků.</w:t>
      </w:r>
    </w:p>
    <w:p w14:paraId="2C060565" w14:textId="5F09BDCE" w:rsidR="00451158" w:rsidRPr="006070EA" w:rsidRDefault="00451158" w:rsidP="008E4E06">
      <w:pPr>
        <w:pStyle w:val="Atext"/>
        <w:rPr>
          <w:rFonts w:asciiTheme="majorHAnsi" w:hAnsiTheme="majorHAnsi" w:cstheme="majorHAnsi"/>
        </w:rPr>
      </w:pPr>
      <w:r w:rsidRPr="006070EA">
        <w:rPr>
          <w:rFonts w:asciiTheme="majorHAnsi" w:hAnsiTheme="majorHAnsi" w:cstheme="majorHAnsi"/>
        </w:rPr>
        <w:t>Sportovní a rekreační areály jsou nezbytnou funkční složkou obce a součástí občanského vybavení. Proto je nutné je chránit a rozvíjet tyto areály zejména pro každodenní rekreaci obyvatel, sportovní vyžití a zajištění atraktivity města pro bydlení. Ochrana a rozvoj rekreační funkce je stanovena z důvodu zachování a rozvoje veřejných forem rekreace a s ohledem na zajištění základní rekreační infrastruktury, která je nezbytným předpokladem pro posílení ekonomického pilíře města v souvislosti s</w:t>
      </w:r>
      <w:r w:rsidR="00E96988" w:rsidRPr="006070EA">
        <w:rPr>
          <w:rFonts w:asciiTheme="majorHAnsi" w:hAnsiTheme="majorHAnsi" w:cstheme="majorHAnsi"/>
        </w:rPr>
        <w:t> </w:t>
      </w:r>
      <w:r w:rsidRPr="006070EA">
        <w:rPr>
          <w:rFonts w:asciiTheme="majorHAnsi" w:hAnsiTheme="majorHAnsi" w:cstheme="majorHAnsi"/>
        </w:rPr>
        <w:t>cestovním ruchem.</w:t>
      </w:r>
    </w:p>
    <w:p w14:paraId="19181042" w14:textId="77777777" w:rsidR="008E4E06" w:rsidRPr="006070EA" w:rsidRDefault="008E4E06" w:rsidP="008E4E06">
      <w:pPr>
        <w:pStyle w:val="Atext"/>
        <w:rPr>
          <w:rFonts w:asciiTheme="majorHAnsi" w:hAnsiTheme="majorHAnsi" w:cstheme="majorHAnsi"/>
        </w:rPr>
      </w:pPr>
      <w:r w:rsidRPr="006070EA">
        <w:rPr>
          <w:rFonts w:asciiTheme="majorHAnsi" w:hAnsiTheme="majorHAnsi" w:cstheme="majorHAnsi"/>
        </w:rPr>
        <w:t>Ve volné krajině nejsou vymezovány žádné samostatné obytné komplexy nebo soubory, které zpravidla utvářejí nepřístupné obytné celky sociálně a prostorově izolované od ostatní zástavby a obyvatel města. Podobně nežádoucí je srůstání sídel z důvodu ztráty identity jednotlivých sídel, rozmělňování struktury zástavby a oslabování stávajících lokálních center. Rozvoj ve vazbě na stávající dopravní a technickou infrastrukturu je zdůvodněn efektivním využitím stávajících inženýrských sítí a pozemních komunikací s nižšími nároky na veřejný rozpočet města.</w:t>
      </w:r>
    </w:p>
    <w:p w14:paraId="5E0708D9" w14:textId="3779BBE5" w:rsidR="008E4E06" w:rsidRPr="006070EA" w:rsidRDefault="008E4E06" w:rsidP="008E4E06">
      <w:pPr>
        <w:pStyle w:val="Atext"/>
        <w:rPr>
          <w:rFonts w:asciiTheme="majorHAnsi" w:hAnsiTheme="majorHAnsi" w:cstheme="majorHAnsi"/>
        </w:rPr>
      </w:pPr>
      <w:r w:rsidRPr="006070EA">
        <w:rPr>
          <w:rFonts w:asciiTheme="majorHAnsi" w:hAnsiTheme="majorHAnsi" w:cstheme="majorHAnsi"/>
        </w:rPr>
        <w:t xml:space="preserve">Princip zachování oddělenosti sídel je dán mimo jiné požadavky nadřazené územně plánovací dokumentace, zejména ve vazbě na prioritu (34): </w:t>
      </w:r>
      <w:r w:rsidRPr="006070EA">
        <w:rPr>
          <w:rFonts w:asciiTheme="majorHAnsi" w:hAnsiTheme="majorHAnsi" w:cstheme="majorHAnsi"/>
          <w:i/>
          <w:iCs w:val="0"/>
        </w:rPr>
        <w:t>Podporovat polycentrický rozvoj sídelní soustavy, pro kraj typické kooperativní vztahy mezi jednotlivými sídly a racionální střediskové uspořádání sídelní soustavy, současně respektovat a kultivovat specifickou tvářnost každého sídla včetně zřetele k zachování prostorové oddělenosti sídel s ohledem na zajištění přístupnosti a prostupnosti krajiny. Vytvářet předpoklady pro posílení partnerství mezi urbánními a venkovskými oblastmi.</w:t>
      </w:r>
    </w:p>
    <w:p w14:paraId="01A99802" w14:textId="77777777" w:rsidR="008E4E06" w:rsidRPr="006070EA" w:rsidRDefault="008E4E06" w:rsidP="008E4E06">
      <w:pPr>
        <w:pStyle w:val="Atext"/>
        <w:rPr>
          <w:rFonts w:asciiTheme="majorHAnsi" w:hAnsiTheme="majorHAnsi" w:cstheme="majorHAnsi"/>
        </w:rPr>
      </w:pPr>
      <w:r w:rsidRPr="006070EA">
        <w:rPr>
          <w:rFonts w:asciiTheme="majorHAnsi" w:hAnsiTheme="majorHAnsi" w:cstheme="majorHAnsi"/>
        </w:rPr>
        <w:t>Plochy občanského vybavení specifikované v § 2 odst. 1 písm. m) stavebního zákona a § 6 vyhlášky č. 501/2006 Sb., jsou v územním plánu vymezeny jako součást veřejné infrastruktury. Existence a rozvoj občanského vybavení je ve veřejném zájmu, proto je nezbytné důkladně posuzovat jakékoliv požadavky na změny v daných plochách. Pro zajištění dobré dostupnosti občanského vybavení a jeho spolupůsobení na upevňování komunit a sociální soudržnosti obyvatel je nutné přednostně umisťovat občanské vybavení ve vymezených, urbanisticky vhodně umístěných plochách.</w:t>
      </w:r>
    </w:p>
    <w:p w14:paraId="62394354" w14:textId="77777777" w:rsidR="008E4E06" w:rsidRPr="006070EA" w:rsidRDefault="008E4E06" w:rsidP="008E4E06">
      <w:pPr>
        <w:pStyle w:val="Atext"/>
        <w:rPr>
          <w:rFonts w:asciiTheme="majorHAnsi" w:hAnsiTheme="majorHAnsi" w:cstheme="majorHAnsi"/>
        </w:rPr>
      </w:pPr>
      <w:r w:rsidRPr="006070EA">
        <w:rPr>
          <w:rFonts w:asciiTheme="majorHAnsi" w:hAnsiTheme="majorHAnsi" w:cstheme="majorHAnsi"/>
        </w:rPr>
        <w:t xml:space="preserve">Vymezením ploch občanského vybavení jsou chráněna významná zařízení a areály, jejichž umístění v urbanistické struktuře je optimální. Přesto je ale nutné podpořit také další rozvoj občanského vybavení v jiných plochách, kde je jeho potřebnost nejvyšší – v plochách bydlení a plochách smíšených obytných, a to především v rámci centrálních území sídel, která představují základní matrici veřejného prostoru města a jeho dílčí urbanistická těžiště. </w:t>
      </w:r>
    </w:p>
    <w:p w14:paraId="68827F84" w14:textId="5F5428E3" w:rsidR="008E4E06" w:rsidRPr="006070EA" w:rsidRDefault="008E4E06" w:rsidP="008E4E06">
      <w:pPr>
        <w:pStyle w:val="Atext"/>
        <w:rPr>
          <w:rFonts w:asciiTheme="majorHAnsi" w:hAnsiTheme="majorHAnsi" w:cstheme="majorHAnsi"/>
        </w:rPr>
      </w:pPr>
      <w:r w:rsidRPr="006070EA">
        <w:rPr>
          <w:rFonts w:asciiTheme="majorHAnsi" w:hAnsiTheme="majorHAnsi" w:cstheme="majorHAnsi"/>
        </w:rPr>
        <w:t>Lokalizace, rozsah a význam staveb a zařízení občanského vybavení mají významný vliv na kvalitu bydlení a</w:t>
      </w:r>
      <w:r w:rsidR="00A46AD3" w:rsidRPr="006070EA">
        <w:rPr>
          <w:rFonts w:asciiTheme="majorHAnsi" w:hAnsiTheme="majorHAnsi" w:cstheme="majorHAnsi"/>
        </w:rPr>
        <w:t> </w:t>
      </w:r>
      <w:r w:rsidRPr="006070EA">
        <w:rPr>
          <w:rFonts w:asciiTheme="majorHAnsi" w:hAnsiTheme="majorHAnsi" w:cstheme="majorHAnsi"/>
        </w:rPr>
        <w:t>dosažitelnost těchto služeb pro obyvatele, z pohledu rekreace a cestovního ruchu je občanská vybavenost klíčová pro míru atraktivity území, návštěvnost území a délku pobytu návštěvníků.</w:t>
      </w:r>
    </w:p>
    <w:p w14:paraId="7E00668E" w14:textId="77777777" w:rsidR="00A46AD3" w:rsidRPr="006070EA" w:rsidRDefault="00A46AD3" w:rsidP="00A46AD3">
      <w:pPr>
        <w:pStyle w:val="Atext"/>
        <w:rPr>
          <w:rFonts w:asciiTheme="majorHAnsi" w:hAnsiTheme="majorHAnsi" w:cstheme="majorHAnsi"/>
        </w:rPr>
      </w:pPr>
      <w:r w:rsidRPr="006070EA">
        <w:rPr>
          <w:rFonts w:asciiTheme="majorHAnsi" w:hAnsiTheme="majorHAnsi" w:cstheme="majorHAnsi"/>
        </w:rPr>
        <w:t>Územní plán v rámci podmínek využití jednotlivých ploch s rozdílným způsobem využití, zejména ploch smíšených obytných, umožňuje prolínání funkcí, které se vzájemně negativně neovlivňují. Důvodem je zejména rozvoj typické funkční diverzity venkovských sídel a vytvoření podmínek pro rozvoj základního občanského vybavení z důvodu zajištění jeho dostupnosti z obytných území menších sídel.</w:t>
      </w:r>
    </w:p>
    <w:p w14:paraId="78645AF4" w14:textId="133F2ED0" w:rsidR="005F4B67" w:rsidRPr="006070EA" w:rsidRDefault="005F4B67" w:rsidP="005F4B67">
      <w:pPr>
        <w:keepNext/>
        <w:spacing w:before="120" w:after="120" w:line="240" w:lineRule="auto"/>
        <w:rPr>
          <w:rFonts w:asciiTheme="majorHAnsi" w:hAnsiTheme="majorHAnsi" w:cstheme="majorHAnsi"/>
          <w:b/>
          <w:sz w:val="18"/>
          <w:szCs w:val="20"/>
        </w:rPr>
      </w:pPr>
      <w:r w:rsidRPr="006070EA">
        <w:rPr>
          <w:rFonts w:asciiTheme="majorHAnsi" w:hAnsiTheme="majorHAnsi" w:cstheme="majorHAnsi"/>
          <w:b/>
          <w:sz w:val="18"/>
          <w:szCs w:val="20"/>
        </w:rPr>
        <w:t>Odůvodnění stanovené urbanistické kompozice</w:t>
      </w:r>
    </w:p>
    <w:p w14:paraId="3D0231FC" w14:textId="0DA57971" w:rsidR="005F4B67" w:rsidRPr="006070EA" w:rsidRDefault="005F4B67" w:rsidP="005F4B67">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 xml:space="preserve">(8) </w:t>
      </w:r>
      <w:r w:rsidRPr="006070EA">
        <w:rPr>
          <w:rFonts w:asciiTheme="majorHAnsi" w:hAnsiTheme="majorHAnsi" w:cstheme="majorHAnsi"/>
          <w:i/>
          <w:snapToGrid w:val="0"/>
          <w:u w:val="single"/>
        </w:rPr>
        <w:t>výrokové části</w:t>
      </w:r>
    </w:p>
    <w:p w14:paraId="224F231A" w14:textId="01925A3E" w:rsidR="00A46AD3" w:rsidRPr="006070EA" w:rsidRDefault="00A46AD3" w:rsidP="00A46AD3">
      <w:pPr>
        <w:pStyle w:val="Atext"/>
        <w:rPr>
          <w:rFonts w:asciiTheme="majorHAnsi" w:hAnsiTheme="majorHAnsi" w:cstheme="majorHAnsi"/>
          <w:i/>
          <w:iCs w:val="0"/>
          <w:szCs w:val="18"/>
        </w:rPr>
      </w:pPr>
      <w:r w:rsidRPr="006070EA">
        <w:rPr>
          <w:rFonts w:asciiTheme="majorHAnsi" w:hAnsiTheme="majorHAnsi" w:cstheme="majorHAnsi"/>
          <w:i/>
          <w:iCs w:val="0"/>
          <w:szCs w:val="18"/>
        </w:rPr>
        <w:t>Urbanistická kompozice je cílevědomá skladba vybraných prostorů, částí urbánních a krajinných prvků za účelem vytváření a ochrany jejich vzájemných harmonických vztahů, například pohledových horizontů, panoramatu, urbanistických a pohledových os, průhledů, dominant, přiměřeného měřítka a proporcí.</w:t>
      </w:r>
    </w:p>
    <w:p w14:paraId="5102558A" w14:textId="77777777" w:rsidR="00A46AD3" w:rsidRPr="006070EA" w:rsidRDefault="00A46AD3" w:rsidP="00A46AD3">
      <w:pPr>
        <w:pStyle w:val="Atext"/>
        <w:rPr>
          <w:rFonts w:asciiTheme="majorHAnsi" w:hAnsiTheme="majorHAnsi" w:cstheme="majorHAnsi"/>
          <w:i/>
          <w:iCs w:val="0"/>
          <w:szCs w:val="18"/>
        </w:rPr>
      </w:pPr>
      <w:r w:rsidRPr="006070EA">
        <w:rPr>
          <w:rFonts w:asciiTheme="majorHAnsi" w:hAnsiTheme="majorHAnsi" w:cstheme="majorHAnsi"/>
          <w:i/>
          <w:iCs w:val="0"/>
          <w:szCs w:val="18"/>
        </w:rPr>
        <w:lastRenderedPageBreak/>
        <w:t>Cílem urbanistické kompozice je estetické utváření a kompoziční uspořádání prostorů, ploch, přírodních a stavebních prvků do komponovaných souborů a celků s kvalitním a charakterově pestrým prostředím. Urbanistická kompozice má rozhodující vliv na vizuální vnímání prostředí člověkem a na jeho chování, na celkový obraz krajiny, sídel a jejich částí. Urbanistická kompozice řeší rozvoj území s ohledem na jeho hodnoty a podmínky.</w:t>
      </w:r>
    </w:p>
    <w:p w14:paraId="619878B4" w14:textId="77777777" w:rsidR="00A46AD3" w:rsidRPr="006070EA" w:rsidRDefault="00A46AD3" w:rsidP="00A46AD3">
      <w:pPr>
        <w:pStyle w:val="Atext"/>
        <w:rPr>
          <w:rFonts w:asciiTheme="majorHAnsi" w:hAnsiTheme="majorHAnsi" w:cstheme="majorHAnsi"/>
          <w:i/>
          <w:iCs w:val="0"/>
          <w:szCs w:val="18"/>
        </w:rPr>
      </w:pPr>
      <w:r w:rsidRPr="006070EA">
        <w:rPr>
          <w:rFonts w:asciiTheme="majorHAnsi" w:hAnsiTheme="majorHAnsi" w:cstheme="majorHAnsi"/>
          <w:i/>
          <w:iCs w:val="0"/>
          <w:szCs w:val="18"/>
        </w:rPr>
        <w:t>Urbanistická kompozice je tedy součástí celkové koncepce a dbá na vzhled území, tj. na estetické uspořádání hmotných prvků, kterými je území tvořeno. Toto uspořádání působí na vnímání prostředí, posiluje orientaci v sídle a jeho okolí, ovlivňuje přívětivost místa, jeho přitažlivost, atraktivnost, příjemnost, uměřenost, harmonii.</w:t>
      </w:r>
    </w:p>
    <w:p w14:paraId="315B8EF9" w14:textId="77777777" w:rsidR="00A46AD3" w:rsidRPr="006070EA" w:rsidRDefault="00A46AD3" w:rsidP="00A46AD3">
      <w:pPr>
        <w:pStyle w:val="Atext"/>
        <w:rPr>
          <w:rFonts w:asciiTheme="majorHAnsi" w:hAnsiTheme="majorHAnsi" w:cstheme="majorHAnsi"/>
          <w:szCs w:val="18"/>
        </w:rPr>
      </w:pPr>
      <w:r w:rsidRPr="006070EA">
        <w:rPr>
          <w:rFonts w:asciiTheme="majorHAnsi" w:hAnsiTheme="majorHAnsi" w:cstheme="majorHAnsi"/>
          <w:szCs w:val="18"/>
        </w:rPr>
        <w:t>(převzato z Principy a zásady urbanistické kompozice v příkladech, MMR, verze 2019)</w:t>
      </w:r>
    </w:p>
    <w:p w14:paraId="2088AA6B" w14:textId="25C7EE47" w:rsidR="00A46AD3" w:rsidRPr="006070EA" w:rsidRDefault="00A46AD3" w:rsidP="00A46AD3">
      <w:pPr>
        <w:pStyle w:val="Atext"/>
        <w:rPr>
          <w:rFonts w:asciiTheme="majorHAnsi" w:hAnsiTheme="majorHAnsi" w:cstheme="majorHAnsi"/>
          <w:szCs w:val="18"/>
        </w:rPr>
      </w:pPr>
      <w:r w:rsidRPr="006070EA">
        <w:rPr>
          <w:rFonts w:asciiTheme="majorHAnsi" w:hAnsiTheme="majorHAnsi" w:cstheme="majorHAnsi"/>
          <w:szCs w:val="18"/>
        </w:rPr>
        <w:t>Urbanistická kompozice se uplatňuje v řešení územního plánu stanovením podmínek prostorového uspořádání, které jsou specifikovány v souladu s novelou stavebního zákona a dle požadavku přílohy č. 7 vyhlášky č. 501/2006 Sb. (stanovení podmínek prostorového uspořádání, včetně základních podmínek ochrany krajinného rázu (například výškové regulace zástavby, charakteru a struktury zástavby, stanovení rozmezí výměry pro vymezování stavebních pozemků a intenzity jejich využití).</w:t>
      </w:r>
    </w:p>
    <w:p w14:paraId="35FE9B0C" w14:textId="2BC25CCB" w:rsidR="00A46AD3" w:rsidRPr="006070EA" w:rsidRDefault="00A46AD3" w:rsidP="00A46AD3">
      <w:pPr>
        <w:pStyle w:val="Atext"/>
        <w:rPr>
          <w:rFonts w:asciiTheme="majorHAnsi" w:hAnsiTheme="majorHAnsi" w:cstheme="majorHAnsi"/>
          <w:szCs w:val="18"/>
        </w:rPr>
      </w:pPr>
      <w:r w:rsidRPr="006070EA">
        <w:rPr>
          <w:rFonts w:asciiTheme="majorHAnsi" w:hAnsiTheme="majorHAnsi" w:cstheme="majorHAnsi"/>
          <w:szCs w:val="18"/>
        </w:rPr>
        <w:t xml:space="preserve">Z hlediska stanovení urbanistické kompozice je podstatná specifikace charakteru a struktury zástavby a stanovení dalších prostorových parametrů – maximální výška zástavby </w:t>
      </w:r>
      <w:r w:rsidR="00BB72C6" w:rsidRPr="006070EA">
        <w:rPr>
          <w:rFonts w:asciiTheme="majorHAnsi" w:hAnsiTheme="majorHAnsi" w:cstheme="majorHAnsi"/>
          <w:szCs w:val="18"/>
        </w:rPr>
        <w:t>koeficienty maximálního zastavění pozemku a minimálního podílu zeleně na pozemku, rozmezí výměry pro vymezování stavebního pozemku a maximální velikosti zastavěné plochy stavby</w:t>
      </w:r>
      <w:r w:rsidRPr="006070EA">
        <w:rPr>
          <w:rFonts w:asciiTheme="majorHAnsi" w:hAnsiTheme="majorHAnsi" w:cstheme="majorHAnsi"/>
          <w:szCs w:val="18"/>
        </w:rPr>
        <w:t xml:space="preserve">. Kompozici utváří také veřejná prostranství v zástavbě, proto jsou jako kompoziční prvky identifikovány rovněž směry zajištění prostupnosti veřejným prostranstvím. </w:t>
      </w:r>
    </w:p>
    <w:p w14:paraId="0D679B2E" w14:textId="50C77D70" w:rsidR="00BD6542" w:rsidRPr="006070EA" w:rsidRDefault="00BD6542" w:rsidP="00BD6542">
      <w:pPr>
        <w:pStyle w:val="Atext"/>
        <w:rPr>
          <w:rFonts w:asciiTheme="majorHAnsi" w:hAnsiTheme="majorHAnsi" w:cstheme="majorHAnsi"/>
          <w:szCs w:val="18"/>
        </w:rPr>
      </w:pPr>
      <w:r w:rsidRPr="006070EA">
        <w:rPr>
          <w:rFonts w:asciiTheme="majorHAnsi" w:hAnsiTheme="majorHAnsi" w:cstheme="majorHAnsi"/>
          <w:szCs w:val="18"/>
        </w:rPr>
        <w:t>Ve volné krajině, resp. v nezastavěném území je umisťování staveb omezeno na jednotlivé, solitérní stavby zajišťující hospodaření nebo jiné aktivity v krajině a stavby zvyšující využitelnost vybraných ploch. Mimo zastavěné území a</w:t>
      </w:r>
      <w:r w:rsidR="00BE35FE" w:rsidRPr="006070EA">
        <w:rPr>
          <w:rFonts w:asciiTheme="majorHAnsi" w:hAnsiTheme="majorHAnsi" w:cstheme="majorHAnsi"/>
          <w:szCs w:val="18"/>
        </w:rPr>
        <w:t> </w:t>
      </w:r>
      <w:r w:rsidRPr="006070EA">
        <w:rPr>
          <w:rFonts w:asciiTheme="majorHAnsi" w:hAnsiTheme="majorHAnsi" w:cstheme="majorHAnsi"/>
          <w:szCs w:val="18"/>
        </w:rPr>
        <w:t xml:space="preserve">zastavitelné plochy tedy nejsou stanoveny prostorové struktury zástavby; kompozice je omezena na stanovení maximální výšky staveb dle způsobu využití jednotlivých ploch a stanovení maximální velikosti zastavěné plochy objektu. Ve volné krajině není urbanistická kompozice jinak utvářena. </w:t>
      </w:r>
    </w:p>
    <w:p w14:paraId="00E08141" w14:textId="10241040" w:rsidR="00BD6542" w:rsidRPr="006070EA" w:rsidRDefault="00BD6542" w:rsidP="00BE35FE">
      <w:pPr>
        <w:spacing w:before="60" w:after="60" w:line="240" w:lineRule="auto"/>
        <w:ind w:firstLine="709"/>
        <w:jc w:val="both"/>
        <w:rPr>
          <w:rFonts w:asciiTheme="majorHAnsi" w:hAnsiTheme="majorHAnsi" w:cstheme="majorHAnsi"/>
          <w:color w:val="FF0000"/>
          <w:sz w:val="18"/>
          <w:szCs w:val="18"/>
        </w:rPr>
      </w:pPr>
      <w:r w:rsidRPr="006070EA">
        <w:rPr>
          <w:rFonts w:asciiTheme="majorHAnsi" w:hAnsiTheme="majorHAnsi" w:cstheme="majorHAnsi"/>
          <w:sz w:val="18"/>
          <w:szCs w:val="18"/>
        </w:rPr>
        <w:t>Stanovení prostorové struktury zástavby je základním prvkem urbanistické kompozice, proto je v řešení ÚP obsažen také přesnější popis jednotlivých typů prostorové struktury zástavby a stanoveny konkrétní podmínky. Stanovení jednotlivých typů prostorové struktury zástavby je uvedeno níže.</w:t>
      </w:r>
    </w:p>
    <w:p w14:paraId="5A6EA8AB" w14:textId="6B06ACC8" w:rsidR="00BB72C6" w:rsidRPr="006070EA" w:rsidRDefault="00BB72C6" w:rsidP="00A46AD3">
      <w:pPr>
        <w:pStyle w:val="Atext"/>
        <w:rPr>
          <w:rFonts w:asciiTheme="majorHAnsi" w:hAnsiTheme="majorHAnsi" w:cstheme="majorHAnsi"/>
          <w:szCs w:val="18"/>
        </w:rPr>
      </w:pPr>
      <w:r w:rsidRPr="006070EA">
        <w:rPr>
          <w:rFonts w:asciiTheme="majorHAnsi" w:hAnsiTheme="majorHAnsi" w:cstheme="majorHAnsi"/>
          <w:szCs w:val="18"/>
        </w:rPr>
        <w:t>Územní plán vymezuje v řešeném území následující charaktery a struktury zástavby, které definuje v rámci výkladu pojmů v kapitole 6 výrokové části ÚP (Podmínky využití jednotlivých ploch s rozdílným způsobem využití)</w:t>
      </w:r>
      <w:r w:rsidR="00BD6542" w:rsidRPr="006070EA">
        <w:rPr>
          <w:rFonts w:asciiTheme="majorHAnsi" w:hAnsiTheme="majorHAnsi" w:cstheme="majorHAnsi"/>
          <w:szCs w:val="18"/>
        </w:rPr>
        <w:t>, kde uplatňuje podmínky pro umisťování staveb v rámci daného charakteru a struktury zástavby</w:t>
      </w:r>
      <w:r w:rsidRPr="006070EA">
        <w:rPr>
          <w:rFonts w:asciiTheme="majorHAnsi" w:hAnsiTheme="majorHAnsi" w:cstheme="majorHAnsi"/>
          <w:szCs w:val="18"/>
        </w:rPr>
        <w:t>:</w:t>
      </w:r>
    </w:p>
    <w:p w14:paraId="68156E4C" w14:textId="0E4DD00E" w:rsidR="00BB72C6" w:rsidRPr="006070EA" w:rsidRDefault="00BB72C6" w:rsidP="00BB72C6">
      <w:pPr>
        <w:pStyle w:val="Anadpistun"/>
        <w:rPr>
          <w:rFonts w:asciiTheme="majorHAnsi" w:hAnsiTheme="majorHAnsi" w:cstheme="majorHAnsi"/>
          <w:i/>
          <w:iCs/>
        </w:rPr>
      </w:pPr>
      <w:r w:rsidRPr="006070EA">
        <w:rPr>
          <w:rFonts w:asciiTheme="majorHAnsi" w:hAnsiTheme="majorHAnsi" w:cstheme="majorHAnsi"/>
          <w:i/>
          <w:iCs/>
        </w:rPr>
        <w:t>Volná otevřená zástavba</w:t>
      </w:r>
    </w:p>
    <w:p w14:paraId="19354775" w14:textId="5929A334" w:rsidR="00BB72C6" w:rsidRPr="006070EA" w:rsidRDefault="00BB72C6" w:rsidP="00BB72C6">
      <w:pPr>
        <w:pStyle w:val="Atext"/>
        <w:rPr>
          <w:rFonts w:asciiTheme="majorHAnsi" w:hAnsiTheme="majorHAnsi" w:cstheme="majorHAnsi"/>
        </w:rPr>
      </w:pPr>
      <w:r w:rsidRPr="006070EA">
        <w:rPr>
          <w:rFonts w:asciiTheme="majorHAnsi" w:hAnsiTheme="majorHAnsi" w:cstheme="majorHAnsi"/>
        </w:rPr>
        <w:t xml:space="preserve">Volná zástavba je založena na samostatných objektech, které jsou volně přístupné ve veřejném prostranství, bez oplocení či ohraničení. K veřejnému prostranství přiléhají zpravidla jen výjimečně, obvykle však respektují orientaci do veřejného prostranství. Volná struktura nemá městotvornou funkci a z urbanistického hlediska je tedy spíše doplňková. V Kostomlatech nad Labem je volná otevřená struktura zastoupena především zástavbou bytových domů. Pro strukturu zástavby volnou otevřenou je charakteristický vysoký podíl navazující veřejné zeleně. </w:t>
      </w:r>
    </w:p>
    <w:p w14:paraId="60AEC815" w14:textId="163F852A" w:rsidR="00BB72C6" w:rsidRPr="006070EA" w:rsidRDefault="00BB72C6" w:rsidP="00BB72C6">
      <w:pPr>
        <w:pStyle w:val="Atext"/>
        <w:rPr>
          <w:rFonts w:asciiTheme="majorHAnsi" w:hAnsiTheme="majorHAnsi" w:cstheme="majorHAnsi"/>
        </w:rPr>
      </w:pPr>
      <w:r w:rsidRPr="006070EA">
        <w:rPr>
          <w:rFonts w:asciiTheme="majorHAnsi" w:hAnsiTheme="majorHAnsi" w:cstheme="majorHAnsi"/>
        </w:rPr>
        <w:t>Důvodem stanovení tohoto typu prostorové struktury zástavby je zachování prostorového uspořádání zástavby zejména ve vztahu k odlišné architektonické formě oproti ostatní (okolní) zástavbě.</w:t>
      </w:r>
    </w:p>
    <w:p w14:paraId="0CD349FA" w14:textId="3C2DB61E" w:rsidR="00BB72C6" w:rsidRPr="006070EA" w:rsidRDefault="00BB72C6" w:rsidP="00BB72C6">
      <w:pPr>
        <w:pStyle w:val="Anadpistun"/>
        <w:rPr>
          <w:rFonts w:asciiTheme="majorHAnsi" w:hAnsiTheme="majorHAnsi" w:cstheme="majorHAnsi"/>
          <w:i/>
          <w:iCs/>
        </w:rPr>
      </w:pPr>
      <w:r w:rsidRPr="006070EA">
        <w:rPr>
          <w:rFonts w:asciiTheme="majorHAnsi" w:hAnsiTheme="majorHAnsi" w:cstheme="majorHAnsi"/>
          <w:i/>
          <w:iCs/>
        </w:rPr>
        <w:t>Volná individuální zástavba</w:t>
      </w:r>
    </w:p>
    <w:p w14:paraId="20C9BAFD" w14:textId="1F3ADAD7" w:rsidR="00BB72C6" w:rsidRPr="006070EA" w:rsidRDefault="00BB72C6" w:rsidP="00BB72C6">
      <w:pPr>
        <w:pStyle w:val="Atext"/>
        <w:rPr>
          <w:rFonts w:asciiTheme="majorHAnsi" w:hAnsiTheme="majorHAnsi" w:cstheme="majorHAnsi"/>
        </w:rPr>
      </w:pPr>
      <w:r w:rsidRPr="006070EA">
        <w:rPr>
          <w:rFonts w:asciiTheme="majorHAnsi" w:hAnsiTheme="majorHAnsi" w:cstheme="majorHAnsi"/>
        </w:rPr>
        <w:t xml:space="preserve">Volná individuální struktura tvoří plošně převažující charakter zástavby </w:t>
      </w:r>
      <w:r w:rsidR="00BD6542" w:rsidRPr="006070EA">
        <w:rPr>
          <w:rFonts w:asciiTheme="majorHAnsi" w:hAnsiTheme="majorHAnsi" w:cstheme="majorHAnsi"/>
        </w:rPr>
        <w:t>sídel</w:t>
      </w:r>
      <w:r w:rsidRPr="006070EA">
        <w:rPr>
          <w:rFonts w:asciiTheme="majorHAnsi" w:hAnsiTheme="majorHAnsi" w:cstheme="majorHAnsi"/>
        </w:rPr>
        <w:t xml:space="preserve">. Této struktuře odpovídá volně vzniklá zástavba samostatných individuálních objektů (rodinné domy, bytové domy s malým počtem bytů, chaty, chalupy); zástavba volně umisťovaná v prostoru, na vlastních pozemcích, zpravidla ohraničená souvislým oplocením. </w:t>
      </w:r>
    </w:p>
    <w:p w14:paraId="7617341A" w14:textId="77777777" w:rsidR="00BB72C6" w:rsidRPr="006070EA" w:rsidRDefault="00BB72C6" w:rsidP="00BB72C6">
      <w:pPr>
        <w:pStyle w:val="Atext"/>
        <w:rPr>
          <w:rFonts w:asciiTheme="majorHAnsi" w:hAnsiTheme="majorHAnsi" w:cstheme="majorHAnsi"/>
        </w:rPr>
      </w:pPr>
      <w:r w:rsidRPr="006070EA">
        <w:rPr>
          <w:rFonts w:asciiTheme="majorHAnsi" w:hAnsiTheme="majorHAnsi" w:cstheme="majorHAnsi"/>
        </w:rPr>
        <w:t>Volná individuální zástavba navazuje v okrajových polohách na převážně kompaktní či volnou zarovnanou zástavbu. Objekty mohou buď přiléhat k veřejnému prostranství, nebo jsou umístěny na pozemku zcela volně, bez jednotného odstupu od hrany veřejného prostranství. Tento typ struktury je charakteristický zejména pro okrajové polohy obytné zástavby města, obytnou zástavbu menších sídel a pro rekreační lokality.</w:t>
      </w:r>
    </w:p>
    <w:p w14:paraId="7336D27D" w14:textId="77777777" w:rsidR="00BB72C6" w:rsidRPr="006070EA" w:rsidRDefault="00BB72C6" w:rsidP="00BB72C6">
      <w:pPr>
        <w:pStyle w:val="Atext"/>
        <w:rPr>
          <w:rFonts w:asciiTheme="majorHAnsi" w:hAnsiTheme="majorHAnsi" w:cstheme="majorHAnsi"/>
        </w:rPr>
      </w:pPr>
      <w:r w:rsidRPr="006070EA">
        <w:rPr>
          <w:rFonts w:asciiTheme="majorHAnsi" w:hAnsiTheme="majorHAnsi" w:cstheme="majorHAnsi"/>
        </w:rPr>
        <w:t>Rozvolněná zástavba tvoří nejpřirozenější typ zástavby ve vztahu ke krajinnému prostředí a je nejvhodnější strukturou pro zajištění harmonického přechodu do volné krajiny, a to zejména v okrajových částech sídel.</w:t>
      </w:r>
    </w:p>
    <w:p w14:paraId="1935E7CB" w14:textId="5EE73EED" w:rsidR="00BB72C6" w:rsidRPr="006070EA" w:rsidRDefault="00BB72C6" w:rsidP="00BB72C6">
      <w:pPr>
        <w:pStyle w:val="Anadpistun"/>
        <w:rPr>
          <w:rFonts w:asciiTheme="majorHAnsi" w:hAnsiTheme="majorHAnsi" w:cstheme="majorHAnsi"/>
          <w:i/>
          <w:iCs/>
        </w:rPr>
      </w:pPr>
      <w:r w:rsidRPr="006070EA">
        <w:rPr>
          <w:rFonts w:asciiTheme="majorHAnsi" w:hAnsiTheme="majorHAnsi" w:cstheme="majorHAnsi"/>
          <w:i/>
          <w:iCs/>
        </w:rPr>
        <w:t>Areálová zástavba</w:t>
      </w:r>
    </w:p>
    <w:p w14:paraId="440A1D41" w14:textId="02345CA0" w:rsidR="00BB72C6" w:rsidRPr="006070EA" w:rsidRDefault="00BB72C6" w:rsidP="00BB72C6">
      <w:pPr>
        <w:pStyle w:val="Atext"/>
        <w:rPr>
          <w:rFonts w:asciiTheme="majorHAnsi" w:hAnsiTheme="majorHAnsi" w:cstheme="majorHAnsi"/>
        </w:rPr>
      </w:pPr>
      <w:r w:rsidRPr="006070EA">
        <w:rPr>
          <w:rFonts w:asciiTheme="majorHAnsi" w:hAnsiTheme="majorHAnsi" w:cstheme="majorHAnsi"/>
        </w:rPr>
        <w:t xml:space="preserve">Areálovou intenzivní zástavbu tvoří obvykle rozsáhlejší zařízení tvořené skupinou objektů se specifickým prostorovým uspořádáním, často se jedná o halovou či pavilónovou zástavbu (např. výrobní </w:t>
      </w:r>
      <w:r w:rsidR="00BD6542" w:rsidRPr="006070EA">
        <w:rPr>
          <w:rFonts w:asciiTheme="majorHAnsi" w:hAnsiTheme="majorHAnsi" w:cstheme="majorHAnsi"/>
        </w:rPr>
        <w:t xml:space="preserve">a zemědělské </w:t>
      </w:r>
      <w:r w:rsidRPr="006070EA">
        <w:rPr>
          <w:rFonts w:asciiTheme="majorHAnsi" w:hAnsiTheme="majorHAnsi" w:cstheme="majorHAnsi"/>
        </w:rPr>
        <w:t>areály)</w:t>
      </w:r>
      <w:r w:rsidR="00BD6542" w:rsidRPr="006070EA">
        <w:rPr>
          <w:rFonts w:asciiTheme="majorHAnsi" w:hAnsiTheme="majorHAnsi" w:cstheme="majorHAnsi"/>
        </w:rPr>
        <w:t>, případně areály s nižším podílem zástavby (solitérní stavby v areálu – hřbitov, areály technické infrastruktury, sportovní areály)</w:t>
      </w:r>
      <w:r w:rsidRPr="006070EA">
        <w:rPr>
          <w:rFonts w:asciiTheme="majorHAnsi" w:hAnsiTheme="majorHAnsi" w:cstheme="majorHAnsi"/>
        </w:rPr>
        <w:t>. Z provozního hlediska se jedná o objekty s omezenou přístupností pro veřejnost (vzdělávací, sportovní či rekreační zařízení) nebo o uzavřené soukromé výrobní areály. Zástavba v těchto areálech je velmi různorodá, závislá na způsobu využití a</w:t>
      </w:r>
      <w:r w:rsidR="00BD6542" w:rsidRPr="006070EA">
        <w:rPr>
          <w:rFonts w:asciiTheme="majorHAnsi" w:hAnsiTheme="majorHAnsi" w:cstheme="majorHAnsi"/>
        </w:rPr>
        <w:t> </w:t>
      </w:r>
      <w:r w:rsidRPr="006070EA">
        <w:rPr>
          <w:rFonts w:asciiTheme="majorHAnsi" w:hAnsiTheme="majorHAnsi" w:cstheme="majorHAnsi"/>
        </w:rPr>
        <w:t xml:space="preserve">nezbytných technologiích, podřízená provozu areálů s rozmanitým uspořádáním, rozdílnými proporcemi a měřítkem staveb, bez typické struktury, a nelze </w:t>
      </w:r>
      <w:r w:rsidRPr="006070EA">
        <w:rPr>
          <w:rFonts w:asciiTheme="majorHAnsi" w:hAnsiTheme="majorHAnsi" w:cstheme="majorHAnsi"/>
        </w:rPr>
        <w:lastRenderedPageBreak/>
        <w:t>stanovit konkrétnější podmínky, a to ani z hlediska výšky zástavby. Areálová struktura obvykle svým rozsahem výrazně zasahuje do půdorysu zástavby.</w:t>
      </w:r>
    </w:p>
    <w:p w14:paraId="53111D87" w14:textId="77777777" w:rsidR="00BB72C6" w:rsidRPr="006070EA" w:rsidRDefault="00BB72C6" w:rsidP="00BB72C6">
      <w:pPr>
        <w:pStyle w:val="Atext"/>
        <w:rPr>
          <w:rFonts w:asciiTheme="majorHAnsi" w:hAnsiTheme="majorHAnsi" w:cstheme="majorHAnsi"/>
        </w:rPr>
      </w:pPr>
      <w:r w:rsidRPr="006070EA">
        <w:rPr>
          <w:rFonts w:asciiTheme="majorHAnsi" w:hAnsiTheme="majorHAnsi" w:cstheme="majorHAnsi"/>
        </w:rPr>
        <w:t>Důvodem stanovení tohoto typu prostorové struktury zástavby je nižší míra prostorové regulace ve vztahu k vysokým nárokům na provoz a funkčnost areálů oproti ostatním typům prostorové struktury, neboť areálová zástavba se výrazně méně uplatňuje v organismu města a nemá tak výrazný vliv na formování veřejného prostoru sídel.</w:t>
      </w:r>
    </w:p>
    <w:p w14:paraId="534FFF0B" w14:textId="56FE361F" w:rsidR="00BB72C6" w:rsidRPr="006070EA" w:rsidRDefault="00BB72C6" w:rsidP="00BB72C6">
      <w:pPr>
        <w:pStyle w:val="Anadpistun"/>
        <w:rPr>
          <w:rFonts w:asciiTheme="majorHAnsi" w:hAnsiTheme="majorHAnsi" w:cstheme="majorHAnsi"/>
          <w:i/>
          <w:iCs/>
        </w:rPr>
      </w:pPr>
      <w:r w:rsidRPr="006070EA">
        <w:rPr>
          <w:rFonts w:asciiTheme="majorHAnsi" w:hAnsiTheme="majorHAnsi" w:cstheme="majorHAnsi"/>
          <w:i/>
          <w:iCs/>
        </w:rPr>
        <w:t>Solitérní zástavba a jednotlivé solitérní objekty</w:t>
      </w:r>
    </w:p>
    <w:p w14:paraId="3EF82DA0" w14:textId="20DEA2D7" w:rsidR="00BB72C6" w:rsidRPr="006070EA" w:rsidRDefault="00BB72C6" w:rsidP="00BB72C6">
      <w:pPr>
        <w:pStyle w:val="Atext"/>
        <w:rPr>
          <w:rFonts w:asciiTheme="majorHAnsi" w:hAnsiTheme="majorHAnsi" w:cstheme="majorHAnsi"/>
        </w:rPr>
      </w:pPr>
      <w:r w:rsidRPr="006070EA">
        <w:rPr>
          <w:rFonts w:asciiTheme="majorHAnsi" w:hAnsiTheme="majorHAnsi" w:cstheme="majorHAnsi"/>
        </w:rPr>
        <w:t xml:space="preserve">Solitérní zástavba je specifickou kategorií zástavby. Je vymezena v území, kde se v podstatě žádná zástavba nepředpokládá, a pokud ano, pak jen doplňková, pro nezbytnou potřebu využití dotčeného území, avšak s minimálním rozsahem i objemem a bez narušení celkového vizuálního vnímání území i jeho prostorotvorné funkce. Solitérní stavby nenavazují na souvislou zástavbu sídel nebo rekreačních lokalit a měly by zůstat solitérem. Důvodem je zejména ochrana volné krajiny a krajinného rázu a upřednostnění rozvoje v souvisle urbanizovaném území a zastavěných částech města a sídel v řešeném území. </w:t>
      </w:r>
    </w:p>
    <w:p w14:paraId="7EB153FA" w14:textId="4B9051D0" w:rsidR="00BE35FE" w:rsidRPr="006070EA" w:rsidRDefault="00BE35FE"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17" w:name="_Toc204678194"/>
      <w:r w:rsidRPr="006070EA">
        <w:rPr>
          <w:rFonts w:asciiTheme="majorHAnsi" w:hAnsiTheme="majorHAnsi" w:cstheme="majorHAnsi"/>
          <w:b/>
        </w:rPr>
        <w:t>Odůvodnění vymezení ploch s rozdílným způsobem využití</w:t>
      </w:r>
      <w:bookmarkEnd w:id="317"/>
    </w:p>
    <w:p w14:paraId="1F5C2D2E" w14:textId="7ED7E79E" w:rsidR="00BE35FE" w:rsidRPr="006070EA" w:rsidRDefault="00BE35FE" w:rsidP="00BE35FE">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Odůvodnění odst. (9) výrokové části</w:t>
      </w:r>
    </w:p>
    <w:p w14:paraId="2E3E0DA9" w14:textId="606BF27A" w:rsidR="00BE35FE" w:rsidRPr="006070EA" w:rsidRDefault="00E96988" w:rsidP="00E96988">
      <w:pPr>
        <w:pStyle w:val="Atext"/>
        <w:rPr>
          <w:rFonts w:asciiTheme="majorHAnsi" w:eastAsia="Calibri" w:hAnsiTheme="majorHAnsi" w:cstheme="majorHAnsi"/>
          <w:szCs w:val="18"/>
        </w:rPr>
      </w:pPr>
      <w:r w:rsidRPr="006070EA">
        <w:rPr>
          <w:rFonts w:asciiTheme="majorHAnsi" w:hAnsiTheme="majorHAnsi" w:cstheme="majorHAnsi"/>
          <w:szCs w:val="18"/>
        </w:rPr>
        <w:t>V</w:t>
      </w:r>
      <w:r w:rsidR="00BE35FE" w:rsidRPr="006070EA">
        <w:rPr>
          <w:rFonts w:asciiTheme="majorHAnsi" w:eastAsia="Calibri" w:hAnsiTheme="majorHAnsi" w:cstheme="majorHAnsi"/>
          <w:szCs w:val="18"/>
        </w:rPr>
        <w:t> souladu s</w:t>
      </w:r>
      <w:r w:rsidRPr="006070EA">
        <w:rPr>
          <w:rFonts w:asciiTheme="majorHAnsi" w:eastAsia="Calibri" w:hAnsiTheme="majorHAnsi" w:cstheme="majorHAnsi"/>
          <w:szCs w:val="18"/>
        </w:rPr>
        <w:t xml:space="preserve"> Jednotným standardem ÚPD (Standard vybraných částí územního plánu, Metodický pokyn MMR, 2023), resp. podle § 21a vyhlášky č. 418/2022 Sb., kterou se mění vyhláška č. 500/2006 Sb., o územně analytických podkladech, územně plánovací dokumentaci a způsobu evidence územně plánovací činnosti, ve znění pozdějších předpisů, vyhláška č. 501/2006 Sb., o obecných požadavcích na využívání území, ve znění pozdějších předpisů, a vyhláška č. 360/2021 Sb., kterou se mění vyhláška č. 501/2006 Sb., o obecných požadavcích na využívání území, ve znění pozdějších předpisů, ve znění vyhlášky č. 164/2022 Sb., </w:t>
      </w:r>
      <w:r w:rsidRPr="006070EA">
        <w:rPr>
          <w:rFonts w:asciiTheme="majorHAnsi" w:hAnsiTheme="majorHAnsi" w:cstheme="majorHAnsi"/>
          <w:szCs w:val="18"/>
        </w:rPr>
        <w:t>jsou v řešeném území vymezeny plochy s rozdílným způsobem využití</w:t>
      </w:r>
      <w:r w:rsidRPr="006070EA">
        <w:rPr>
          <w:rFonts w:asciiTheme="majorHAnsi" w:eastAsia="Calibri" w:hAnsiTheme="majorHAnsi" w:cstheme="majorHAnsi"/>
          <w:szCs w:val="18"/>
        </w:rPr>
        <w:t>.</w:t>
      </w:r>
    </w:p>
    <w:p w14:paraId="1D9EDEF8" w14:textId="28A9A761" w:rsidR="00BE35FE" w:rsidRPr="006070EA" w:rsidRDefault="00BE35FE" w:rsidP="00BE35FE">
      <w:pPr>
        <w:pStyle w:val="Atext"/>
        <w:rPr>
          <w:rFonts w:asciiTheme="majorHAnsi" w:eastAsia="Calibri" w:hAnsiTheme="majorHAnsi" w:cstheme="majorHAnsi"/>
          <w:szCs w:val="18"/>
        </w:rPr>
      </w:pPr>
      <w:r w:rsidRPr="006070EA">
        <w:rPr>
          <w:rFonts w:asciiTheme="majorHAnsi" w:eastAsia="Calibri" w:hAnsiTheme="majorHAnsi" w:cstheme="majorHAnsi"/>
          <w:szCs w:val="18"/>
        </w:rPr>
        <w:t xml:space="preserve">Plochy s rozdílným způsobem využití beze zbytku pokrývají celé řešené území. To je metodikou územního plánu členěno na urbanizované území řešené v této kapitole (zastavěné území a zastavitelné plochy) a volnou krajinu řešenou v kapitole 11.5 (nezastavěné území a plochy změn v krajině). V rámci stanovení urbanistické koncepce se uplatňují následující typy ploch s rozdílným způsobem využití: </w:t>
      </w:r>
    </w:p>
    <w:p w14:paraId="2D0F812A" w14:textId="4AC245F0" w:rsidR="00E96988" w:rsidRPr="006070EA" w:rsidRDefault="00E96988" w:rsidP="007F78A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 xml:space="preserve">Plochy bydlení dle § 4 </w:t>
      </w:r>
      <w:r w:rsidR="007F78AE" w:rsidRPr="006070EA">
        <w:rPr>
          <w:rFonts w:asciiTheme="majorHAnsi" w:hAnsiTheme="majorHAnsi" w:cstheme="majorHAnsi"/>
          <w:b/>
          <w:sz w:val="18"/>
          <w:szCs w:val="18"/>
        </w:rPr>
        <w:t xml:space="preserve">vyhlášky č. </w:t>
      </w:r>
      <w:r w:rsidR="00B50542" w:rsidRPr="006070EA">
        <w:rPr>
          <w:rFonts w:asciiTheme="majorHAnsi" w:hAnsiTheme="majorHAnsi" w:cstheme="majorHAnsi"/>
          <w:b/>
          <w:sz w:val="18"/>
          <w:szCs w:val="18"/>
        </w:rPr>
        <w:t>501/2006</w:t>
      </w:r>
      <w:r w:rsidR="007F78AE" w:rsidRPr="006070EA">
        <w:rPr>
          <w:rFonts w:asciiTheme="majorHAnsi" w:hAnsiTheme="majorHAnsi" w:cstheme="majorHAnsi"/>
          <w:b/>
          <w:sz w:val="18"/>
          <w:szCs w:val="18"/>
        </w:rPr>
        <w:t xml:space="preserve"> Sb.</w:t>
      </w:r>
      <w:r w:rsidR="00B50542" w:rsidRPr="006070EA">
        <w:rPr>
          <w:rFonts w:asciiTheme="majorHAnsi" w:hAnsiTheme="majorHAnsi" w:cstheme="majorHAnsi"/>
          <w:b/>
          <w:sz w:val="18"/>
          <w:szCs w:val="18"/>
        </w:rPr>
        <w:t xml:space="preserve"> v aktuálním znění:</w:t>
      </w:r>
    </w:p>
    <w:p w14:paraId="3B5C4B43" w14:textId="5255FE01" w:rsidR="00BE35FE" w:rsidRPr="006070EA" w:rsidRDefault="007F78AE" w:rsidP="007F78AE">
      <w:pPr>
        <w:pStyle w:val="Odstavecseseznamem"/>
        <w:keepNext/>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b</w:t>
      </w:r>
      <w:r w:rsidR="00BE35FE" w:rsidRPr="006070EA">
        <w:rPr>
          <w:rFonts w:asciiTheme="majorHAnsi" w:hAnsiTheme="majorHAnsi" w:cstheme="majorHAnsi"/>
          <w:bCs/>
          <w:sz w:val="18"/>
          <w:szCs w:val="18"/>
        </w:rPr>
        <w:t xml:space="preserve">ydlení </w:t>
      </w:r>
      <w:r w:rsidR="00E96988" w:rsidRPr="006070EA">
        <w:rPr>
          <w:rFonts w:asciiTheme="majorHAnsi" w:hAnsiTheme="majorHAnsi" w:cstheme="majorHAnsi"/>
          <w:bCs/>
          <w:sz w:val="18"/>
          <w:szCs w:val="18"/>
        </w:rPr>
        <w:t>hromadné</w:t>
      </w:r>
      <w:r w:rsidR="00BE35FE" w:rsidRPr="006070EA">
        <w:rPr>
          <w:rFonts w:asciiTheme="majorHAnsi" w:hAnsiTheme="majorHAnsi" w:cstheme="majorHAnsi"/>
          <w:bCs/>
          <w:sz w:val="18"/>
          <w:szCs w:val="18"/>
        </w:rPr>
        <w:t xml:space="preserve"> (BH)</w:t>
      </w:r>
    </w:p>
    <w:p w14:paraId="5EC0298C" w14:textId="0FB68839" w:rsidR="00BE35FE" w:rsidRPr="006070EA" w:rsidRDefault="007F78AE" w:rsidP="007F78AE">
      <w:pPr>
        <w:pStyle w:val="Odstavecseseznamem"/>
        <w:keepNext/>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b</w:t>
      </w:r>
      <w:r w:rsidR="00BE35FE" w:rsidRPr="006070EA">
        <w:rPr>
          <w:rFonts w:asciiTheme="majorHAnsi" w:hAnsiTheme="majorHAnsi" w:cstheme="majorHAnsi"/>
          <w:bCs/>
          <w:sz w:val="18"/>
          <w:szCs w:val="18"/>
        </w:rPr>
        <w:t xml:space="preserve">ydlení </w:t>
      </w:r>
      <w:r w:rsidRPr="006070EA">
        <w:rPr>
          <w:rFonts w:asciiTheme="majorHAnsi" w:hAnsiTheme="majorHAnsi" w:cstheme="majorHAnsi"/>
          <w:bCs/>
          <w:sz w:val="18"/>
          <w:szCs w:val="18"/>
        </w:rPr>
        <w:t>individuální</w:t>
      </w:r>
      <w:r w:rsidR="00BE35FE" w:rsidRPr="006070EA">
        <w:rPr>
          <w:rFonts w:asciiTheme="majorHAnsi" w:hAnsiTheme="majorHAnsi" w:cstheme="majorHAnsi"/>
          <w:bCs/>
          <w:sz w:val="18"/>
          <w:szCs w:val="18"/>
        </w:rPr>
        <w:t xml:space="preserve"> (BI)</w:t>
      </w:r>
    </w:p>
    <w:p w14:paraId="352509F2" w14:textId="3A275247" w:rsidR="007F78AE" w:rsidRPr="006070EA" w:rsidRDefault="007F78AE" w:rsidP="007F78A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 xml:space="preserve">Plochy občanského vybavení dle § 6 vyhlášky č. </w:t>
      </w:r>
      <w:r w:rsidR="00B50542" w:rsidRPr="006070EA">
        <w:rPr>
          <w:rFonts w:asciiTheme="majorHAnsi" w:hAnsiTheme="majorHAnsi" w:cstheme="majorHAnsi"/>
          <w:b/>
          <w:sz w:val="18"/>
          <w:szCs w:val="18"/>
        </w:rPr>
        <w:t>501/2006 Sb. v aktuálním znění</w:t>
      </w:r>
    </w:p>
    <w:p w14:paraId="0D06C265" w14:textId="45C37F9E" w:rsidR="00BE35FE" w:rsidRPr="006070EA" w:rsidRDefault="007F78AE" w:rsidP="007F78AE">
      <w:pPr>
        <w:pStyle w:val="Odstavecseseznamem"/>
        <w:spacing w:after="12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o</w:t>
      </w:r>
      <w:r w:rsidR="00BE35FE" w:rsidRPr="006070EA">
        <w:rPr>
          <w:rFonts w:asciiTheme="majorHAnsi" w:hAnsiTheme="majorHAnsi" w:cstheme="majorHAnsi"/>
          <w:bCs/>
          <w:sz w:val="18"/>
          <w:szCs w:val="18"/>
        </w:rPr>
        <w:t xml:space="preserve">bčanské vybavení </w:t>
      </w:r>
      <w:r w:rsidRPr="006070EA">
        <w:rPr>
          <w:rFonts w:asciiTheme="majorHAnsi" w:hAnsiTheme="majorHAnsi" w:cstheme="majorHAnsi"/>
          <w:bCs/>
          <w:sz w:val="18"/>
          <w:szCs w:val="18"/>
        </w:rPr>
        <w:t xml:space="preserve">veřejné </w:t>
      </w:r>
      <w:r w:rsidR="00BE35FE" w:rsidRPr="006070EA">
        <w:rPr>
          <w:rFonts w:asciiTheme="majorHAnsi" w:hAnsiTheme="majorHAnsi" w:cstheme="majorHAnsi"/>
          <w:bCs/>
          <w:sz w:val="18"/>
          <w:szCs w:val="18"/>
        </w:rPr>
        <w:t>(OV)</w:t>
      </w:r>
    </w:p>
    <w:p w14:paraId="575C4AB2" w14:textId="0BFE1057" w:rsidR="00BE35F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o</w:t>
      </w:r>
      <w:r w:rsidR="00BE35FE" w:rsidRPr="006070EA">
        <w:rPr>
          <w:rFonts w:asciiTheme="majorHAnsi" w:hAnsiTheme="majorHAnsi" w:cstheme="majorHAnsi"/>
          <w:bCs/>
          <w:sz w:val="18"/>
          <w:szCs w:val="18"/>
        </w:rPr>
        <w:t xml:space="preserve">bčanské vybavení </w:t>
      </w:r>
      <w:r w:rsidR="00B50542" w:rsidRPr="006070EA">
        <w:rPr>
          <w:rFonts w:asciiTheme="majorHAnsi" w:hAnsiTheme="majorHAnsi" w:cstheme="majorHAnsi"/>
          <w:bCs/>
          <w:sz w:val="18"/>
          <w:szCs w:val="18"/>
        </w:rPr>
        <w:t>–</w:t>
      </w:r>
      <w:r w:rsidR="00BE35FE" w:rsidRPr="006070EA">
        <w:rPr>
          <w:rFonts w:asciiTheme="majorHAnsi" w:hAnsiTheme="majorHAnsi" w:cstheme="majorHAnsi"/>
          <w:bCs/>
          <w:sz w:val="18"/>
          <w:szCs w:val="18"/>
        </w:rPr>
        <w:t xml:space="preserve"> hřbitovy (OH)</w:t>
      </w:r>
    </w:p>
    <w:p w14:paraId="7A176ABA" w14:textId="7B771722" w:rsidR="00B50542" w:rsidRPr="006070EA" w:rsidRDefault="00B50542" w:rsidP="00B50542">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Plochy veřejných prostranství dle § 7 vyhlášky č. 501/2006 Sb. v aktuálním znění:</w:t>
      </w:r>
    </w:p>
    <w:p w14:paraId="05A36E6D" w14:textId="352020AC" w:rsidR="00B50542" w:rsidRPr="006070EA" w:rsidRDefault="00B50542" w:rsidP="00B50542">
      <w:pPr>
        <w:pStyle w:val="Odstavecseseznamem"/>
        <w:spacing w:after="0" w:line="240" w:lineRule="auto"/>
        <w:ind w:left="851" w:firstLine="567"/>
        <w:jc w:val="both"/>
        <w:rPr>
          <w:rFonts w:asciiTheme="majorHAnsi" w:hAnsiTheme="majorHAnsi" w:cstheme="majorHAnsi"/>
          <w:bCs/>
          <w:sz w:val="18"/>
          <w:szCs w:val="18"/>
        </w:rPr>
      </w:pPr>
      <w:r w:rsidRPr="006070EA">
        <w:rPr>
          <w:rFonts w:asciiTheme="majorHAnsi" w:hAnsiTheme="majorHAnsi" w:cstheme="majorHAnsi"/>
          <w:bCs/>
          <w:sz w:val="18"/>
          <w:szCs w:val="18"/>
        </w:rPr>
        <w:t>veřejná prostranství všeobecná (PU)</w:t>
      </w:r>
    </w:p>
    <w:p w14:paraId="2D69DCA4" w14:textId="794BF0A2" w:rsidR="007F78AE" w:rsidRPr="006070EA" w:rsidRDefault="007F78AE" w:rsidP="007F78A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Plochy zeleně dle § 7</w:t>
      </w:r>
      <w:r w:rsidR="00B50542" w:rsidRPr="006070EA">
        <w:rPr>
          <w:rFonts w:asciiTheme="majorHAnsi" w:hAnsiTheme="majorHAnsi" w:cstheme="majorHAnsi"/>
          <w:b/>
          <w:sz w:val="18"/>
          <w:szCs w:val="18"/>
        </w:rPr>
        <w:t>a</w:t>
      </w:r>
      <w:r w:rsidRPr="006070EA">
        <w:rPr>
          <w:rFonts w:asciiTheme="majorHAnsi" w:hAnsiTheme="majorHAnsi" w:cstheme="majorHAnsi"/>
          <w:b/>
          <w:sz w:val="18"/>
          <w:szCs w:val="18"/>
        </w:rPr>
        <w:t xml:space="preserve"> vyhlášky č. </w:t>
      </w:r>
      <w:r w:rsidR="00B50542" w:rsidRPr="006070EA">
        <w:rPr>
          <w:rFonts w:asciiTheme="majorHAnsi" w:hAnsiTheme="majorHAnsi" w:cstheme="majorHAnsi"/>
          <w:b/>
          <w:sz w:val="18"/>
          <w:szCs w:val="18"/>
        </w:rPr>
        <w:t>501/2006 Sb. v aktuálním znění</w:t>
      </w:r>
      <w:r w:rsidRPr="006070EA">
        <w:rPr>
          <w:rFonts w:asciiTheme="majorHAnsi" w:hAnsiTheme="majorHAnsi" w:cstheme="majorHAnsi"/>
          <w:b/>
          <w:sz w:val="18"/>
          <w:szCs w:val="18"/>
        </w:rPr>
        <w:t>:</w:t>
      </w:r>
    </w:p>
    <w:p w14:paraId="7FA233D7" w14:textId="680274A4" w:rsidR="007F78A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zeleň – parky a parkově upravené plochy (ZP)</w:t>
      </w:r>
    </w:p>
    <w:p w14:paraId="54DDCAB5" w14:textId="531B7839" w:rsidR="007F78A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zeleň krajinná (ZK)</w:t>
      </w:r>
    </w:p>
    <w:p w14:paraId="31C5578E" w14:textId="0E1A4C7A" w:rsidR="007F78AE" w:rsidRPr="006070EA" w:rsidRDefault="007F78AE" w:rsidP="007F78A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 xml:space="preserve">Plochy smíšené obytné dle § 8 vyhlášky č. </w:t>
      </w:r>
      <w:r w:rsidR="00B50542" w:rsidRPr="006070EA">
        <w:rPr>
          <w:rFonts w:asciiTheme="majorHAnsi" w:hAnsiTheme="majorHAnsi" w:cstheme="majorHAnsi"/>
          <w:b/>
          <w:sz w:val="18"/>
          <w:szCs w:val="18"/>
        </w:rPr>
        <w:t>501/2006 Sb. v aktuálním znění</w:t>
      </w:r>
      <w:r w:rsidRPr="006070EA">
        <w:rPr>
          <w:rFonts w:asciiTheme="majorHAnsi" w:hAnsiTheme="majorHAnsi" w:cstheme="majorHAnsi"/>
          <w:b/>
          <w:sz w:val="18"/>
          <w:szCs w:val="18"/>
        </w:rPr>
        <w:t>:</w:t>
      </w:r>
    </w:p>
    <w:p w14:paraId="49800B9E" w14:textId="20EB4A94" w:rsidR="00BE35F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s</w:t>
      </w:r>
      <w:r w:rsidR="00BE35FE" w:rsidRPr="006070EA">
        <w:rPr>
          <w:rFonts w:asciiTheme="majorHAnsi" w:hAnsiTheme="majorHAnsi" w:cstheme="majorHAnsi"/>
          <w:bCs/>
          <w:sz w:val="18"/>
          <w:szCs w:val="18"/>
        </w:rPr>
        <w:t>míšené obytné městské (SM)</w:t>
      </w:r>
    </w:p>
    <w:p w14:paraId="504A85A3" w14:textId="4BEE490C" w:rsidR="00BE35F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s</w:t>
      </w:r>
      <w:r w:rsidR="00BE35FE" w:rsidRPr="006070EA">
        <w:rPr>
          <w:rFonts w:asciiTheme="majorHAnsi" w:hAnsiTheme="majorHAnsi" w:cstheme="majorHAnsi"/>
          <w:bCs/>
          <w:sz w:val="18"/>
          <w:szCs w:val="18"/>
        </w:rPr>
        <w:t>míšené obytné venkovské (SV)</w:t>
      </w:r>
    </w:p>
    <w:p w14:paraId="06CD1063" w14:textId="40FFCCCE" w:rsidR="007F78AE" w:rsidRPr="006070EA" w:rsidRDefault="007F78AE" w:rsidP="007F78A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 xml:space="preserve">Plochy dopravní infrastruktury dle § 9 vyhlášky č. </w:t>
      </w:r>
      <w:r w:rsidR="00B50542" w:rsidRPr="006070EA">
        <w:rPr>
          <w:rFonts w:asciiTheme="majorHAnsi" w:hAnsiTheme="majorHAnsi" w:cstheme="majorHAnsi"/>
          <w:b/>
          <w:sz w:val="18"/>
          <w:szCs w:val="18"/>
        </w:rPr>
        <w:t>501/2006 Sb. v aktuálním znění</w:t>
      </w:r>
      <w:r w:rsidRPr="006070EA">
        <w:rPr>
          <w:rFonts w:asciiTheme="majorHAnsi" w:hAnsiTheme="majorHAnsi" w:cstheme="majorHAnsi"/>
          <w:b/>
          <w:sz w:val="18"/>
          <w:szCs w:val="18"/>
        </w:rPr>
        <w:t>:</w:t>
      </w:r>
    </w:p>
    <w:p w14:paraId="55F5A4DE" w14:textId="2EF04778" w:rsidR="00BE35F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 xml:space="preserve">doprava silniční </w:t>
      </w:r>
      <w:r w:rsidR="00BE35FE" w:rsidRPr="006070EA">
        <w:rPr>
          <w:rFonts w:asciiTheme="majorHAnsi" w:hAnsiTheme="majorHAnsi" w:cstheme="majorHAnsi"/>
          <w:bCs/>
          <w:sz w:val="18"/>
          <w:szCs w:val="18"/>
        </w:rPr>
        <w:t>(DS)</w:t>
      </w:r>
    </w:p>
    <w:p w14:paraId="4BC2ACA5" w14:textId="364C576F" w:rsidR="00BE35F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d</w:t>
      </w:r>
      <w:r w:rsidR="00BE35FE" w:rsidRPr="006070EA">
        <w:rPr>
          <w:rFonts w:asciiTheme="majorHAnsi" w:hAnsiTheme="majorHAnsi" w:cstheme="majorHAnsi"/>
          <w:bCs/>
          <w:sz w:val="18"/>
          <w:szCs w:val="18"/>
        </w:rPr>
        <w:t>oprav</w:t>
      </w:r>
      <w:r w:rsidRPr="006070EA">
        <w:rPr>
          <w:rFonts w:asciiTheme="majorHAnsi" w:hAnsiTheme="majorHAnsi" w:cstheme="majorHAnsi"/>
          <w:bCs/>
          <w:sz w:val="18"/>
          <w:szCs w:val="18"/>
        </w:rPr>
        <w:t>a</w:t>
      </w:r>
      <w:r w:rsidR="00BE35FE" w:rsidRPr="006070EA">
        <w:rPr>
          <w:rFonts w:asciiTheme="majorHAnsi" w:hAnsiTheme="majorHAnsi" w:cstheme="majorHAnsi"/>
          <w:bCs/>
          <w:sz w:val="18"/>
          <w:szCs w:val="18"/>
        </w:rPr>
        <w:t xml:space="preserve"> </w:t>
      </w:r>
      <w:r w:rsidRPr="006070EA">
        <w:rPr>
          <w:rFonts w:asciiTheme="majorHAnsi" w:hAnsiTheme="majorHAnsi" w:cstheme="majorHAnsi"/>
          <w:bCs/>
          <w:sz w:val="18"/>
          <w:szCs w:val="18"/>
        </w:rPr>
        <w:t xml:space="preserve">drážní </w:t>
      </w:r>
      <w:r w:rsidR="00BE35FE" w:rsidRPr="006070EA">
        <w:rPr>
          <w:rFonts w:asciiTheme="majorHAnsi" w:hAnsiTheme="majorHAnsi" w:cstheme="majorHAnsi"/>
          <w:bCs/>
          <w:sz w:val="18"/>
          <w:szCs w:val="18"/>
        </w:rPr>
        <w:t>(D</w:t>
      </w:r>
      <w:r w:rsidRPr="006070EA">
        <w:rPr>
          <w:rFonts w:asciiTheme="majorHAnsi" w:hAnsiTheme="majorHAnsi" w:cstheme="majorHAnsi"/>
          <w:bCs/>
          <w:sz w:val="18"/>
          <w:szCs w:val="18"/>
        </w:rPr>
        <w:t>D</w:t>
      </w:r>
      <w:r w:rsidR="00BE35FE" w:rsidRPr="006070EA">
        <w:rPr>
          <w:rFonts w:asciiTheme="majorHAnsi" w:hAnsiTheme="majorHAnsi" w:cstheme="majorHAnsi"/>
          <w:bCs/>
          <w:sz w:val="18"/>
          <w:szCs w:val="18"/>
        </w:rPr>
        <w:t>)</w:t>
      </w:r>
    </w:p>
    <w:p w14:paraId="0666012C" w14:textId="35F578F9" w:rsidR="00BE35F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d</w:t>
      </w:r>
      <w:r w:rsidR="00BE35FE" w:rsidRPr="006070EA">
        <w:rPr>
          <w:rFonts w:asciiTheme="majorHAnsi" w:hAnsiTheme="majorHAnsi" w:cstheme="majorHAnsi"/>
          <w:bCs/>
          <w:sz w:val="18"/>
          <w:szCs w:val="18"/>
        </w:rPr>
        <w:t>oprav</w:t>
      </w:r>
      <w:r w:rsidRPr="006070EA">
        <w:rPr>
          <w:rFonts w:asciiTheme="majorHAnsi" w:hAnsiTheme="majorHAnsi" w:cstheme="majorHAnsi"/>
          <w:bCs/>
          <w:sz w:val="18"/>
          <w:szCs w:val="18"/>
        </w:rPr>
        <w:t>a</w:t>
      </w:r>
      <w:r w:rsidR="00BE35FE" w:rsidRPr="006070EA">
        <w:rPr>
          <w:rFonts w:asciiTheme="majorHAnsi" w:hAnsiTheme="majorHAnsi" w:cstheme="majorHAnsi"/>
          <w:bCs/>
          <w:sz w:val="18"/>
          <w:szCs w:val="18"/>
        </w:rPr>
        <w:t xml:space="preserve"> vodní (DV)</w:t>
      </w:r>
    </w:p>
    <w:p w14:paraId="6C41194B" w14:textId="0E1F1EC6" w:rsidR="007F78AE" w:rsidRPr="006070EA" w:rsidRDefault="007F78AE" w:rsidP="007F78A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 xml:space="preserve">Plocha technické infrastruktury dle § 10 vyhlášky č. </w:t>
      </w:r>
      <w:r w:rsidR="00B50542" w:rsidRPr="006070EA">
        <w:rPr>
          <w:rFonts w:asciiTheme="majorHAnsi" w:hAnsiTheme="majorHAnsi" w:cstheme="majorHAnsi"/>
          <w:b/>
          <w:sz w:val="18"/>
          <w:szCs w:val="18"/>
        </w:rPr>
        <w:t>501/2006 Sb. v aktuálním znění</w:t>
      </w:r>
      <w:r w:rsidRPr="006070EA">
        <w:rPr>
          <w:rFonts w:asciiTheme="majorHAnsi" w:hAnsiTheme="majorHAnsi" w:cstheme="majorHAnsi"/>
          <w:b/>
          <w:sz w:val="18"/>
          <w:szCs w:val="18"/>
        </w:rPr>
        <w:t>:</w:t>
      </w:r>
    </w:p>
    <w:p w14:paraId="1247B68D" w14:textId="755C0832" w:rsidR="00BE35FE" w:rsidRPr="006070EA" w:rsidRDefault="007F78AE" w:rsidP="007F78AE">
      <w:pPr>
        <w:pStyle w:val="Odstavecseseznamem"/>
        <w:spacing w:after="0" w:line="240" w:lineRule="auto"/>
        <w:ind w:left="851" w:firstLine="567"/>
        <w:jc w:val="both"/>
        <w:rPr>
          <w:rFonts w:asciiTheme="majorHAnsi" w:hAnsiTheme="majorHAnsi" w:cstheme="majorHAnsi"/>
          <w:bCs/>
          <w:sz w:val="18"/>
          <w:szCs w:val="18"/>
        </w:rPr>
      </w:pPr>
      <w:r w:rsidRPr="006070EA">
        <w:rPr>
          <w:rFonts w:asciiTheme="majorHAnsi" w:hAnsiTheme="majorHAnsi" w:cstheme="majorHAnsi"/>
          <w:bCs/>
          <w:sz w:val="18"/>
          <w:szCs w:val="18"/>
        </w:rPr>
        <w:t>t</w:t>
      </w:r>
      <w:r w:rsidR="00BE35FE" w:rsidRPr="006070EA">
        <w:rPr>
          <w:rFonts w:asciiTheme="majorHAnsi" w:hAnsiTheme="majorHAnsi" w:cstheme="majorHAnsi"/>
          <w:bCs/>
          <w:sz w:val="18"/>
          <w:szCs w:val="18"/>
        </w:rPr>
        <w:t xml:space="preserve">echnická infrastruktura </w:t>
      </w:r>
      <w:r w:rsidRPr="006070EA">
        <w:rPr>
          <w:rFonts w:asciiTheme="majorHAnsi" w:hAnsiTheme="majorHAnsi" w:cstheme="majorHAnsi"/>
          <w:bCs/>
          <w:sz w:val="18"/>
          <w:szCs w:val="18"/>
        </w:rPr>
        <w:t>všeobecná</w:t>
      </w:r>
      <w:r w:rsidR="00BE35FE" w:rsidRPr="006070EA">
        <w:rPr>
          <w:rFonts w:asciiTheme="majorHAnsi" w:hAnsiTheme="majorHAnsi" w:cstheme="majorHAnsi"/>
          <w:bCs/>
          <w:sz w:val="18"/>
          <w:szCs w:val="18"/>
        </w:rPr>
        <w:t xml:space="preserve"> (T</w:t>
      </w:r>
      <w:r w:rsidRPr="006070EA">
        <w:rPr>
          <w:rFonts w:asciiTheme="majorHAnsi" w:hAnsiTheme="majorHAnsi" w:cstheme="majorHAnsi"/>
          <w:bCs/>
          <w:sz w:val="18"/>
          <w:szCs w:val="18"/>
        </w:rPr>
        <w:t>U</w:t>
      </w:r>
      <w:r w:rsidR="00BE35FE" w:rsidRPr="006070EA">
        <w:rPr>
          <w:rFonts w:asciiTheme="majorHAnsi" w:hAnsiTheme="majorHAnsi" w:cstheme="majorHAnsi"/>
          <w:bCs/>
          <w:sz w:val="18"/>
          <w:szCs w:val="18"/>
        </w:rPr>
        <w:t>)</w:t>
      </w:r>
    </w:p>
    <w:p w14:paraId="0766EB28" w14:textId="3474A0DC" w:rsidR="007F78AE" w:rsidRPr="006070EA" w:rsidRDefault="007F78AE" w:rsidP="007F78A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 xml:space="preserve">Plochy výroby a skladování dle § 11 vyhlášky č. </w:t>
      </w:r>
      <w:r w:rsidR="00B50542" w:rsidRPr="006070EA">
        <w:rPr>
          <w:rFonts w:asciiTheme="majorHAnsi" w:hAnsiTheme="majorHAnsi" w:cstheme="majorHAnsi"/>
          <w:b/>
          <w:sz w:val="18"/>
          <w:szCs w:val="18"/>
        </w:rPr>
        <w:t>501/2006 Sb. v aktuálním znění</w:t>
      </w:r>
      <w:r w:rsidRPr="006070EA">
        <w:rPr>
          <w:rFonts w:asciiTheme="majorHAnsi" w:hAnsiTheme="majorHAnsi" w:cstheme="majorHAnsi"/>
          <w:b/>
          <w:sz w:val="18"/>
          <w:szCs w:val="18"/>
        </w:rPr>
        <w:t>:</w:t>
      </w:r>
    </w:p>
    <w:p w14:paraId="6432F039" w14:textId="3021B32D" w:rsidR="00BE35F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v</w:t>
      </w:r>
      <w:r w:rsidR="00BE35FE" w:rsidRPr="006070EA">
        <w:rPr>
          <w:rFonts w:asciiTheme="majorHAnsi" w:hAnsiTheme="majorHAnsi" w:cstheme="majorHAnsi"/>
          <w:bCs/>
          <w:sz w:val="18"/>
          <w:szCs w:val="18"/>
        </w:rPr>
        <w:t xml:space="preserve">ýroba </w:t>
      </w:r>
      <w:r w:rsidRPr="006070EA">
        <w:rPr>
          <w:rFonts w:asciiTheme="majorHAnsi" w:hAnsiTheme="majorHAnsi" w:cstheme="majorHAnsi"/>
          <w:bCs/>
          <w:sz w:val="18"/>
          <w:szCs w:val="18"/>
        </w:rPr>
        <w:t xml:space="preserve">lehká </w:t>
      </w:r>
      <w:r w:rsidR="00BE35FE" w:rsidRPr="006070EA">
        <w:rPr>
          <w:rFonts w:asciiTheme="majorHAnsi" w:hAnsiTheme="majorHAnsi" w:cstheme="majorHAnsi"/>
          <w:bCs/>
          <w:sz w:val="18"/>
          <w:szCs w:val="18"/>
        </w:rPr>
        <w:t>(VL)</w:t>
      </w:r>
    </w:p>
    <w:p w14:paraId="1136B2F8" w14:textId="08C08DAE" w:rsidR="00BE35FE" w:rsidRPr="006070EA" w:rsidRDefault="007F78AE" w:rsidP="007F78AE">
      <w:pPr>
        <w:pStyle w:val="Odstavecseseznamem"/>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v</w:t>
      </w:r>
      <w:r w:rsidR="00BE35FE" w:rsidRPr="006070EA">
        <w:rPr>
          <w:rFonts w:asciiTheme="majorHAnsi" w:hAnsiTheme="majorHAnsi" w:cstheme="majorHAnsi"/>
          <w:bCs/>
          <w:sz w:val="18"/>
          <w:szCs w:val="18"/>
        </w:rPr>
        <w:t xml:space="preserve">ýroba zemědělská </w:t>
      </w:r>
      <w:r w:rsidRPr="006070EA">
        <w:rPr>
          <w:rFonts w:asciiTheme="majorHAnsi" w:hAnsiTheme="majorHAnsi" w:cstheme="majorHAnsi"/>
          <w:bCs/>
          <w:sz w:val="18"/>
          <w:szCs w:val="18"/>
        </w:rPr>
        <w:t xml:space="preserve">a lesnická </w:t>
      </w:r>
      <w:r w:rsidR="00BE35FE" w:rsidRPr="006070EA">
        <w:rPr>
          <w:rFonts w:asciiTheme="majorHAnsi" w:hAnsiTheme="majorHAnsi" w:cstheme="majorHAnsi"/>
          <w:bCs/>
          <w:sz w:val="18"/>
          <w:szCs w:val="18"/>
        </w:rPr>
        <w:t>(VZ)</w:t>
      </w:r>
    </w:p>
    <w:p w14:paraId="668F37CA" w14:textId="17FA0DDB" w:rsidR="00BE35FE" w:rsidRPr="006070EA" w:rsidRDefault="00BE35FE" w:rsidP="00BE35FE">
      <w:pPr>
        <w:pStyle w:val="Atext"/>
        <w:rPr>
          <w:rFonts w:asciiTheme="majorHAnsi" w:eastAsia="Calibri" w:hAnsiTheme="majorHAnsi" w:cstheme="majorHAnsi"/>
          <w:szCs w:val="18"/>
        </w:rPr>
      </w:pPr>
      <w:r w:rsidRPr="006070EA">
        <w:rPr>
          <w:rFonts w:asciiTheme="majorHAnsi" w:eastAsia="Calibri" w:hAnsiTheme="majorHAnsi" w:cstheme="majorHAnsi"/>
          <w:szCs w:val="18"/>
        </w:rPr>
        <w:t>Podrobné odůvodnění uplatněných typů ploch s rozdílným způsobem využití je uvedeno v kapitole 11.6., kde je popsáno a zdůvodněno také stanovení podmínek využití a prostorového uspořádání těchto ploch.</w:t>
      </w:r>
    </w:p>
    <w:p w14:paraId="06A53C72" w14:textId="77777777" w:rsidR="001A0DBB" w:rsidRPr="006070EA" w:rsidRDefault="001A0DBB"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18" w:name="_Toc204678195"/>
      <w:r w:rsidRPr="006070EA">
        <w:rPr>
          <w:rFonts w:asciiTheme="majorHAnsi" w:hAnsiTheme="majorHAnsi" w:cstheme="majorHAnsi"/>
          <w:b/>
        </w:rPr>
        <w:lastRenderedPageBreak/>
        <w:t>Odůvodnění vymezení zastavitelných ploch</w:t>
      </w:r>
      <w:bookmarkEnd w:id="318"/>
      <w:r w:rsidRPr="006070EA">
        <w:rPr>
          <w:rFonts w:asciiTheme="majorHAnsi" w:hAnsiTheme="majorHAnsi" w:cstheme="majorHAnsi"/>
          <w:b/>
        </w:rPr>
        <w:t xml:space="preserve"> </w:t>
      </w:r>
    </w:p>
    <w:p w14:paraId="0C0CA634" w14:textId="7D76C607" w:rsidR="00431A60" w:rsidRPr="006070EA" w:rsidRDefault="00431A60"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5272E3" w:rsidRPr="006070EA">
        <w:rPr>
          <w:rFonts w:asciiTheme="majorHAnsi" w:hAnsiTheme="majorHAnsi" w:cstheme="majorHAnsi"/>
          <w:b/>
          <w:i/>
          <w:snapToGrid w:val="0"/>
          <w:u w:val="single"/>
        </w:rPr>
        <w:t>10</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4CE4E394" w14:textId="77777777" w:rsidR="002D0BDA" w:rsidRPr="006070EA" w:rsidRDefault="002D0BDA" w:rsidP="002D0BDA">
      <w:pPr>
        <w:pStyle w:val="Atext"/>
        <w:rPr>
          <w:rFonts w:asciiTheme="majorHAnsi" w:hAnsiTheme="majorHAnsi" w:cstheme="majorHAnsi"/>
        </w:rPr>
      </w:pPr>
      <w:r w:rsidRPr="006070EA">
        <w:rPr>
          <w:rFonts w:asciiTheme="majorHAnsi" w:hAnsiTheme="majorHAnsi" w:cstheme="majorHAnsi"/>
        </w:rPr>
        <w:t xml:space="preserve">Zastavitelné plochy jsou vymezeny v souladu s § 43 odst. 1 zákona č. 183/2006 Sb. a § 3 odst. 2 písm. a) a b) vyhlášky č. 501/2006 Sb. na základě odborného zhodnocení potřebnosti změny způsobu využití nebo změny prostorového uspořádání dané plochy. </w:t>
      </w:r>
    </w:p>
    <w:p w14:paraId="03FB9097" w14:textId="2CC59BF5" w:rsidR="002D0BDA" w:rsidRPr="006070EA" w:rsidRDefault="002D0BDA" w:rsidP="002D0BDA">
      <w:pPr>
        <w:pStyle w:val="Atext"/>
        <w:rPr>
          <w:rFonts w:asciiTheme="majorHAnsi" w:hAnsiTheme="majorHAnsi" w:cstheme="majorHAnsi"/>
        </w:rPr>
      </w:pPr>
      <w:r w:rsidRPr="006070EA">
        <w:rPr>
          <w:rFonts w:asciiTheme="majorHAnsi" w:hAnsiTheme="majorHAnsi" w:cstheme="majorHAnsi"/>
        </w:rPr>
        <w:t>Jako zastavitelné plochy v souladu s § 2 odst. 1 písm. j zákona č. 183/2006 Sb. jsou vymezeny všechny plochy určené pro urbanistický rozvoj, na nichž se dosud nenacházejí stavby dle KN a nebyly zde provedeny úpravy směřující ke stavebnímu využití, a to bez ohledu na umístění vůči zastavěnému území. Jako plochy přestavby (plochy vymezené ke změně stávající zástavby, k obnově nebo opětovnému využití znehodnoceného území); v souladu s § 43 odst. 1 zákona č. 183/2006 Sb. jsou vymezeny všechny plochy určené pro urbanistický rozvoj, na nichž se nacházejí stavby dle KN nebo na nichž již byly v minulosti provedeny stavební zásahy, nebo jejichž využití nebo prostorové uspořádání bylo vyhodnoceno jako extenzivní či z urbanistického hlediska nevhodné.</w:t>
      </w:r>
    </w:p>
    <w:p w14:paraId="016BA956" w14:textId="1A19A307" w:rsidR="002D0BDA" w:rsidRPr="006070EA" w:rsidRDefault="002D0BDA" w:rsidP="00AE7B69">
      <w:pPr>
        <w:pStyle w:val="ANADPIS4"/>
        <w:rPr>
          <w:rFonts w:asciiTheme="majorHAnsi" w:hAnsiTheme="majorHAnsi" w:cstheme="majorHAnsi"/>
        </w:rPr>
      </w:pPr>
      <w:r w:rsidRPr="006070EA">
        <w:rPr>
          <w:rFonts w:asciiTheme="majorHAnsi" w:hAnsiTheme="majorHAnsi" w:cstheme="majorHAnsi"/>
        </w:rPr>
        <w:t>ODŮVODNĚNÍ VYMEZENÍ JEDNOTLIVÝCH ZASTAVITELNÝCH PLOCH</w:t>
      </w: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6070EA" w14:paraId="0662C38D" w14:textId="77777777" w:rsidTr="00B23E4A">
        <w:trPr>
          <w:cantSplit/>
          <w:tblHeader/>
        </w:trPr>
        <w:tc>
          <w:tcPr>
            <w:tcW w:w="2660" w:type="dxa"/>
            <w:shd w:val="clear" w:color="auto" w:fill="F2F2F2" w:themeFill="background1" w:themeFillShade="F2"/>
          </w:tcPr>
          <w:p w14:paraId="1A4BFD4B"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410" w:type="dxa"/>
            <w:shd w:val="clear" w:color="auto" w:fill="F2F2F2" w:themeFill="background1" w:themeFillShade="F2"/>
          </w:tcPr>
          <w:p w14:paraId="7040F0CC" w14:textId="33FCC6A1"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B50542"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01</w:t>
            </w:r>
          </w:p>
        </w:tc>
      </w:tr>
      <w:tr w:rsidR="00B23E4A" w:rsidRPr="006070EA" w14:paraId="3367E774" w14:textId="77777777" w:rsidTr="00FC1E99">
        <w:trPr>
          <w:cantSplit/>
          <w:trHeight w:val="227"/>
        </w:trPr>
        <w:tc>
          <w:tcPr>
            <w:tcW w:w="9070" w:type="dxa"/>
            <w:gridSpan w:val="2"/>
          </w:tcPr>
          <w:p w14:paraId="680F70D1" w14:textId="64250E40" w:rsidR="00B23E4A" w:rsidRPr="006070EA" w:rsidRDefault="00B23E4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vypuštěna v rámci úprav po společném jednání (požadavek obce)</w:t>
            </w:r>
          </w:p>
        </w:tc>
      </w:tr>
    </w:tbl>
    <w:p w14:paraId="03C0B581" w14:textId="77777777" w:rsidR="002D0BDA" w:rsidRPr="006070EA" w:rsidRDefault="002D0BDA" w:rsidP="002D0BDA">
      <w:pPr>
        <w:pStyle w:val="Atext"/>
        <w:keepNext/>
        <w:ind w:firstLine="0"/>
        <w:jc w:val="righ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6070EA" w14:paraId="3CCDF92C" w14:textId="77777777" w:rsidTr="00A46281">
        <w:trPr>
          <w:cantSplit/>
          <w:tblHeader/>
        </w:trPr>
        <w:tc>
          <w:tcPr>
            <w:tcW w:w="2660" w:type="dxa"/>
            <w:shd w:val="clear" w:color="auto" w:fill="F2F2F2" w:themeFill="background1" w:themeFillShade="F2"/>
          </w:tcPr>
          <w:p w14:paraId="12FFB629"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410" w:type="dxa"/>
            <w:shd w:val="clear" w:color="auto" w:fill="F2F2F2" w:themeFill="background1" w:themeFillShade="F2"/>
          </w:tcPr>
          <w:p w14:paraId="76FC0162" w14:textId="35E0349B"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B50542"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02</w:t>
            </w:r>
          </w:p>
        </w:tc>
      </w:tr>
      <w:tr w:rsidR="00A46281" w:rsidRPr="006070EA" w14:paraId="442AC064" w14:textId="77777777" w:rsidTr="00FC1E99">
        <w:trPr>
          <w:cantSplit/>
          <w:trHeight w:val="227"/>
        </w:trPr>
        <w:tc>
          <w:tcPr>
            <w:tcW w:w="9070" w:type="dxa"/>
            <w:gridSpan w:val="2"/>
          </w:tcPr>
          <w:p w14:paraId="6AB53121" w14:textId="63800C76" w:rsidR="00A46281" w:rsidRPr="006070EA" w:rsidRDefault="00A46281"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vypuštěna v rámci úprav po společném jednání (požadavek obce)</w:t>
            </w:r>
          </w:p>
        </w:tc>
      </w:tr>
    </w:tbl>
    <w:p w14:paraId="45AADA69" w14:textId="77777777" w:rsidR="002D0BDA" w:rsidRPr="006070EA" w:rsidRDefault="002D0BDA" w:rsidP="002D0BDA">
      <w:pPr>
        <w:rPr>
          <w:rFonts w:asciiTheme="majorHAnsi" w:hAnsiTheme="majorHAnsi" w:cstheme="majorHAnsi"/>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6070EA" w14:paraId="0568799B" w14:textId="77777777" w:rsidTr="005038EA">
        <w:trPr>
          <w:cantSplit/>
          <w:tblHeader/>
        </w:trPr>
        <w:tc>
          <w:tcPr>
            <w:tcW w:w="2705" w:type="dxa"/>
            <w:shd w:val="clear" w:color="auto" w:fill="F2F2F2" w:themeFill="background1" w:themeFillShade="F2"/>
          </w:tcPr>
          <w:p w14:paraId="4689D9E4"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3178E150" w14:textId="754EDE38"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B50542"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03</w:t>
            </w:r>
          </w:p>
        </w:tc>
      </w:tr>
      <w:tr w:rsidR="002D0BDA" w:rsidRPr="006070EA" w14:paraId="5A879FF1" w14:textId="77777777" w:rsidTr="005038EA">
        <w:trPr>
          <w:cantSplit/>
        </w:trPr>
        <w:tc>
          <w:tcPr>
            <w:tcW w:w="2705" w:type="dxa"/>
          </w:tcPr>
          <w:p w14:paraId="140DE3F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tcPr>
          <w:p w14:paraId="73F0089F" w14:textId="1538528B"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SV – </w:t>
            </w:r>
            <w:r w:rsidRPr="006070EA">
              <w:rPr>
                <w:rFonts w:asciiTheme="majorHAnsi" w:eastAsia="Times New Roman" w:hAnsiTheme="majorHAnsi" w:cstheme="majorHAnsi"/>
                <w:sz w:val="18"/>
                <w:szCs w:val="18"/>
                <w:lang w:eastAsia="cs-CZ"/>
              </w:rPr>
              <w:t>plochy smíšené obytné venkovské</w:t>
            </w:r>
            <w:r w:rsidRPr="006070EA">
              <w:rPr>
                <w:rFonts w:asciiTheme="majorHAnsi" w:eastAsia="Times New Roman" w:hAnsiTheme="majorHAnsi" w:cstheme="majorHAnsi"/>
                <w:bCs/>
                <w:iCs/>
                <w:sz w:val="18"/>
                <w:szCs w:val="20"/>
                <w:lang w:eastAsia="ar-SA"/>
              </w:rPr>
              <w:t xml:space="preserve"> </w:t>
            </w:r>
          </w:p>
        </w:tc>
      </w:tr>
      <w:tr w:rsidR="002D0BDA" w:rsidRPr="006070EA" w14:paraId="430B1D7B" w14:textId="77777777" w:rsidTr="005038EA">
        <w:trPr>
          <w:cantSplit/>
        </w:trPr>
        <w:tc>
          <w:tcPr>
            <w:tcW w:w="2705" w:type="dxa"/>
          </w:tcPr>
          <w:p w14:paraId="200FB4D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1599A993"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železniční trati; OP stavby zajišťující letecký provoz (radar Kbely)</w:t>
            </w:r>
          </w:p>
        </w:tc>
      </w:tr>
      <w:tr w:rsidR="002D0BDA" w:rsidRPr="006070EA" w14:paraId="3F359C82" w14:textId="77777777" w:rsidTr="005038EA">
        <w:trPr>
          <w:cantSplit/>
        </w:trPr>
        <w:tc>
          <w:tcPr>
            <w:tcW w:w="2705" w:type="dxa"/>
          </w:tcPr>
          <w:p w14:paraId="1C76D08D"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152B750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603A9C52" w14:textId="77777777" w:rsidTr="005038EA">
        <w:trPr>
          <w:cantSplit/>
        </w:trPr>
        <w:tc>
          <w:tcPr>
            <w:tcW w:w="2705" w:type="dxa"/>
          </w:tcPr>
          <w:p w14:paraId="06C1F09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5937574C"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místní komunikace</w:t>
            </w:r>
          </w:p>
          <w:p w14:paraId="3B1CF047" w14:textId="2726BEB8"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B50542"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49A2D0ED" w14:textId="77777777" w:rsidTr="005038EA">
        <w:trPr>
          <w:cantSplit/>
        </w:trPr>
        <w:tc>
          <w:tcPr>
            <w:tcW w:w="2705" w:type="dxa"/>
          </w:tcPr>
          <w:p w14:paraId="438BEF6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6A6BEE53"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7C123962" w14:textId="77777777" w:rsidTr="005038EA">
        <w:trPr>
          <w:cantSplit/>
        </w:trPr>
        <w:tc>
          <w:tcPr>
            <w:tcW w:w="2705" w:type="dxa"/>
          </w:tcPr>
          <w:p w14:paraId="0635E7B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5D074C9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IV. třídy ochrany</w:t>
            </w:r>
          </w:p>
        </w:tc>
      </w:tr>
      <w:tr w:rsidR="002D0BDA" w:rsidRPr="006070EA" w14:paraId="7CA661C0" w14:textId="77777777" w:rsidTr="005038EA">
        <w:trPr>
          <w:cantSplit/>
        </w:trPr>
        <w:tc>
          <w:tcPr>
            <w:tcW w:w="2705" w:type="dxa"/>
          </w:tcPr>
          <w:p w14:paraId="62306075"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74F14C1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Vytvoření podmínek pro rozvoj rezidenční funkce v sídle Rozkoš. Plocha dotváří okraj zástavby podél silnice železniční trati v západní části sídla se stabilizovanou obytnou zástavbou. </w:t>
            </w:r>
          </w:p>
          <w:p w14:paraId="6800AAD3"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tc>
      </w:tr>
      <w:tr w:rsidR="002D0BDA" w:rsidRPr="006070EA" w14:paraId="12186AB4" w14:textId="77777777" w:rsidTr="005038EA">
        <w:trPr>
          <w:cantSplit/>
        </w:trPr>
        <w:tc>
          <w:tcPr>
            <w:tcW w:w="2705" w:type="dxa"/>
          </w:tcPr>
          <w:p w14:paraId="160101AE"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3FAA3EA9" w14:textId="241FA0DE"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Zpracování územní studie </w:t>
            </w:r>
            <w:r w:rsidR="00B50542" w:rsidRPr="006070EA">
              <w:rPr>
                <w:rFonts w:asciiTheme="majorHAnsi" w:eastAsia="Times New Roman" w:hAnsiTheme="majorHAnsi" w:cstheme="majorHAnsi"/>
                <w:bCs/>
                <w:iCs/>
                <w:sz w:val="18"/>
                <w:szCs w:val="20"/>
                <w:lang w:eastAsia="ar-SA"/>
              </w:rPr>
              <w:t>US.1</w:t>
            </w:r>
            <w:r w:rsidRPr="006070EA">
              <w:rPr>
                <w:rFonts w:asciiTheme="majorHAnsi" w:eastAsia="Times New Roman" w:hAnsiTheme="majorHAnsi" w:cstheme="majorHAnsi"/>
                <w:bCs/>
                <w:iCs/>
                <w:sz w:val="18"/>
                <w:szCs w:val="20"/>
                <w:lang w:eastAsia="ar-SA"/>
              </w:rPr>
              <w:t>.</w:t>
            </w:r>
          </w:p>
          <w:p w14:paraId="0132BA0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Zajistit prostupnost území při respektování směrů zajištění prostupnosti území veřejným prostranstvím.</w:t>
            </w:r>
          </w:p>
        </w:tc>
      </w:tr>
    </w:tbl>
    <w:p w14:paraId="4DC23709"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6070EA" w14:paraId="1F47AA31" w14:textId="77777777" w:rsidTr="005038EA">
        <w:trPr>
          <w:cantSplit/>
          <w:tblHeader/>
        </w:trPr>
        <w:tc>
          <w:tcPr>
            <w:tcW w:w="2705" w:type="dxa"/>
            <w:shd w:val="clear" w:color="auto" w:fill="F2F2F2" w:themeFill="background1" w:themeFillShade="F2"/>
          </w:tcPr>
          <w:p w14:paraId="2EC629BA"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033B9173" w14:textId="6C6B3139"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B50542"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04</w:t>
            </w:r>
          </w:p>
        </w:tc>
      </w:tr>
      <w:tr w:rsidR="002D0BDA" w:rsidRPr="006070EA" w14:paraId="231DCEE2" w14:textId="77777777" w:rsidTr="005038EA">
        <w:trPr>
          <w:cantSplit/>
        </w:trPr>
        <w:tc>
          <w:tcPr>
            <w:tcW w:w="2705" w:type="dxa"/>
          </w:tcPr>
          <w:p w14:paraId="1B58E33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tcPr>
          <w:p w14:paraId="3C123F93" w14:textId="74BEAF71"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SV – </w:t>
            </w:r>
            <w:r w:rsidRPr="006070EA">
              <w:rPr>
                <w:rFonts w:asciiTheme="majorHAnsi" w:eastAsia="Times New Roman" w:hAnsiTheme="majorHAnsi" w:cstheme="majorHAnsi"/>
                <w:sz w:val="18"/>
                <w:szCs w:val="18"/>
                <w:lang w:eastAsia="cs-CZ"/>
              </w:rPr>
              <w:t>plochy smíšené obytné venkovské</w:t>
            </w:r>
            <w:r w:rsidRPr="006070EA">
              <w:rPr>
                <w:rFonts w:asciiTheme="majorHAnsi" w:eastAsia="Times New Roman" w:hAnsiTheme="majorHAnsi" w:cstheme="majorHAnsi"/>
                <w:bCs/>
                <w:iCs/>
                <w:sz w:val="18"/>
                <w:szCs w:val="20"/>
                <w:lang w:eastAsia="ar-SA"/>
              </w:rPr>
              <w:t xml:space="preserve"> </w:t>
            </w:r>
          </w:p>
        </w:tc>
      </w:tr>
      <w:tr w:rsidR="002D0BDA" w:rsidRPr="006070EA" w14:paraId="4280FD9B" w14:textId="77777777" w:rsidTr="005038EA">
        <w:trPr>
          <w:cantSplit/>
        </w:trPr>
        <w:tc>
          <w:tcPr>
            <w:tcW w:w="2705" w:type="dxa"/>
          </w:tcPr>
          <w:p w14:paraId="49967DD5"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2D662407" w14:textId="2916A87E"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ÚSES (L</w:t>
            </w:r>
            <w:r w:rsidR="00B50542" w:rsidRPr="006070EA">
              <w:rPr>
                <w:rFonts w:asciiTheme="majorHAnsi" w:eastAsia="Times New Roman" w:hAnsiTheme="majorHAnsi" w:cstheme="majorHAnsi"/>
                <w:bCs/>
                <w:iCs/>
                <w:sz w:val="18"/>
                <w:szCs w:val="20"/>
                <w:lang w:eastAsia="ar-SA"/>
              </w:rPr>
              <w:t>B</w:t>
            </w:r>
            <w:r w:rsidRPr="006070EA">
              <w:rPr>
                <w:rFonts w:asciiTheme="majorHAnsi" w:eastAsia="Times New Roman" w:hAnsiTheme="majorHAnsi" w:cstheme="majorHAnsi"/>
                <w:bCs/>
                <w:iCs/>
                <w:sz w:val="18"/>
                <w:szCs w:val="20"/>
                <w:lang w:eastAsia="ar-SA"/>
              </w:rPr>
              <w:t>K</w:t>
            </w:r>
            <w:r w:rsidR="00B50542"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2); OP stavby zajišťující letecký provoz (radar Kbely)</w:t>
            </w:r>
          </w:p>
        </w:tc>
      </w:tr>
      <w:tr w:rsidR="002D0BDA" w:rsidRPr="006070EA" w14:paraId="6AE6283B" w14:textId="77777777" w:rsidTr="005038EA">
        <w:trPr>
          <w:cantSplit/>
        </w:trPr>
        <w:tc>
          <w:tcPr>
            <w:tcW w:w="2705" w:type="dxa"/>
          </w:tcPr>
          <w:p w14:paraId="698DEDB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04E5471F"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převzato z ÚPO</w:t>
            </w:r>
          </w:p>
        </w:tc>
      </w:tr>
      <w:tr w:rsidR="002D0BDA" w:rsidRPr="006070EA" w14:paraId="76F7D4EB" w14:textId="77777777" w:rsidTr="005038EA">
        <w:trPr>
          <w:cantSplit/>
        </w:trPr>
        <w:tc>
          <w:tcPr>
            <w:tcW w:w="2705" w:type="dxa"/>
          </w:tcPr>
          <w:p w14:paraId="1AA2539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606CF6DB" w14:textId="3767D21D"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Bez přímé návaznosti na dopravní infrastrukturu, ve vazbě na směr zajištění prostupnosti území veřejným prostranstvím</w:t>
            </w:r>
          </w:p>
          <w:p w14:paraId="4F472233" w14:textId="2DCC5C90"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V dosahu koridoru </w:t>
            </w:r>
            <w:r w:rsidR="00B50542"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6FD17C1B" w14:textId="77777777" w:rsidTr="005038EA">
        <w:trPr>
          <w:cantSplit/>
        </w:trPr>
        <w:tc>
          <w:tcPr>
            <w:tcW w:w="2705" w:type="dxa"/>
          </w:tcPr>
          <w:p w14:paraId="1CB025C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2CA5CDB6"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5CF1E231" w14:textId="77777777" w:rsidTr="005038EA">
        <w:trPr>
          <w:cantSplit/>
        </w:trPr>
        <w:tc>
          <w:tcPr>
            <w:tcW w:w="2705" w:type="dxa"/>
          </w:tcPr>
          <w:p w14:paraId="5293127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6F384667"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IV. třídy ochrany</w:t>
            </w:r>
          </w:p>
        </w:tc>
      </w:tr>
      <w:tr w:rsidR="002D0BDA" w:rsidRPr="006070EA" w14:paraId="51A88804" w14:textId="77777777" w:rsidTr="005038EA">
        <w:trPr>
          <w:cantSplit/>
        </w:trPr>
        <w:tc>
          <w:tcPr>
            <w:tcW w:w="2705" w:type="dxa"/>
          </w:tcPr>
          <w:p w14:paraId="467F468B"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hlavní důvody vymezení plochy</w:t>
            </w:r>
          </w:p>
        </w:tc>
        <w:tc>
          <w:tcPr>
            <w:tcW w:w="6581" w:type="dxa"/>
          </w:tcPr>
          <w:p w14:paraId="1BC22D0C"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Vytvoření podmínek pro rozvoj rezidenční funkce v sídle Rozkoš. Plocha dotváří okraj zástavby severním směrem podél toku Hronětického náhonu se stabilizovanou obytnou zástavbou. </w:t>
            </w:r>
          </w:p>
          <w:p w14:paraId="0346E414"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tc>
      </w:tr>
      <w:tr w:rsidR="002D0BDA" w:rsidRPr="006070EA" w14:paraId="49DA190E" w14:textId="77777777" w:rsidTr="005038EA">
        <w:trPr>
          <w:cantSplit/>
        </w:trPr>
        <w:tc>
          <w:tcPr>
            <w:tcW w:w="2705" w:type="dxa"/>
          </w:tcPr>
          <w:p w14:paraId="4976D680"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6F0FBD32"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ab/>
              <w:t>Přístup zajistit výhradně přes jižně situovaný sousední pozemek při respektování směru zajištění prostupnosti území veřejným prostranstvím.</w:t>
            </w:r>
          </w:p>
        </w:tc>
      </w:tr>
    </w:tbl>
    <w:p w14:paraId="4F000B85"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8"/>
        <w:gridCol w:w="6412"/>
      </w:tblGrid>
      <w:tr w:rsidR="002D0BDA" w:rsidRPr="006070EA" w14:paraId="2A0494F7" w14:textId="77777777" w:rsidTr="00A46281">
        <w:trPr>
          <w:cantSplit/>
          <w:tblHeader/>
        </w:trPr>
        <w:tc>
          <w:tcPr>
            <w:tcW w:w="2658" w:type="dxa"/>
            <w:shd w:val="clear" w:color="auto" w:fill="F2F2F2" w:themeFill="background1" w:themeFillShade="F2"/>
          </w:tcPr>
          <w:p w14:paraId="4FC6DA90"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412" w:type="dxa"/>
            <w:shd w:val="clear" w:color="auto" w:fill="F2F2F2" w:themeFill="background1" w:themeFillShade="F2"/>
          </w:tcPr>
          <w:p w14:paraId="1ABB99B6" w14:textId="1407CEB1"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B50542"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05</w:t>
            </w:r>
          </w:p>
        </w:tc>
      </w:tr>
      <w:tr w:rsidR="00A46281" w:rsidRPr="006070EA" w14:paraId="774965CD" w14:textId="77777777" w:rsidTr="00FC1E99">
        <w:trPr>
          <w:cantSplit/>
          <w:trHeight w:val="227"/>
        </w:trPr>
        <w:tc>
          <w:tcPr>
            <w:tcW w:w="9070" w:type="dxa"/>
            <w:gridSpan w:val="2"/>
          </w:tcPr>
          <w:p w14:paraId="2977E2ED" w14:textId="464CBCD3" w:rsidR="00A46281" w:rsidRPr="006070EA" w:rsidRDefault="00A46281"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vypuštěna v rámci úprav po společném jednání (požadavek obce)</w:t>
            </w:r>
          </w:p>
        </w:tc>
      </w:tr>
    </w:tbl>
    <w:p w14:paraId="7F3CE0A6"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A76411" w14:paraId="3D9E5742" w14:textId="77777777" w:rsidTr="005038EA">
        <w:trPr>
          <w:cantSplit/>
          <w:tblHeader/>
        </w:trPr>
        <w:tc>
          <w:tcPr>
            <w:tcW w:w="2705" w:type="dxa"/>
            <w:shd w:val="clear" w:color="auto" w:fill="F2F2F2" w:themeFill="background1" w:themeFillShade="F2"/>
          </w:tcPr>
          <w:p w14:paraId="5D8349CC" w14:textId="77777777" w:rsidR="002D0BDA" w:rsidRPr="00A76411"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10B2FCF1" w14:textId="11CF373F" w:rsidR="002D0BDA" w:rsidRPr="00A76411"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Z</w:t>
            </w:r>
            <w:r w:rsidR="00B50542" w:rsidRPr="00A76411">
              <w:rPr>
                <w:rFonts w:asciiTheme="majorHAnsi" w:eastAsia="Times New Roman" w:hAnsiTheme="majorHAnsi" w:cstheme="majorHAnsi"/>
                <w:b/>
                <w:bCs/>
                <w:iCs/>
                <w:sz w:val="18"/>
                <w:szCs w:val="20"/>
                <w:lang w:eastAsia="ar-SA"/>
              </w:rPr>
              <w:t>.</w:t>
            </w:r>
            <w:proofErr w:type="gramStart"/>
            <w:r w:rsidRPr="00A76411">
              <w:rPr>
                <w:rFonts w:asciiTheme="majorHAnsi" w:eastAsia="Times New Roman" w:hAnsiTheme="majorHAnsi" w:cstheme="majorHAnsi"/>
                <w:b/>
                <w:bCs/>
                <w:iCs/>
                <w:sz w:val="18"/>
                <w:szCs w:val="20"/>
                <w:lang w:eastAsia="ar-SA"/>
              </w:rPr>
              <w:t>06</w:t>
            </w:r>
            <w:r w:rsidR="007E10C4" w:rsidRPr="00A76411">
              <w:rPr>
                <w:rFonts w:asciiTheme="majorHAnsi" w:eastAsia="Times New Roman" w:hAnsiTheme="majorHAnsi" w:cstheme="majorHAnsi"/>
                <w:b/>
                <w:bCs/>
                <w:iCs/>
                <w:sz w:val="18"/>
                <w:szCs w:val="20"/>
                <w:lang w:eastAsia="ar-SA"/>
              </w:rPr>
              <w:t>A</w:t>
            </w:r>
            <w:proofErr w:type="gramEnd"/>
            <w:r w:rsidR="007E10C4" w:rsidRPr="00A76411">
              <w:rPr>
                <w:rFonts w:asciiTheme="majorHAnsi" w:eastAsia="Times New Roman" w:hAnsiTheme="majorHAnsi" w:cstheme="majorHAnsi"/>
                <w:b/>
                <w:bCs/>
                <w:iCs/>
                <w:sz w:val="18"/>
                <w:szCs w:val="20"/>
                <w:lang w:eastAsia="ar-SA"/>
              </w:rPr>
              <w:t>, Z.</w:t>
            </w:r>
            <w:proofErr w:type="gramStart"/>
            <w:r w:rsidR="007E10C4" w:rsidRPr="00A76411">
              <w:rPr>
                <w:rFonts w:asciiTheme="majorHAnsi" w:eastAsia="Times New Roman" w:hAnsiTheme="majorHAnsi" w:cstheme="majorHAnsi"/>
                <w:b/>
                <w:bCs/>
                <w:iCs/>
                <w:sz w:val="18"/>
                <w:szCs w:val="20"/>
                <w:lang w:eastAsia="ar-SA"/>
              </w:rPr>
              <w:t>06B</w:t>
            </w:r>
            <w:proofErr w:type="gramEnd"/>
          </w:p>
        </w:tc>
      </w:tr>
      <w:tr w:rsidR="002D0BDA" w:rsidRPr="00A76411" w14:paraId="45C36520" w14:textId="77777777" w:rsidTr="005038EA">
        <w:trPr>
          <w:cantSplit/>
        </w:trPr>
        <w:tc>
          <w:tcPr>
            <w:tcW w:w="2705" w:type="dxa"/>
          </w:tcPr>
          <w:p w14:paraId="7E86512B" w14:textId="77777777" w:rsidR="002D0BDA" w:rsidRPr="00A76411"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způsob využití</w:t>
            </w:r>
          </w:p>
        </w:tc>
        <w:tc>
          <w:tcPr>
            <w:tcW w:w="6581" w:type="dxa"/>
            <w:vAlign w:val="center"/>
          </w:tcPr>
          <w:p w14:paraId="01E4E8CB" w14:textId="2506A876"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sz w:val="18"/>
                <w:szCs w:val="18"/>
                <w:lang w:eastAsia="cs-CZ"/>
              </w:rPr>
              <w:t xml:space="preserve">BI – bydlení </w:t>
            </w:r>
            <w:r w:rsidR="00B50542" w:rsidRPr="00A76411">
              <w:rPr>
                <w:rFonts w:asciiTheme="majorHAnsi" w:eastAsia="Times New Roman" w:hAnsiTheme="majorHAnsi" w:cstheme="majorHAnsi"/>
                <w:sz w:val="18"/>
                <w:szCs w:val="18"/>
                <w:lang w:eastAsia="cs-CZ"/>
              </w:rPr>
              <w:t>individuální</w:t>
            </w:r>
            <w:r w:rsidRPr="00A76411">
              <w:rPr>
                <w:rFonts w:asciiTheme="majorHAnsi" w:eastAsia="Times New Roman" w:hAnsiTheme="majorHAnsi" w:cstheme="majorHAnsi"/>
                <w:sz w:val="18"/>
                <w:szCs w:val="18"/>
                <w:lang w:eastAsia="cs-CZ"/>
              </w:rPr>
              <w:t xml:space="preserve"> </w:t>
            </w:r>
          </w:p>
        </w:tc>
      </w:tr>
      <w:tr w:rsidR="002D0BDA" w:rsidRPr="00A76411" w14:paraId="42B77A55" w14:textId="77777777" w:rsidTr="005038EA">
        <w:trPr>
          <w:cantSplit/>
        </w:trPr>
        <w:tc>
          <w:tcPr>
            <w:tcW w:w="2705" w:type="dxa"/>
          </w:tcPr>
          <w:p w14:paraId="740B4B00" w14:textId="77777777" w:rsidR="002D0BDA" w:rsidRPr="00A76411"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limity využití území</w:t>
            </w:r>
          </w:p>
        </w:tc>
        <w:tc>
          <w:tcPr>
            <w:tcW w:w="6581" w:type="dxa"/>
          </w:tcPr>
          <w:p w14:paraId="70492FB1" w14:textId="36D13A66"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 xml:space="preserve">záplavové území Q100; aktivní zóna záplavového území; radioreléová trasa; koridor </w:t>
            </w:r>
            <w:r w:rsidR="00B50542" w:rsidRPr="00A76411">
              <w:rPr>
                <w:rFonts w:asciiTheme="majorHAnsi" w:eastAsia="Times New Roman" w:hAnsiTheme="majorHAnsi" w:cstheme="majorHAnsi"/>
                <w:bCs/>
                <w:iCs/>
                <w:sz w:val="18"/>
                <w:szCs w:val="20"/>
                <w:lang w:eastAsia="ar-SA"/>
              </w:rPr>
              <w:t>CNU.</w:t>
            </w:r>
            <w:r w:rsidRPr="00A76411">
              <w:rPr>
                <w:rFonts w:asciiTheme="majorHAnsi" w:eastAsia="Times New Roman" w:hAnsiTheme="majorHAnsi" w:cstheme="majorHAnsi"/>
                <w:bCs/>
                <w:iCs/>
                <w:sz w:val="18"/>
                <w:szCs w:val="20"/>
                <w:lang w:eastAsia="ar-SA"/>
              </w:rPr>
              <w:t>KD</w:t>
            </w:r>
            <w:r w:rsidR="0097451F" w:rsidRPr="00A76411">
              <w:rPr>
                <w:rFonts w:asciiTheme="majorHAnsi" w:eastAsia="Times New Roman" w:hAnsiTheme="majorHAnsi" w:cstheme="majorHAnsi"/>
                <w:bCs/>
                <w:iCs/>
                <w:sz w:val="18"/>
                <w:szCs w:val="20"/>
                <w:lang w:eastAsia="ar-SA"/>
              </w:rPr>
              <w:t>2</w:t>
            </w:r>
            <w:r w:rsidRPr="00A76411">
              <w:rPr>
                <w:rFonts w:asciiTheme="majorHAnsi" w:eastAsia="Times New Roman" w:hAnsiTheme="majorHAnsi" w:cstheme="majorHAnsi"/>
                <w:bCs/>
                <w:iCs/>
                <w:sz w:val="18"/>
                <w:szCs w:val="20"/>
                <w:lang w:eastAsia="ar-SA"/>
              </w:rPr>
              <w:t>; OP stavby zajišťující letecký provoz (radar Kbely)</w:t>
            </w:r>
          </w:p>
        </w:tc>
      </w:tr>
      <w:tr w:rsidR="002D0BDA" w:rsidRPr="00A76411" w14:paraId="374718A9" w14:textId="77777777" w:rsidTr="005038EA">
        <w:trPr>
          <w:cantSplit/>
        </w:trPr>
        <w:tc>
          <w:tcPr>
            <w:tcW w:w="2705" w:type="dxa"/>
          </w:tcPr>
          <w:p w14:paraId="13DCF16A" w14:textId="77777777" w:rsidR="002D0BDA" w:rsidRPr="00A76411"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vztah k platné ÚPD (ZÚR, ÚPO)</w:t>
            </w:r>
          </w:p>
        </w:tc>
        <w:tc>
          <w:tcPr>
            <w:tcW w:w="6581" w:type="dxa"/>
          </w:tcPr>
          <w:p w14:paraId="1E261D84" w14:textId="77777777"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částečně převzato z ÚPO</w:t>
            </w:r>
          </w:p>
        </w:tc>
      </w:tr>
      <w:tr w:rsidR="002D0BDA" w:rsidRPr="00A76411" w14:paraId="7E002751" w14:textId="77777777" w:rsidTr="005038EA">
        <w:trPr>
          <w:cantSplit/>
        </w:trPr>
        <w:tc>
          <w:tcPr>
            <w:tcW w:w="2705" w:type="dxa"/>
          </w:tcPr>
          <w:p w14:paraId="3D89DEB7" w14:textId="77777777" w:rsidR="002D0BDA" w:rsidRPr="00A76411"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vazba na veřejnou infrastrukturu (DI, TI)</w:t>
            </w:r>
          </w:p>
        </w:tc>
        <w:tc>
          <w:tcPr>
            <w:tcW w:w="6581" w:type="dxa"/>
          </w:tcPr>
          <w:p w14:paraId="6D31EBB8" w14:textId="77777777"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Přímá vazba na místní komunikace</w:t>
            </w:r>
          </w:p>
          <w:p w14:paraId="2F2CD87F" w14:textId="77777777"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Přímá vazba na technickou infrastrukturu (vodovod, plynovod, kanalizace)</w:t>
            </w:r>
          </w:p>
          <w:p w14:paraId="667A5447" w14:textId="471D04D3"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 xml:space="preserve">Přímá vazba na koridor </w:t>
            </w:r>
            <w:r w:rsidR="00B50542" w:rsidRPr="00A76411">
              <w:rPr>
                <w:rFonts w:asciiTheme="majorHAnsi" w:eastAsia="Times New Roman" w:hAnsiTheme="majorHAnsi" w:cstheme="majorHAnsi"/>
                <w:bCs/>
                <w:iCs/>
                <w:sz w:val="18"/>
                <w:szCs w:val="20"/>
                <w:lang w:eastAsia="ar-SA"/>
              </w:rPr>
              <w:t>CNU.</w:t>
            </w:r>
            <w:r w:rsidRPr="00A76411">
              <w:rPr>
                <w:rFonts w:asciiTheme="majorHAnsi" w:eastAsia="Times New Roman" w:hAnsiTheme="majorHAnsi" w:cstheme="majorHAnsi"/>
                <w:bCs/>
                <w:iCs/>
                <w:sz w:val="18"/>
                <w:szCs w:val="20"/>
                <w:lang w:eastAsia="ar-SA"/>
              </w:rPr>
              <w:t>KTI1 (navržené sítě vodovodu a kanalizace)</w:t>
            </w:r>
          </w:p>
        </w:tc>
      </w:tr>
      <w:tr w:rsidR="002D0BDA" w:rsidRPr="00A76411" w14:paraId="38EE49A1" w14:textId="77777777" w:rsidTr="005038EA">
        <w:trPr>
          <w:cantSplit/>
        </w:trPr>
        <w:tc>
          <w:tcPr>
            <w:tcW w:w="2705" w:type="dxa"/>
          </w:tcPr>
          <w:p w14:paraId="66F15478" w14:textId="77777777" w:rsidR="002D0BDA" w:rsidRPr="00A76411"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vztah k zastavěnému území</w:t>
            </w:r>
          </w:p>
        </w:tc>
        <w:tc>
          <w:tcPr>
            <w:tcW w:w="6581" w:type="dxa"/>
          </w:tcPr>
          <w:p w14:paraId="53427E26" w14:textId="77777777"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Plocha v přímé návaznosti na zastavěné území</w:t>
            </w:r>
          </w:p>
        </w:tc>
      </w:tr>
      <w:tr w:rsidR="002D0BDA" w:rsidRPr="00A76411" w14:paraId="48B73620" w14:textId="77777777" w:rsidTr="005038EA">
        <w:trPr>
          <w:cantSplit/>
        </w:trPr>
        <w:tc>
          <w:tcPr>
            <w:tcW w:w="2705" w:type="dxa"/>
          </w:tcPr>
          <w:p w14:paraId="288B6674" w14:textId="77777777" w:rsidR="002D0BDA" w:rsidRPr="00A76411"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dotčení půdního fondu (ZPF, LPF)</w:t>
            </w:r>
          </w:p>
        </w:tc>
        <w:tc>
          <w:tcPr>
            <w:tcW w:w="6581" w:type="dxa"/>
          </w:tcPr>
          <w:p w14:paraId="06E63621" w14:textId="77777777"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ZPF IV. třídy ochrany</w:t>
            </w:r>
          </w:p>
        </w:tc>
      </w:tr>
      <w:tr w:rsidR="002D0BDA" w:rsidRPr="00A76411" w14:paraId="7F5848D3" w14:textId="77777777" w:rsidTr="005038EA">
        <w:trPr>
          <w:cantSplit/>
        </w:trPr>
        <w:tc>
          <w:tcPr>
            <w:tcW w:w="2705" w:type="dxa"/>
          </w:tcPr>
          <w:p w14:paraId="37A454EC" w14:textId="77777777" w:rsidR="002D0BDA" w:rsidRPr="00A76411"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hlavní důvody vymezení plochy</w:t>
            </w:r>
          </w:p>
        </w:tc>
        <w:tc>
          <w:tcPr>
            <w:tcW w:w="6581" w:type="dxa"/>
          </w:tcPr>
          <w:p w14:paraId="365ABFC5" w14:textId="1493E2FF"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Vytvoření podmínek pro rozvoj rezidenční funkce Kostomlat nad Labem podél ulice U</w:t>
            </w:r>
            <w:r w:rsidR="00ED0078" w:rsidRPr="00A76411">
              <w:rPr>
                <w:rFonts w:asciiTheme="majorHAnsi" w:eastAsia="Times New Roman" w:hAnsiTheme="majorHAnsi" w:cstheme="majorHAnsi"/>
                <w:bCs/>
                <w:iCs/>
                <w:sz w:val="18"/>
                <w:szCs w:val="20"/>
                <w:lang w:eastAsia="ar-SA"/>
              </w:rPr>
              <w:t> </w:t>
            </w:r>
            <w:r w:rsidRPr="00A76411">
              <w:rPr>
                <w:rFonts w:asciiTheme="majorHAnsi" w:eastAsia="Times New Roman" w:hAnsiTheme="majorHAnsi" w:cstheme="majorHAnsi"/>
                <w:bCs/>
                <w:iCs/>
                <w:sz w:val="18"/>
                <w:szCs w:val="20"/>
                <w:lang w:eastAsia="ar-SA"/>
              </w:rPr>
              <w:t xml:space="preserve">Křížku. Plocha dotváří jižní okraj zástavby podél silnice III. třídy a místních komunikací se stabilizovanou obytnou zástavbou. </w:t>
            </w:r>
          </w:p>
          <w:p w14:paraId="527BC0D5" w14:textId="66342344"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Ploch</w:t>
            </w:r>
            <w:r w:rsidR="007E10C4" w:rsidRPr="00A76411">
              <w:rPr>
                <w:rFonts w:asciiTheme="majorHAnsi" w:eastAsia="Times New Roman" w:hAnsiTheme="majorHAnsi" w:cstheme="majorHAnsi"/>
                <w:bCs/>
                <w:iCs/>
                <w:sz w:val="18"/>
                <w:szCs w:val="20"/>
                <w:lang w:eastAsia="ar-SA"/>
              </w:rPr>
              <w:t>y</w:t>
            </w:r>
            <w:r w:rsidRPr="00A76411">
              <w:rPr>
                <w:rFonts w:asciiTheme="majorHAnsi" w:eastAsia="Times New Roman" w:hAnsiTheme="majorHAnsi" w:cstheme="majorHAnsi"/>
                <w:bCs/>
                <w:iCs/>
                <w:sz w:val="18"/>
                <w:szCs w:val="20"/>
                <w:lang w:eastAsia="ar-SA"/>
              </w:rPr>
              <w:t xml:space="preserve"> j</w:t>
            </w:r>
            <w:r w:rsidR="007E10C4" w:rsidRPr="00A76411">
              <w:rPr>
                <w:rFonts w:asciiTheme="majorHAnsi" w:eastAsia="Times New Roman" w:hAnsiTheme="majorHAnsi" w:cstheme="majorHAnsi"/>
                <w:bCs/>
                <w:iCs/>
                <w:sz w:val="18"/>
                <w:szCs w:val="20"/>
                <w:lang w:eastAsia="ar-SA"/>
              </w:rPr>
              <w:t>sou</w:t>
            </w:r>
            <w:r w:rsidRPr="00A76411">
              <w:rPr>
                <w:rFonts w:asciiTheme="majorHAnsi" w:eastAsia="Times New Roman" w:hAnsiTheme="majorHAnsi" w:cstheme="majorHAnsi"/>
                <w:bCs/>
                <w:iCs/>
                <w:sz w:val="18"/>
                <w:szCs w:val="20"/>
                <w:lang w:eastAsia="ar-SA"/>
              </w:rPr>
              <w:t xml:space="preserve"> vymezen</w:t>
            </w:r>
            <w:r w:rsidR="007E10C4" w:rsidRPr="00A76411">
              <w:rPr>
                <w:rFonts w:asciiTheme="majorHAnsi" w:eastAsia="Times New Roman" w:hAnsiTheme="majorHAnsi" w:cstheme="majorHAnsi"/>
                <w:bCs/>
                <w:iCs/>
                <w:sz w:val="18"/>
                <w:szCs w:val="20"/>
                <w:lang w:eastAsia="ar-SA"/>
              </w:rPr>
              <w:t>y</w:t>
            </w:r>
            <w:r w:rsidRPr="00A76411">
              <w:rPr>
                <w:rFonts w:asciiTheme="majorHAnsi" w:eastAsia="Times New Roman" w:hAnsiTheme="majorHAnsi" w:cstheme="majorHAnsi"/>
                <w:bCs/>
                <w:iCs/>
                <w:sz w:val="18"/>
                <w:szCs w:val="20"/>
                <w:lang w:eastAsia="ar-SA"/>
              </w:rPr>
              <w:t xml:space="preserve"> na základě potřebnosti rozvoje obytné funkce obce dle podrobné analýzy potřeby vymezení zastavitelných ploch pro bydlení (viz kapitola 10) a v souladu se základní koncepcí rozvoje území, která vychází z původního řešení ÚPO. </w:t>
            </w:r>
          </w:p>
          <w:p w14:paraId="349BC041" w14:textId="77777777"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Při vymezení plochy byl rovněž prověřen požadavek na umožnění výstavby RD na p.</w:t>
            </w:r>
            <w:r w:rsidR="00B50542" w:rsidRPr="00A76411">
              <w:rPr>
                <w:rFonts w:asciiTheme="majorHAnsi" w:eastAsia="Times New Roman" w:hAnsiTheme="majorHAnsi" w:cstheme="majorHAnsi"/>
                <w:bCs/>
                <w:iCs/>
                <w:sz w:val="18"/>
                <w:szCs w:val="20"/>
                <w:lang w:eastAsia="ar-SA"/>
              </w:rPr>
              <w:t> </w:t>
            </w:r>
            <w:r w:rsidRPr="00A76411">
              <w:rPr>
                <w:rFonts w:asciiTheme="majorHAnsi" w:eastAsia="Times New Roman" w:hAnsiTheme="majorHAnsi" w:cstheme="majorHAnsi"/>
                <w:bCs/>
                <w:iCs/>
                <w:sz w:val="18"/>
                <w:szCs w:val="20"/>
                <w:lang w:eastAsia="ar-SA"/>
              </w:rPr>
              <w:t>č.</w:t>
            </w:r>
            <w:r w:rsidR="00B50542" w:rsidRPr="00A76411">
              <w:rPr>
                <w:rFonts w:asciiTheme="majorHAnsi" w:eastAsia="Times New Roman" w:hAnsiTheme="majorHAnsi" w:cstheme="majorHAnsi"/>
                <w:bCs/>
                <w:iCs/>
                <w:sz w:val="18"/>
                <w:szCs w:val="20"/>
                <w:lang w:eastAsia="ar-SA"/>
              </w:rPr>
              <w:t> </w:t>
            </w:r>
            <w:r w:rsidRPr="00A76411">
              <w:rPr>
                <w:rFonts w:asciiTheme="majorHAnsi" w:eastAsia="Times New Roman" w:hAnsiTheme="majorHAnsi" w:cstheme="majorHAnsi"/>
                <w:bCs/>
                <w:iCs/>
                <w:sz w:val="18"/>
                <w:szCs w:val="20"/>
                <w:lang w:eastAsia="ar-SA"/>
              </w:rPr>
              <w:t>856/19 a p.č. 855/9 v k.</w:t>
            </w:r>
            <w:r w:rsidR="00ED0078" w:rsidRPr="00A76411">
              <w:rPr>
                <w:rFonts w:asciiTheme="majorHAnsi" w:eastAsia="Times New Roman" w:hAnsiTheme="majorHAnsi" w:cstheme="majorHAnsi"/>
                <w:bCs/>
                <w:iCs/>
                <w:sz w:val="18"/>
                <w:szCs w:val="20"/>
                <w:lang w:eastAsia="ar-SA"/>
              </w:rPr>
              <w:t xml:space="preserve"> </w:t>
            </w:r>
            <w:r w:rsidRPr="00A76411">
              <w:rPr>
                <w:rFonts w:asciiTheme="majorHAnsi" w:eastAsia="Times New Roman" w:hAnsiTheme="majorHAnsi" w:cstheme="majorHAnsi"/>
                <w:bCs/>
                <w:iCs/>
                <w:sz w:val="18"/>
                <w:szCs w:val="20"/>
                <w:lang w:eastAsia="ar-SA"/>
              </w:rPr>
              <w:t>ú. Kostomlaty nad Labem.</w:t>
            </w:r>
          </w:p>
          <w:p w14:paraId="70A1842B" w14:textId="745FEE74" w:rsidR="00F9136D" w:rsidRPr="00A76411" w:rsidRDefault="00F9136D"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Pozn.: Původní plocha Z.06 byla rozdělena na plochy Z.</w:t>
            </w:r>
            <w:proofErr w:type="gramStart"/>
            <w:r w:rsidRPr="00A76411">
              <w:rPr>
                <w:rFonts w:asciiTheme="majorHAnsi" w:eastAsia="Times New Roman" w:hAnsiTheme="majorHAnsi" w:cstheme="majorHAnsi"/>
                <w:bCs/>
                <w:iCs/>
                <w:sz w:val="18"/>
                <w:szCs w:val="20"/>
                <w:lang w:eastAsia="ar-SA"/>
              </w:rPr>
              <w:t>06A</w:t>
            </w:r>
            <w:proofErr w:type="gramEnd"/>
            <w:r w:rsidRPr="00A76411">
              <w:rPr>
                <w:rFonts w:asciiTheme="majorHAnsi" w:eastAsia="Times New Roman" w:hAnsiTheme="majorHAnsi" w:cstheme="majorHAnsi"/>
                <w:bCs/>
                <w:iCs/>
                <w:sz w:val="18"/>
                <w:szCs w:val="20"/>
                <w:lang w:eastAsia="ar-SA"/>
              </w:rPr>
              <w:t xml:space="preserve"> a Z.</w:t>
            </w:r>
            <w:proofErr w:type="gramStart"/>
            <w:r w:rsidRPr="00A76411">
              <w:rPr>
                <w:rFonts w:asciiTheme="majorHAnsi" w:eastAsia="Times New Roman" w:hAnsiTheme="majorHAnsi" w:cstheme="majorHAnsi"/>
                <w:bCs/>
                <w:iCs/>
                <w:sz w:val="18"/>
                <w:szCs w:val="20"/>
                <w:lang w:eastAsia="ar-SA"/>
              </w:rPr>
              <w:t>06B</w:t>
            </w:r>
            <w:proofErr w:type="gramEnd"/>
            <w:r w:rsidRPr="00A76411">
              <w:rPr>
                <w:rFonts w:asciiTheme="majorHAnsi" w:eastAsia="Times New Roman" w:hAnsiTheme="majorHAnsi" w:cstheme="majorHAnsi"/>
                <w:bCs/>
                <w:iCs/>
                <w:sz w:val="18"/>
                <w:szCs w:val="20"/>
                <w:lang w:eastAsia="ar-SA"/>
              </w:rPr>
              <w:t xml:space="preserve"> po veřejném projednání návrhu ÚP Kostomlaty nad Labem v důsledku realizace rodinného domu v části plochy Z.06 a související aktualizaci zastavěného území. </w:t>
            </w:r>
          </w:p>
        </w:tc>
      </w:tr>
      <w:tr w:rsidR="002D0BDA" w:rsidRPr="006070EA" w14:paraId="3702B232" w14:textId="77777777" w:rsidTr="005038EA">
        <w:trPr>
          <w:cantSplit/>
        </w:trPr>
        <w:tc>
          <w:tcPr>
            <w:tcW w:w="2705" w:type="dxa"/>
          </w:tcPr>
          <w:p w14:paraId="78EEB35F" w14:textId="77777777" w:rsidR="002D0BDA" w:rsidRPr="00A76411"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související podmínky využití</w:t>
            </w:r>
          </w:p>
        </w:tc>
        <w:tc>
          <w:tcPr>
            <w:tcW w:w="6581" w:type="dxa"/>
          </w:tcPr>
          <w:p w14:paraId="06467CE9" w14:textId="6B2A0198" w:rsidR="002D0BDA" w:rsidRPr="00A76411"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 xml:space="preserve">Respektovat podmínky stanovené v koridoru </w:t>
            </w:r>
            <w:r w:rsidR="00B50542" w:rsidRPr="00A76411">
              <w:rPr>
                <w:rFonts w:asciiTheme="majorHAnsi" w:eastAsia="Times New Roman" w:hAnsiTheme="majorHAnsi" w:cstheme="majorHAnsi"/>
                <w:bCs/>
                <w:iCs/>
                <w:sz w:val="18"/>
                <w:szCs w:val="20"/>
                <w:lang w:eastAsia="ar-SA"/>
              </w:rPr>
              <w:t>CNU.</w:t>
            </w:r>
            <w:r w:rsidRPr="00A76411">
              <w:rPr>
                <w:rFonts w:asciiTheme="majorHAnsi" w:eastAsia="Times New Roman" w:hAnsiTheme="majorHAnsi" w:cstheme="majorHAnsi"/>
                <w:bCs/>
                <w:iCs/>
                <w:sz w:val="18"/>
                <w:szCs w:val="20"/>
                <w:lang w:eastAsia="ar-SA"/>
              </w:rPr>
              <w:t>KD</w:t>
            </w:r>
            <w:r w:rsidR="0097451F" w:rsidRPr="00A76411">
              <w:rPr>
                <w:rFonts w:asciiTheme="majorHAnsi" w:eastAsia="Times New Roman" w:hAnsiTheme="majorHAnsi" w:cstheme="majorHAnsi"/>
                <w:bCs/>
                <w:iCs/>
                <w:sz w:val="18"/>
                <w:szCs w:val="20"/>
                <w:lang w:eastAsia="ar-SA"/>
              </w:rPr>
              <w:t>2</w:t>
            </w:r>
            <w:r w:rsidRPr="00A76411">
              <w:rPr>
                <w:rFonts w:asciiTheme="majorHAnsi" w:eastAsia="Times New Roman" w:hAnsiTheme="majorHAnsi" w:cstheme="majorHAnsi"/>
                <w:bCs/>
                <w:iCs/>
                <w:sz w:val="18"/>
                <w:szCs w:val="20"/>
                <w:lang w:eastAsia="ar-SA"/>
              </w:rPr>
              <w:t>.</w:t>
            </w:r>
          </w:p>
          <w:p w14:paraId="786432ED" w14:textId="21BB5279" w:rsidR="00C13B55" w:rsidRPr="006070EA" w:rsidRDefault="00C13B55"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Obytné objekty umisťovat mimo aktivní zónu záplavového území (požadavek Povodí Labe, s.p. uplatněný při společném jednání).</w:t>
            </w:r>
          </w:p>
        </w:tc>
      </w:tr>
    </w:tbl>
    <w:p w14:paraId="7D7B0AFE"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6070EA" w14:paraId="21C365C5" w14:textId="77777777" w:rsidTr="005038EA">
        <w:trPr>
          <w:cantSplit/>
          <w:tblHeader/>
        </w:trPr>
        <w:tc>
          <w:tcPr>
            <w:tcW w:w="2705" w:type="dxa"/>
            <w:shd w:val="clear" w:color="auto" w:fill="F2F2F2" w:themeFill="background1" w:themeFillShade="F2"/>
          </w:tcPr>
          <w:p w14:paraId="7461A283"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60A47FB0" w14:textId="44ACDD5B"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07</w:t>
            </w:r>
          </w:p>
        </w:tc>
      </w:tr>
      <w:tr w:rsidR="002D0BDA" w:rsidRPr="006070EA" w14:paraId="77441BD1" w14:textId="77777777" w:rsidTr="005038EA">
        <w:trPr>
          <w:cantSplit/>
        </w:trPr>
        <w:tc>
          <w:tcPr>
            <w:tcW w:w="2705" w:type="dxa"/>
          </w:tcPr>
          <w:p w14:paraId="6024007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6031F2FF" w14:textId="70CACC83"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BI – bydlení </w:t>
            </w:r>
            <w:r w:rsidR="00961C8B" w:rsidRPr="006070EA">
              <w:rPr>
                <w:rFonts w:asciiTheme="majorHAnsi" w:eastAsia="Times New Roman" w:hAnsiTheme="majorHAnsi" w:cstheme="majorHAnsi"/>
                <w:sz w:val="18"/>
                <w:szCs w:val="18"/>
                <w:lang w:eastAsia="cs-CZ"/>
              </w:rPr>
              <w:t>individuální</w:t>
            </w:r>
            <w:r w:rsidRPr="006070EA">
              <w:rPr>
                <w:rFonts w:asciiTheme="majorHAnsi" w:eastAsia="Times New Roman" w:hAnsiTheme="majorHAnsi" w:cstheme="majorHAnsi"/>
                <w:sz w:val="18"/>
                <w:szCs w:val="18"/>
                <w:lang w:eastAsia="cs-CZ"/>
              </w:rPr>
              <w:t xml:space="preserve"> </w:t>
            </w:r>
          </w:p>
        </w:tc>
      </w:tr>
      <w:tr w:rsidR="002D0BDA" w:rsidRPr="006070EA" w14:paraId="2C68BA16" w14:textId="77777777" w:rsidTr="005038EA">
        <w:trPr>
          <w:cantSplit/>
        </w:trPr>
        <w:tc>
          <w:tcPr>
            <w:tcW w:w="2705" w:type="dxa"/>
          </w:tcPr>
          <w:p w14:paraId="0AEC127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1D8C5A16" w14:textId="47B99DFA"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ÚAN; plošná investice do půdy (odvodnění); elektrické vedení vn 22kV vč. OP; OP</w:t>
            </w:r>
            <w:r w:rsidR="00961C8B" w:rsidRPr="006070EA">
              <w:rPr>
                <w:rFonts w:asciiTheme="majorHAnsi" w:eastAsia="Times New Roman" w:hAnsiTheme="majorHAnsi" w:cstheme="majorHAnsi"/>
                <w:bCs/>
                <w:iCs/>
                <w:sz w:val="18"/>
                <w:szCs w:val="20"/>
                <w:lang w:eastAsia="ar-SA"/>
              </w:rPr>
              <w:t> </w:t>
            </w:r>
            <w:r w:rsidRPr="006070EA">
              <w:rPr>
                <w:rFonts w:asciiTheme="majorHAnsi" w:eastAsia="Times New Roman" w:hAnsiTheme="majorHAnsi" w:cstheme="majorHAnsi"/>
                <w:bCs/>
                <w:iCs/>
                <w:sz w:val="18"/>
                <w:szCs w:val="20"/>
                <w:lang w:eastAsia="ar-SA"/>
              </w:rPr>
              <w:t>stavby zajišťující letecký provoz (radar Kbely); OP hřbitova</w:t>
            </w:r>
          </w:p>
        </w:tc>
      </w:tr>
      <w:tr w:rsidR="002D0BDA" w:rsidRPr="006070EA" w14:paraId="600E7A43" w14:textId="77777777" w:rsidTr="005038EA">
        <w:trPr>
          <w:cantSplit/>
        </w:trPr>
        <w:tc>
          <w:tcPr>
            <w:tcW w:w="2705" w:type="dxa"/>
          </w:tcPr>
          <w:p w14:paraId="48B7AB65"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49370D8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vymezeno částečně na místě územní rezervy bydlení – rodinných domů v ÚPO</w:t>
            </w:r>
          </w:p>
        </w:tc>
      </w:tr>
      <w:tr w:rsidR="002D0BDA" w:rsidRPr="006070EA" w14:paraId="79557267" w14:textId="77777777" w:rsidTr="005038EA">
        <w:trPr>
          <w:cantSplit/>
        </w:trPr>
        <w:tc>
          <w:tcPr>
            <w:tcW w:w="2705" w:type="dxa"/>
          </w:tcPr>
          <w:p w14:paraId="2675391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7A1C6F56"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místní komunikace</w:t>
            </w:r>
          </w:p>
          <w:p w14:paraId="2FE82EB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Technická infrastruktura v dosahu (vodovod, plynovod, kanalizace)</w:t>
            </w:r>
          </w:p>
        </w:tc>
      </w:tr>
      <w:tr w:rsidR="002D0BDA" w:rsidRPr="006070EA" w14:paraId="375FB881" w14:textId="77777777" w:rsidTr="005038EA">
        <w:trPr>
          <w:cantSplit/>
        </w:trPr>
        <w:tc>
          <w:tcPr>
            <w:tcW w:w="2705" w:type="dxa"/>
          </w:tcPr>
          <w:p w14:paraId="5E12DBA4"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1481171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45BCEE6A" w14:textId="77777777" w:rsidTr="005038EA">
        <w:trPr>
          <w:cantSplit/>
        </w:trPr>
        <w:tc>
          <w:tcPr>
            <w:tcW w:w="2705" w:type="dxa"/>
          </w:tcPr>
          <w:p w14:paraId="6E35FCF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283649E0"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a IV. třídy ochrany</w:t>
            </w:r>
          </w:p>
        </w:tc>
      </w:tr>
      <w:tr w:rsidR="002D0BDA" w:rsidRPr="006070EA" w14:paraId="0EC0E010" w14:textId="77777777" w:rsidTr="005038EA">
        <w:trPr>
          <w:cantSplit/>
        </w:trPr>
        <w:tc>
          <w:tcPr>
            <w:tcW w:w="2705" w:type="dxa"/>
          </w:tcPr>
          <w:p w14:paraId="7C1342C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hlavní důvody vymezení plochy</w:t>
            </w:r>
          </w:p>
        </w:tc>
        <w:tc>
          <w:tcPr>
            <w:tcW w:w="6581" w:type="dxa"/>
          </w:tcPr>
          <w:p w14:paraId="09F4D5AF"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Kostomlat nad Labem. Plocha dotváří západní okraj zástavby podél ulice K Cihelně mezi stabilizovanou historickou zástavbou centrální části Kostomlat nad Labem (SM) a tokem Hlubokého příkopu na jihu, resp. novou rezidenční zástavbou s dopravní návazností na ulici Kolmá.</w:t>
            </w:r>
          </w:p>
          <w:p w14:paraId="10B65FE3"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p w14:paraId="3F893B9E" w14:textId="297B130E"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Při vymezení plochy byl rovněž prověřen požadavek na umožnění výstavby RD na p.</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č. 839/24 v k.</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ú. Kostomlaty nad Labem.</w:t>
            </w:r>
          </w:p>
        </w:tc>
      </w:tr>
      <w:tr w:rsidR="002D0BDA" w:rsidRPr="006070EA" w14:paraId="605BF6C5" w14:textId="77777777" w:rsidTr="005038EA">
        <w:trPr>
          <w:cantSplit/>
        </w:trPr>
        <w:tc>
          <w:tcPr>
            <w:tcW w:w="2705" w:type="dxa"/>
          </w:tcPr>
          <w:p w14:paraId="18607A1D"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48397C22" w14:textId="36EE51CB" w:rsidR="002D0BDA" w:rsidRPr="006070EA" w:rsidRDefault="00C13B55"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Vydání regulačního plánu RP</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w:t>
            </w:r>
          </w:p>
        </w:tc>
      </w:tr>
    </w:tbl>
    <w:p w14:paraId="4316DC47"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6070EA" w14:paraId="3521422C" w14:textId="77777777" w:rsidTr="005038EA">
        <w:trPr>
          <w:cantSplit/>
          <w:tblHeader/>
        </w:trPr>
        <w:tc>
          <w:tcPr>
            <w:tcW w:w="2705" w:type="dxa"/>
            <w:shd w:val="clear" w:color="auto" w:fill="F2F2F2" w:themeFill="background1" w:themeFillShade="F2"/>
          </w:tcPr>
          <w:p w14:paraId="5F0D5B2B"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1E6F767C" w14:textId="6FC4A7A5"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08</w:t>
            </w:r>
          </w:p>
        </w:tc>
      </w:tr>
      <w:tr w:rsidR="002D0BDA" w:rsidRPr="006070EA" w14:paraId="0F5D470B" w14:textId="77777777" w:rsidTr="005038EA">
        <w:trPr>
          <w:cantSplit/>
        </w:trPr>
        <w:tc>
          <w:tcPr>
            <w:tcW w:w="2705" w:type="dxa"/>
          </w:tcPr>
          <w:p w14:paraId="57F464A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55C55BBD" w14:textId="3B54771E" w:rsidR="002D0BDA" w:rsidRPr="006070EA" w:rsidRDefault="00961C8B"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ZP – zeleň – parky a parkově upravené plochy</w:t>
            </w:r>
            <w:r w:rsidR="002D0BDA" w:rsidRPr="006070EA">
              <w:rPr>
                <w:rFonts w:asciiTheme="majorHAnsi" w:eastAsia="Times New Roman" w:hAnsiTheme="majorHAnsi" w:cstheme="majorHAnsi"/>
                <w:sz w:val="18"/>
                <w:szCs w:val="18"/>
                <w:lang w:eastAsia="cs-CZ"/>
              </w:rPr>
              <w:t xml:space="preserve"> </w:t>
            </w:r>
          </w:p>
        </w:tc>
      </w:tr>
      <w:tr w:rsidR="002D0BDA" w:rsidRPr="006070EA" w14:paraId="7FE3A453" w14:textId="77777777" w:rsidTr="005038EA">
        <w:trPr>
          <w:cantSplit/>
        </w:trPr>
        <w:tc>
          <w:tcPr>
            <w:tcW w:w="2705" w:type="dxa"/>
          </w:tcPr>
          <w:p w14:paraId="087B1B4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75D1778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ÚSES; elektrické vedení vn 22kV vč. OP; OP stavby zajišťující letecký provoz (radar Kbely); </w:t>
            </w:r>
          </w:p>
        </w:tc>
      </w:tr>
      <w:tr w:rsidR="002D0BDA" w:rsidRPr="006070EA" w14:paraId="3CD1232F" w14:textId="77777777" w:rsidTr="005038EA">
        <w:trPr>
          <w:cantSplit/>
        </w:trPr>
        <w:tc>
          <w:tcPr>
            <w:tcW w:w="2705" w:type="dxa"/>
          </w:tcPr>
          <w:p w14:paraId="5B23F12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0CE809E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 </w:t>
            </w:r>
          </w:p>
        </w:tc>
      </w:tr>
      <w:tr w:rsidR="002D0BDA" w:rsidRPr="006070EA" w14:paraId="50CE807F" w14:textId="77777777" w:rsidTr="005038EA">
        <w:trPr>
          <w:cantSplit/>
        </w:trPr>
        <w:tc>
          <w:tcPr>
            <w:tcW w:w="2705" w:type="dxa"/>
          </w:tcPr>
          <w:p w14:paraId="3E3F9F5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29D16BB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místní komunikace</w:t>
            </w:r>
          </w:p>
          <w:p w14:paraId="621EC092"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Technická infrastruktura v dosahu (vodovod, plynovod, kanalizace)</w:t>
            </w:r>
          </w:p>
        </w:tc>
      </w:tr>
      <w:tr w:rsidR="002D0BDA" w:rsidRPr="006070EA" w14:paraId="0503E935" w14:textId="77777777" w:rsidTr="005038EA">
        <w:trPr>
          <w:cantSplit/>
        </w:trPr>
        <w:tc>
          <w:tcPr>
            <w:tcW w:w="2705" w:type="dxa"/>
          </w:tcPr>
          <w:p w14:paraId="1D2471B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1A2B2A56"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05CD23CF" w14:textId="77777777" w:rsidTr="005038EA">
        <w:trPr>
          <w:cantSplit/>
        </w:trPr>
        <w:tc>
          <w:tcPr>
            <w:tcW w:w="2705" w:type="dxa"/>
          </w:tcPr>
          <w:p w14:paraId="0216401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2AA48D4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2D0BDA" w:rsidRPr="006070EA" w14:paraId="570111F2" w14:textId="77777777" w:rsidTr="005038EA">
        <w:trPr>
          <w:cantSplit/>
        </w:trPr>
        <w:tc>
          <w:tcPr>
            <w:tcW w:w="2705" w:type="dxa"/>
          </w:tcPr>
          <w:p w14:paraId="29E3711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1576AF11" w14:textId="1CB27C94"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veřejné zeleně zajišťující odstup zástavby trvalého bydlení v zastavitelné ploše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07 od toku Hlubokého příkopu a zajišťující funkčnost lokálního biokoridoru ÚSES (L</w:t>
            </w:r>
            <w:r w:rsidR="00961C8B" w:rsidRPr="006070EA">
              <w:rPr>
                <w:rFonts w:asciiTheme="majorHAnsi" w:eastAsia="Times New Roman" w:hAnsiTheme="majorHAnsi" w:cstheme="majorHAnsi"/>
                <w:bCs/>
                <w:iCs/>
                <w:sz w:val="18"/>
                <w:szCs w:val="20"/>
                <w:lang w:eastAsia="ar-SA"/>
              </w:rPr>
              <w:t>B</w:t>
            </w:r>
            <w:r w:rsidRPr="006070EA">
              <w:rPr>
                <w:rFonts w:asciiTheme="majorHAnsi" w:eastAsia="Times New Roman" w:hAnsiTheme="majorHAnsi" w:cstheme="majorHAnsi"/>
                <w:bCs/>
                <w:iCs/>
                <w:sz w:val="18"/>
                <w:szCs w:val="20"/>
                <w:lang w:eastAsia="ar-SA"/>
              </w:rPr>
              <w:t>K</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 Plocha urbanisticky dotváří západní okraj zástavby Kostomlat nad Labem a navazuje na jižní hranici vymezené zastavitelné plochy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07 trvalého bydlení.</w:t>
            </w:r>
          </w:p>
          <w:p w14:paraId="0526D0A2"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je vymezena ve veřejném zájmu na zajištění dostatečných ploch veřejně přístupné zeleně, která je součástí veřejné infrastruktury.</w:t>
            </w:r>
          </w:p>
          <w:p w14:paraId="3D1E85D5" w14:textId="2BA30ECA"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Při vymezení plochy byl rovněž prověřen požadavek na umožnění výstavby RD na p.</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č. 839/24 v k.</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ú. Kostomlaty nad Labem.</w:t>
            </w:r>
          </w:p>
        </w:tc>
      </w:tr>
      <w:tr w:rsidR="002D0BDA" w:rsidRPr="006070EA" w14:paraId="16B88F24" w14:textId="77777777" w:rsidTr="005038EA">
        <w:trPr>
          <w:cantSplit/>
        </w:trPr>
        <w:tc>
          <w:tcPr>
            <w:tcW w:w="2705" w:type="dxa"/>
          </w:tcPr>
          <w:p w14:paraId="5F1A5B6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1130C314" w14:textId="06620B71" w:rsidR="002D0BDA" w:rsidRPr="006070EA" w:rsidRDefault="00C13B55"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Vydání regulačního plánu RP</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w:t>
            </w:r>
          </w:p>
        </w:tc>
      </w:tr>
    </w:tbl>
    <w:p w14:paraId="41580662"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6070EA" w14:paraId="3064C762" w14:textId="77777777" w:rsidTr="005038EA">
        <w:trPr>
          <w:cantSplit/>
          <w:tblHeader/>
        </w:trPr>
        <w:tc>
          <w:tcPr>
            <w:tcW w:w="2705" w:type="dxa"/>
            <w:shd w:val="clear" w:color="auto" w:fill="F2F2F2" w:themeFill="background1" w:themeFillShade="F2"/>
          </w:tcPr>
          <w:p w14:paraId="68F9C12E"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5074EAE9" w14:textId="0409C225"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09</w:t>
            </w:r>
          </w:p>
        </w:tc>
      </w:tr>
      <w:tr w:rsidR="002D0BDA" w:rsidRPr="006070EA" w14:paraId="12FDBE75" w14:textId="77777777" w:rsidTr="005038EA">
        <w:trPr>
          <w:cantSplit/>
        </w:trPr>
        <w:tc>
          <w:tcPr>
            <w:tcW w:w="2705" w:type="dxa"/>
          </w:tcPr>
          <w:p w14:paraId="2541D32B"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694EE6EB" w14:textId="649A06F5"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BI – bydlení </w:t>
            </w:r>
            <w:r w:rsidR="00961C8B" w:rsidRPr="006070EA">
              <w:rPr>
                <w:rFonts w:asciiTheme="majorHAnsi" w:eastAsia="Times New Roman" w:hAnsiTheme="majorHAnsi" w:cstheme="majorHAnsi"/>
                <w:sz w:val="18"/>
                <w:szCs w:val="18"/>
                <w:lang w:eastAsia="cs-CZ"/>
              </w:rPr>
              <w:t>individuální</w:t>
            </w:r>
            <w:r w:rsidRPr="006070EA">
              <w:rPr>
                <w:rFonts w:asciiTheme="majorHAnsi" w:eastAsia="Times New Roman" w:hAnsiTheme="majorHAnsi" w:cstheme="majorHAnsi"/>
                <w:sz w:val="18"/>
                <w:szCs w:val="18"/>
                <w:lang w:eastAsia="cs-CZ"/>
              </w:rPr>
              <w:t xml:space="preserve"> </w:t>
            </w:r>
          </w:p>
        </w:tc>
      </w:tr>
      <w:tr w:rsidR="002D0BDA" w:rsidRPr="006070EA" w14:paraId="7A542C35" w14:textId="77777777" w:rsidTr="005038EA">
        <w:trPr>
          <w:cantSplit/>
        </w:trPr>
        <w:tc>
          <w:tcPr>
            <w:tcW w:w="2705" w:type="dxa"/>
          </w:tcPr>
          <w:p w14:paraId="2B80565D"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757DE8AD" w14:textId="1B77DC04"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OP železniční trati; OP silnice III. třídy (III/2725); OP stavby zajišťující letecký provoz (radar Kbely);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KD</w:t>
            </w:r>
            <w:r w:rsidR="0097451F">
              <w:rPr>
                <w:rFonts w:asciiTheme="majorHAnsi" w:eastAsia="Times New Roman" w:hAnsiTheme="majorHAnsi" w:cstheme="majorHAnsi"/>
                <w:bCs/>
                <w:iCs/>
                <w:sz w:val="18"/>
                <w:szCs w:val="20"/>
                <w:lang w:eastAsia="ar-SA"/>
              </w:rPr>
              <w:t>2</w:t>
            </w:r>
          </w:p>
        </w:tc>
      </w:tr>
      <w:tr w:rsidR="002D0BDA" w:rsidRPr="006070EA" w14:paraId="4217BEB0" w14:textId="77777777" w:rsidTr="005038EA">
        <w:trPr>
          <w:cantSplit/>
        </w:trPr>
        <w:tc>
          <w:tcPr>
            <w:tcW w:w="2705" w:type="dxa"/>
          </w:tcPr>
          <w:p w14:paraId="0A30D4B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0E5DDDE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24F8D8AF" w14:textId="77777777" w:rsidTr="005038EA">
        <w:trPr>
          <w:cantSplit/>
        </w:trPr>
        <w:tc>
          <w:tcPr>
            <w:tcW w:w="2705" w:type="dxa"/>
          </w:tcPr>
          <w:p w14:paraId="23FB4DDD"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7AE6EEA6"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místní komunikace</w:t>
            </w:r>
          </w:p>
          <w:p w14:paraId="085E4E91" w14:textId="65B401AB"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technickou infrastrukturu (vodovod, plynovod, kanalizace,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w:t>
            </w:r>
          </w:p>
        </w:tc>
      </w:tr>
      <w:tr w:rsidR="002D0BDA" w:rsidRPr="006070EA" w14:paraId="701A5FFE" w14:textId="77777777" w:rsidTr="005038EA">
        <w:trPr>
          <w:cantSplit/>
        </w:trPr>
        <w:tc>
          <w:tcPr>
            <w:tcW w:w="2705" w:type="dxa"/>
          </w:tcPr>
          <w:p w14:paraId="799D7A6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296DB08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23489A52" w14:textId="77777777" w:rsidTr="005038EA">
        <w:trPr>
          <w:cantSplit/>
        </w:trPr>
        <w:tc>
          <w:tcPr>
            <w:tcW w:w="2705" w:type="dxa"/>
          </w:tcPr>
          <w:p w14:paraId="3EE1868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6CF23783"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a IV. třídy ochrany</w:t>
            </w:r>
          </w:p>
        </w:tc>
      </w:tr>
      <w:tr w:rsidR="002D0BDA" w:rsidRPr="006070EA" w14:paraId="2FC73FC4" w14:textId="77777777" w:rsidTr="005038EA">
        <w:trPr>
          <w:cantSplit/>
        </w:trPr>
        <w:tc>
          <w:tcPr>
            <w:tcW w:w="2705" w:type="dxa"/>
          </w:tcPr>
          <w:p w14:paraId="33550DD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6100A09C"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Kostomlat nad Labem. Plocha dotváří západní okraj zástavby podél ulice 9. května (silnice III/2725) ve směru na sídlo Rozkoš.</w:t>
            </w:r>
          </w:p>
          <w:p w14:paraId="701E60A7"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p w14:paraId="586EDAA8" w14:textId="6DDBFDC3"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byla vymezena rovněž na základě prověření požadavku na výstavbu RD na p.</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č. 894/39 v k.</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ú. Kostomlaty nad Labem.</w:t>
            </w:r>
          </w:p>
        </w:tc>
      </w:tr>
      <w:tr w:rsidR="002D0BDA" w:rsidRPr="006070EA" w14:paraId="6CB9629C" w14:textId="77777777" w:rsidTr="005038EA">
        <w:trPr>
          <w:cantSplit/>
        </w:trPr>
        <w:tc>
          <w:tcPr>
            <w:tcW w:w="2705" w:type="dxa"/>
          </w:tcPr>
          <w:p w14:paraId="09E608C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58EBE4E7" w14:textId="3E75FA5F"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Respektovat podmínky stanovené v koridoru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KD</w:t>
            </w:r>
            <w:r w:rsidR="0097451F">
              <w:rPr>
                <w:rFonts w:asciiTheme="majorHAnsi" w:eastAsia="Times New Roman" w:hAnsiTheme="majorHAnsi" w:cstheme="majorHAnsi"/>
                <w:bCs/>
                <w:iCs/>
                <w:sz w:val="18"/>
                <w:szCs w:val="20"/>
                <w:lang w:eastAsia="ar-SA"/>
              </w:rPr>
              <w:t>2</w:t>
            </w:r>
            <w:r w:rsidRPr="006070EA">
              <w:rPr>
                <w:rFonts w:asciiTheme="majorHAnsi" w:eastAsia="Times New Roman" w:hAnsiTheme="majorHAnsi" w:cstheme="majorHAnsi"/>
                <w:bCs/>
                <w:iCs/>
                <w:sz w:val="18"/>
                <w:szCs w:val="20"/>
                <w:lang w:eastAsia="ar-SA"/>
              </w:rPr>
              <w:t>.</w:t>
            </w:r>
          </w:p>
        </w:tc>
      </w:tr>
    </w:tbl>
    <w:p w14:paraId="1F08DBB5"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2D0BDA" w:rsidRPr="006070EA" w14:paraId="4E3D3784" w14:textId="77777777" w:rsidTr="00A13D9A">
        <w:trPr>
          <w:cantSplit/>
          <w:tblHeader/>
        </w:trPr>
        <w:tc>
          <w:tcPr>
            <w:tcW w:w="2660" w:type="dxa"/>
            <w:shd w:val="clear" w:color="auto" w:fill="F2F2F2" w:themeFill="background1" w:themeFillShade="F2"/>
          </w:tcPr>
          <w:p w14:paraId="31E16AEC"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Zastavitelná plocha</w:t>
            </w:r>
          </w:p>
        </w:tc>
        <w:tc>
          <w:tcPr>
            <w:tcW w:w="6410" w:type="dxa"/>
            <w:shd w:val="clear" w:color="auto" w:fill="F2F2F2" w:themeFill="background1" w:themeFillShade="F2"/>
          </w:tcPr>
          <w:p w14:paraId="2FCFB41B" w14:textId="1BD3FD1F"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10</w:t>
            </w:r>
          </w:p>
        </w:tc>
      </w:tr>
      <w:tr w:rsidR="00A13D9A" w:rsidRPr="006070EA" w14:paraId="1C978AC6" w14:textId="77777777" w:rsidTr="00FC1E99">
        <w:trPr>
          <w:cantSplit/>
          <w:trHeight w:val="227"/>
        </w:trPr>
        <w:tc>
          <w:tcPr>
            <w:tcW w:w="9070" w:type="dxa"/>
            <w:gridSpan w:val="2"/>
          </w:tcPr>
          <w:p w14:paraId="759CD4AB" w14:textId="24EC9C93" w:rsidR="00A13D9A" w:rsidRPr="006070EA" w:rsidRDefault="00A13D9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vypuštěna v rámci úprav po společném jednání (požadavek obce)</w:t>
            </w:r>
          </w:p>
        </w:tc>
      </w:tr>
    </w:tbl>
    <w:p w14:paraId="42E3BCC0"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53B4E58D" w14:textId="77777777" w:rsidTr="005038EA">
        <w:trPr>
          <w:cantSplit/>
          <w:tblHeader/>
        </w:trPr>
        <w:tc>
          <w:tcPr>
            <w:tcW w:w="2705" w:type="dxa"/>
            <w:shd w:val="clear" w:color="auto" w:fill="F2F2F2" w:themeFill="background1" w:themeFillShade="F2"/>
          </w:tcPr>
          <w:p w14:paraId="35CCDDCE"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0F65E954" w14:textId="2EA25299"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11</w:t>
            </w:r>
          </w:p>
        </w:tc>
      </w:tr>
      <w:tr w:rsidR="002D0BDA" w:rsidRPr="006070EA" w14:paraId="1736DD04" w14:textId="77777777" w:rsidTr="005038EA">
        <w:trPr>
          <w:cantSplit/>
        </w:trPr>
        <w:tc>
          <w:tcPr>
            <w:tcW w:w="2705" w:type="dxa"/>
          </w:tcPr>
          <w:p w14:paraId="5DD7283D"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222F9A15" w14:textId="530C8288"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BI – bydlení </w:t>
            </w:r>
            <w:r w:rsidR="00961C8B" w:rsidRPr="006070EA">
              <w:rPr>
                <w:rFonts w:asciiTheme="majorHAnsi" w:eastAsia="Times New Roman" w:hAnsiTheme="majorHAnsi" w:cstheme="majorHAnsi"/>
                <w:sz w:val="18"/>
                <w:szCs w:val="18"/>
                <w:lang w:eastAsia="cs-CZ"/>
              </w:rPr>
              <w:t>individuální</w:t>
            </w:r>
            <w:r w:rsidRPr="006070EA">
              <w:rPr>
                <w:rFonts w:asciiTheme="majorHAnsi" w:eastAsia="Times New Roman" w:hAnsiTheme="majorHAnsi" w:cstheme="majorHAnsi"/>
                <w:sz w:val="18"/>
                <w:szCs w:val="18"/>
                <w:lang w:eastAsia="cs-CZ"/>
              </w:rPr>
              <w:t xml:space="preserve"> </w:t>
            </w:r>
          </w:p>
        </w:tc>
      </w:tr>
      <w:tr w:rsidR="002D0BDA" w:rsidRPr="006070EA" w14:paraId="586C2B96" w14:textId="77777777" w:rsidTr="005038EA">
        <w:trPr>
          <w:cantSplit/>
        </w:trPr>
        <w:tc>
          <w:tcPr>
            <w:tcW w:w="2705" w:type="dxa"/>
          </w:tcPr>
          <w:p w14:paraId="2EC99D9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07AECFF2" w14:textId="4F12DD56"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železniční trati, OP komunikačního vedení</w:t>
            </w:r>
          </w:p>
        </w:tc>
      </w:tr>
      <w:tr w:rsidR="002D0BDA" w:rsidRPr="006070EA" w14:paraId="669932CC" w14:textId="77777777" w:rsidTr="005038EA">
        <w:trPr>
          <w:cantSplit/>
        </w:trPr>
        <w:tc>
          <w:tcPr>
            <w:tcW w:w="2705" w:type="dxa"/>
          </w:tcPr>
          <w:p w14:paraId="48D10DEE"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171047A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62DF5260" w14:textId="77777777" w:rsidTr="005038EA">
        <w:trPr>
          <w:cantSplit/>
        </w:trPr>
        <w:tc>
          <w:tcPr>
            <w:tcW w:w="2705" w:type="dxa"/>
          </w:tcPr>
          <w:p w14:paraId="1E3E9C3F"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62FCD216"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místní komunikace</w:t>
            </w:r>
          </w:p>
          <w:p w14:paraId="18146E7C"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Technická infrastruktura v dosahu (vodovod, plynovod, kanalizace)</w:t>
            </w:r>
          </w:p>
        </w:tc>
      </w:tr>
      <w:tr w:rsidR="002D0BDA" w:rsidRPr="006070EA" w14:paraId="67D329F3" w14:textId="77777777" w:rsidTr="005038EA">
        <w:trPr>
          <w:cantSplit/>
        </w:trPr>
        <w:tc>
          <w:tcPr>
            <w:tcW w:w="2705" w:type="dxa"/>
          </w:tcPr>
          <w:p w14:paraId="2C682A15"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33232F1D"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6285EC43" w14:textId="77777777" w:rsidTr="005038EA">
        <w:trPr>
          <w:cantSplit/>
        </w:trPr>
        <w:tc>
          <w:tcPr>
            <w:tcW w:w="2705" w:type="dxa"/>
          </w:tcPr>
          <w:p w14:paraId="2AFD34E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4EE28144"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III. třídy ochrany</w:t>
            </w:r>
          </w:p>
        </w:tc>
      </w:tr>
      <w:tr w:rsidR="002D0BDA" w:rsidRPr="006070EA" w14:paraId="6601DBCB" w14:textId="77777777" w:rsidTr="005038EA">
        <w:trPr>
          <w:cantSplit/>
        </w:trPr>
        <w:tc>
          <w:tcPr>
            <w:tcW w:w="2705" w:type="dxa"/>
          </w:tcPr>
          <w:p w14:paraId="46C5A905"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27F20720" w14:textId="39527DB8"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Kostomlat nad Labem. Plocha částečně vyplňuje prostor mezi železniční tratí a stávající zástavbou při ulici K Přejezdu. Plochou je doplňována urbanistická linie jižně od železniční trati, při zachování fyzického i vizuálního odstupu plochy trvalého bydlení od železnice vymezením navazující plochy veřejné zeleně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12. Rozsah plochy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11 byl stanoven i s ohledem na ochranu ZPF vysokých tříd ochrany v bezprostřední blízkosti při toku Hlubokého příkopu.</w:t>
            </w:r>
          </w:p>
          <w:p w14:paraId="0B08161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p w14:paraId="5044446D" w14:textId="5F6B6BD5"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Při vymezení plochy byl rovněž prověřen požadavek na výstavbu RD v rámci p.</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č. 781/2 v k.</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ú. Kostomlaty nad Labem.</w:t>
            </w:r>
          </w:p>
        </w:tc>
      </w:tr>
      <w:tr w:rsidR="002D0BDA" w:rsidRPr="006070EA" w14:paraId="32CE382E" w14:textId="77777777" w:rsidTr="005038EA">
        <w:trPr>
          <w:cantSplit/>
        </w:trPr>
        <w:tc>
          <w:tcPr>
            <w:tcW w:w="2705" w:type="dxa"/>
          </w:tcPr>
          <w:p w14:paraId="7059DE8C" w14:textId="77777777" w:rsidR="002D0BDA" w:rsidRPr="00F46326"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F46326">
              <w:rPr>
                <w:rFonts w:asciiTheme="majorHAnsi" w:eastAsia="Times New Roman" w:hAnsiTheme="majorHAnsi" w:cstheme="majorHAnsi"/>
                <w:b/>
                <w:bCs/>
                <w:iCs/>
                <w:sz w:val="18"/>
                <w:szCs w:val="20"/>
                <w:lang w:eastAsia="ar-SA"/>
              </w:rPr>
              <w:t>související podmínky využití</w:t>
            </w:r>
          </w:p>
        </w:tc>
        <w:tc>
          <w:tcPr>
            <w:tcW w:w="6581" w:type="dxa"/>
          </w:tcPr>
          <w:p w14:paraId="42BB9EF7" w14:textId="2BEE9F9D" w:rsidR="002D0BDA" w:rsidRPr="00F46326" w:rsidRDefault="0097451F"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F46326">
              <w:rPr>
                <w:rFonts w:asciiTheme="majorHAnsi" w:eastAsia="Times New Roman" w:hAnsiTheme="majorHAnsi" w:cstheme="majorHAnsi"/>
                <w:bCs/>
                <w:iCs/>
                <w:sz w:val="18"/>
                <w:szCs w:val="20"/>
                <w:lang w:eastAsia="ar-SA"/>
              </w:rPr>
              <w:t>-</w:t>
            </w:r>
          </w:p>
        </w:tc>
      </w:tr>
    </w:tbl>
    <w:p w14:paraId="2C4E1D5F"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8"/>
        <w:gridCol w:w="6412"/>
      </w:tblGrid>
      <w:tr w:rsidR="002D0BDA" w:rsidRPr="006070EA" w14:paraId="13A956CF" w14:textId="77777777" w:rsidTr="005038EA">
        <w:trPr>
          <w:cantSplit/>
          <w:tblHeader/>
        </w:trPr>
        <w:tc>
          <w:tcPr>
            <w:tcW w:w="2705" w:type="dxa"/>
            <w:shd w:val="clear" w:color="auto" w:fill="F2F2F2" w:themeFill="background1" w:themeFillShade="F2"/>
          </w:tcPr>
          <w:p w14:paraId="4BC98520"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0D04FEA2" w14:textId="440A6A9F"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12</w:t>
            </w:r>
          </w:p>
        </w:tc>
      </w:tr>
      <w:tr w:rsidR="002D0BDA" w:rsidRPr="006070EA" w14:paraId="45671A12" w14:textId="77777777" w:rsidTr="005038EA">
        <w:trPr>
          <w:cantSplit/>
        </w:trPr>
        <w:tc>
          <w:tcPr>
            <w:tcW w:w="2705" w:type="dxa"/>
          </w:tcPr>
          <w:p w14:paraId="6274016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17662A07" w14:textId="61B6324D" w:rsidR="002D0BDA" w:rsidRPr="006070EA" w:rsidRDefault="00961C8B" w:rsidP="005038EA">
            <w:pPr>
              <w:tabs>
                <w:tab w:val="center" w:pos="4536"/>
                <w:tab w:val="right" w:pos="9072"/>
              </w:tabs>
              <w:suppressAutoHyphens/>
              <w:spacing w:before="40" w:after="40"/>
              <w:jc w:val="both"/>
              <w:rPr>
                <w:rFonts w:asciiTheme="majorHAnsi" w:eastAsia="Times New Roman" w:hAnsiTheme="majorHAnsi" w:cstheme="majorHAnsi"/>
                <w:sz w:val="18"/>
                <w:szCs w:val="18"/>
                <w:lang w:eastAsia="cs-CZ"/>
              </w:rPr>
            </w:pPr>
            <w:r w:rsidRPr="006070EA">
              <w:rPr>
                <w:rFonts w:asciiTheme="majorHAnsi" w:eastAsia="Times New Roman" w:hAnsiTheme="majorHAnsi" w:cstheme="majorHAnsi"/>
                <w:sz w:val="18"/>
                <w:szCs w:val="18"/>
                <w:lang w:eastAsia="cs-CZ"/>
              </w:rPr>
              <w:t>ZP – zeleň – parky a parkově upravené plochy</w:t>
            </w:r>
            <w:r w:rsidR="002D0BDA" w:rsidRPr="006070EA">
              <w:rPr>
                <w:rFonts w:asciiTheme="majorHAnsi" w:eastAsia="Times New Roman" w:hAnsiTheme="majorHAnsi" w:cstheme="majorHAnsi"/>
                <w:sz w:val="18"/>
                <w:szCs w:val="18"/>
                <w:lang w:eastAsia="cs-CZ"/>
              </w:rPr>
              <w:t xml:space="preserve"> </w:t>
            </w:r>
          </w:p>
        </w:tc>
      </w:tr>
      <w:tr w:rsidR="002D0BDA" w:rsidRPr="006070EA" w14:paraId="3393BEC9" w14:textId="77777777" w:rsidTr="005038EA">
        <w:trPr>
          <w:cantSplit/>
        </w:trPr>
        <w:tc>
          <w:tcPr>
            <w:tcW w:w="2705" w:type="dxa"/>
          </w:tcPr>
          <w:p w14:paraId="1F6001F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41389AB4" w14:textId="0ED9F08C"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OP železniční trati, koridor </w:t>
            </w:r>
            <w:r w:rsidR="00961C8B" w:rsidRPr="006070EA">
              <w:rPr>
                <w:rFonts w:asciiTheme="majorHAnsi" w:eastAsia="Times New Roman" w:hAnsiTheme="majorHAnsi" w:cstheme="majorHAnsi"/>
                <w:bCs/>
                <w:iCs/>
                <w:sz w:val="18"/>
                <w:szCs w:val="20"/>
                <w:lang w:eastAsia="ar-SA"/>
              </w:rPr>
              <w:t>CN</w:t>
            </w:r>
            <w:r w:rsidR="0097451F">
              <w:rPr>
                <w:rFonts w:asciiTheme="majorHAnsi" w:eastAsia="Times New Roman" w:hAnsiTheme="majorHAnsi" w:cstheme="majorHAnsi"/>
                <w:bCs/>
                <w:iCs/>
                <w:sz w:val="18"/>
                <w:szCs w:val="20"/>
                <w:lang w:eastAsia="ar-SA"/>
              </w:rPr>
              <w:t>Z.D322</w:t>
            </w:r>
            <w:r w:rsidRPr="006070EA">
              <w:rPr>
                <w:rFonts w:asciiTheme="majorHAnsi" w:eastAsia="Times New Roman" w:hAnsiTheme="majorHAnsi" w:cstheme="majorHAnsi"/>
                <w:bCs/>
                <w:iCs/>
                <w:sz w:val="18"/>
                <w:szCs w:val="20"/>
                <w:lang w:eastAsia="ar-SA"/>
              </w:rPr>
              <w:t>, OP komunikačního vedení, ÚSES</w:t>
            </w:r>
          </w:p>
        </w:tc>
      </w:tr>
      <w:tr w:rsidR="002D0BDA" w:rsidRPr="006070EA" w14:paraId="02243C52" w14:textId="77777777" w:rsidTr="005038EA">
        <w:trPr>
          <w:cantSplit/>
        </w:trPr>
        <w:tc>
          <w:tcPr>
            <w:tcW w:w="2705" w:type="dxa"/>
          </w:tcPr>
          <w:p w14:paraId="460B053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2FD4649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0B9AF129" w14:textId="77777777" w:rsidTr="005038EA">
        <w:trPr>
          <w:cantSplit/>
        </w:trPr>
        <w:tc>
          <w:tcPr>
            <w:tcW w:w="2705" w:type="dxa"/>
          </w:tcPr>
          <w:p w14:paraId="432AB72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58C066AC"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místní komunikace</w:t>
            </w:r>
          </w:p>
          <w:p w14:paraId="682FC4B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Technická infrastruktura v dosahu (vodovod, plynovod, kanalizace)</w:t>
            </w:r>
          </w:p>
        </w:tc>
      </w:tr>
      <w:tr w:rsidR="002D0BDA" w:rsidRPr="006070EA" w14:paraId="582090CA" w14:textId="77777777" w:rsidTr="005038EA">
        <w:trPr>
          <w:cantSplit/>
        </w:trPr>
        <w:tc>
          <w:tcPr>
            <w:tcW w:w="2705" w:type="dxa"/>
          </w:tcPr>
          <w:p w14:paraId="5222605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0BD727D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3C740F39" w14:textId="77777777" w:rsidTr="005038EA">
        <w:trPr>
          <w:cantSplit/>
        </w:trPr>
        <w:tc>
          <w:tcPr>
            <w:tcW w:w="2705" w:type="dxa"/>
          </w:tcPr>
          <w:p w14:paraId="745F70DE"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0C79EC8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a III. třídy ochrany</w:t>
            </w:r>
          </w:p>
        </w:tc>
      </w:tr>
      <w:tr w:rsidR="002D0BDA" w:rsidRPr="006070EA" w14:paraId="5BE8B835" w14:textId="77777777" w:rsidTr="005038EA">
        <w:trPr>
          <w:cantSplit/>
        </w:trPr>
        <w:tc>
          <w:tcPr>
            <w:tcW w:w="2705" w:type="dxa"/>
          </w:tcPr>
          <w:p w14:paraId="4B78D42D"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75708D59" w14:textId="48567A76"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veřejné zeleně byla vymezena v prostoru mezi železniční tratí, tokem Hlubokého příkopu a zastavitelnou plochou trvalého bydlení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11. Vymezením je zachována prostupnost územím západovýchodním směrem mimo jiné i pro navrhovanou cyklotrasu a zároveň je fyzicky i vizuálně oddělena plocha trvalého bydlení od železniční trati pro zajištění dobré kvality bydlení v ploše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11. Plochou je oddělena plocha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11 od vodního toku pro zajištění funkcí lokálního biokoridoru L</w:t>
            </w:r>
            <w:r w:rsidR="00961C8B" w:rsidRPr="006070EA">
              <w:rPr>
                <w:rFonts w:asciiTheme="majorHAnsi" w:eastAsia="Times New Roman" w:hAnsiTheme="majorHAnsi" w:cstheme="majorHAnsi"/>
                <w:bCs/>
                <w:iCs/>
                <w:sz w:val="18"/>
                <w:szCs w:val="20"/>
                <w:lang w:eastAsia="ar-SA"/>
              </w:rPr>
              <w:t>B</w:t>
            </w:r>
            <w:r w:rsidRPr="006070EA">
              <w:rPr>
                <w:rFonts w:asciiTheme="majorHAnsi" w:eastAsia="Times New Roman" w:hAnsiTheme="majorHAnsi" w:cstheme="majorHAnsi"/>
                <w:bCs/>
                <w:iCs/>
                <w:sz w:val="18"/>
                <w:szCs w:val="20"/>
                <w:lang w:eastAsia="ar-SA"/>
              </w:rPr>
              <w:t>K</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w:t>
            </w:r>
          </w:p>
          <w:p w14:paraId="79EB88B6" w14:textId="41D69052"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Při vymezení plochy byl rovněž prověřen požadavek na výstavbu RD v rámci p.</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č. 781/2 v k.</w:t>
            </w:r>
            <w:r w:rsidR="00ED0078"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ú. Kostomlaty nad Labem.</w:t>
            </w:r>
          </w:p>
        </w:tc>
      </w:tr>
      <w:tr w:rsidR="002D0BDA" w:rsidRPr="006070EA" w14:paraId="111E77DC" w14:textId="77777777" w:rsidTr="005038EA">
        <w:trPr>
          <w:cantSplit/>
        </w:trPr>
        <w:tc>
          <w:tcPr>
            <w:tcW w:w="2705" w:type="dxa"/>
          </w:tcPr>
          <w:p w14:paraId="09EFC078"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4DB76EB2" w14:textId="60B79142"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Respektovat podmínky stanovené v koridoru </w:t>
            </w:r>
            <w:r w:rsidR="0097451F" w:rsidRPr="0097451F">
              <w:rPr>
                <w:rFonts w:asciiTheme="majorHAnsi" w:eastAsia="Times New Roman" w:hAnsiTheme="majorHAnsi" w:cstheme="majorHAnsi"/>
                <w:bCs/>
                <w:iCs/>
                <w:sz w:val="18"/>
                <w:szCs w:val="20"/>
                <w:lang w:eastAsia="ar-SA"/>
              </w:rPr>
              <w:t>CNZ.D322</w:t>
            </w:r>
            <w:r w:rsidRPr="006070EA">
              <w:rPr>
                <w:rFonts w:asciiTheme="majorHAnsi" w:eastAsia="Times New Roman" w:hAnsiTheme="majorHAnsi" w:cstheme="majorHAnsi"/>
                <w:bCs/>
                <w:iCs/>
                <w:sz w:val="18"/>
                <w:szCs w:val="20"/>
                <w:lang w:eastAsia="ar-SA"/>
              </w:rPr>
              <w:t>.</w:t>
            </w:r>
          </w:p>
        </w:tc>
      </w:tr>
    </w:tbl>
    <w:p w14:paraId="58E8FA8D"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2BFBB24A" w14:textId="77777777" w:rsidTr="005038EA">
        <w:trPr>
          <w:cantSplit/>
          <w:tblHeader/>
        </w:trPr>
        <w:tc>
          <w:tcPr>
            <w:tcW w:w="2705" w:type="dxa"/>
            <w:shd w:val="clear" w:color="auto" w:fill="F2F2F2" w:themeFill="background1" w:themeFillShade="F2"/>
          </w:tcPr>
          <w:p w14:paraId="7CE0E5EF"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5AE2058C" w14:textId="4E7B2A6C"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13</w:t>
            </w:r>
          </w:p>
        </w:tc>
      </w:tr>
      <w:tr w:rsidR="002D0BDA" w:rsidRPr="006070EA" w14:paraId="6C28F23C" w14:textId="77777777" w:rsidTr="005038EA">
        <w:trPr>
          <w:cantSplit/>
        </w:trPr>
        <w:tc>
          <w:tcPr>
            <w:tcW w:w="2705" w:type="dxa"/>
          </w:tcPr>
          <w:p w14:paraId="71F37FF8"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25814B0D" w14:textId="6E5920C2"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VL –</w:t>
            </w:r>
            <w:r w:rsidR="000C479F" w:rsidRPr="006070EA">
              <w:rPr>
                <w:rFonts w:asciiTheme="majorHAnsi" w:eastAsia="Times New Roman" w:hAnsiTheme="majorHAnsi" w:cstheme="majorHAnsi"/>
                <w:sz w:val="18"/>
                <w:szCs w:val="18"/>
                <w:lang w:eastAsia="cs-CZ"/>
              </w:rPr>
              <w:t xml:space="preserve"> </w:t>
            </w:r>
            <w:r w:rsidRPr="006070EA">
              <w:rPr>
                <w:rFonts w:asciiTheme="majorHAnsi" w:eastAsia="Times New Roman" w:hAnsiTheme="majorHAnsi" w:cstheme="majorHAnsi"/>
                <w:sz w:val="18"/>
                <w:szCs w:val="18"/>
                <w:lang w:eastAsia="cs-CZ"/>
              </w:rPr>
              <w:t xml:space="preserve">výroba </w:t>
            </w:r>
            <w:r w:rsidR="00961C8B" w:rsidRPr="006070EA">
              <w:rPr>
                <w:rFonts w:asciiTheme="majorHAnsi" w:eastAsia="Times New Roman" w:hAnsiTheme="majorHAnsi" w:cstheme="majorHAnsi"/>
                <w:sz w:val="18"/>
                <w:szCs w:val="18"/>
                <w:lang w:eastAsia="cs-CZ"/>
              </w:rPr>
              <w:t>lehká</w:t>
            </w:r>
            <w:r w:rsidRPr="006070EA">
              <w:rPr>
                <w:rFonts w:asciiTheme="majorHAnsi" w:eastAsia="Times New Roman" w:hAnsiTheme="majorHAnsi" w:cstheme="majorHAnsi"/>
                <w:sz w:val="18"/>
                <w:szCs w:val="18"/>
                <w:lang w:eastAsia="cs-CZ"/>
              </w:rPr>
              <w:t xml:space="preserve"> </w:t>
            </w:r>
          </w:p>
        </w:tc>
      </w:tr>
      <w:tr w:rsidR="002D0BDA" w:rsidRPr="006070EA" w14:paraId="70F110F3" w14:textId="77777777" w:rsidTr="005038EA">
        <w:trPr>
          <w:cantSplit/>
        </w:trPr>
        <w:tc>
          <w:tcPr>
            <w:tcW w:w="2705" w:type="dxa"/>
          </w:tcPr>
          <w:p w14:paraId="79E1D0B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671021E4" w14:textId="4F8536D3"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OP silnice II. třídy (II/331); OP železniční trati, koridor </w:t>
            </w:r>
            <w:r w:rsidR="0097451F" w:rsidRPr="0097451F">
              <w:rPr>
                <w:rFonts w:asciiTheme="majorHAnsi" w:eastAsia="Times New Roman" w:hAnsiTheme="majorHAnsi" w:cstheme="majorHAnsi"/>
                <w:bCs/>
                <w:iCs/>
                <w:sz w:val="18"/>
                <w:szCs w:val="20"/>
                <w:lang w:eastAsia="ar-SA"/>
              </w:rPr>
              <w:t>CNZ.D322</w:t>
            </w:r>
            <w:r w:rsidRPr="006070EA">
              <w:rPr>
                <w:rFonts w:asciiTheme="majorHAnsi" w:eastAsia="Times New Roman" w:hAnsiTheme="majorHAnsi" w:cstheme="majorHAnsi"/>
                <w:bCs/>
                <w:iCs/>
                <w:sz w:val="18"/>
                <w:szCs w:val="20"/>
                <w:lang w:eastAsia="ar-SA"/>
              </w:rPr>
              <w:t>, OP komunikačního vedení, radioreléová trasa</w:t>
            </w:r>
            <w:r w:rsidR="00C208DE">
              <w:rPr>
                <w:rFonts w:asciiTheme="majorHAnsi" w:eastAsia="Times New Roman" w:hAnsiTheme="majorHAnsi" w:cstheme="majorHAnsi"/>
                <w:bCs/>
                <w:iCs/>
                <w:sz w:val="18"/>
                <w:szCs w:val="20"/>
                <w:lang w:eastAsia="ar-SA"/>
              </w:rPr>
              <w:t xml:space="preserve">, </w:t>
            </w:r>
            <w:r w:rsidR="00C208DE" w:rsidRPr="006070EA">
              <w:rPr>
                <w:rFonts w:asciiTheme="majorHAnsi" w:eastAsia="Times New Roman" w:hAnsiTheme="majorHAnsi" w:cstheme="majorHAnsi"/>
                <w:bCs/>
                <w:iCs/>
                <w:sz w:val="18"/>
                <w:szCs w:val="20"/>
                <w:lang w:eastAsia="ar-SA"/>
              </w:rPr>
              <w:t>koridor CNU.KD</w:t>
            </w:r>
            <w:r w:rsidR="00C208DE">
              <w:rPr>
                <w:rFonts w:asciiTheme="majorHAnsi" w:eastAsia="Times New Roman" w:hAnsiTheme="majorHAnsi" w:cstheme="majorHAnsi"/>
                <w:bCs/>
                <w:iCs/>
                <w:sz w:val="18"/>
                <w:szCs w:val="20"/>
                <w:lang w:eastAsia="ar-SA"/>
              </w:rPr>
              <w:t>3</w:t>
            </w:r>
          </w:p>
        </w:tc>
      </w:tr>
      <w:tr w:rsidR="002D0BDA" w:rsidRPr="006070EA" w14:paraId="58F6851F" w14:textId="77777777" w:rsidTr="005038EA">
        <w:trPr>
          <w:cantSplit/>
        </w:trPr>
        <w:tc>
          <w:tcPr>
            <w:tcW w:w="2705" w:type="dxa"/>
          </w:tcPr>
          <w:p w14:paraId="6B243468"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66FB7CF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částečně převzato z ÚPO</w:t>
            </w:r>
          </w:p>
        </w:tc>
      </w:tr>
      <w:tr w:rsidR="002D0BDA" w:rsidRPr="006070EA" w14:paraId="1DA43EEE" w14:textId="77777777" w:rsidTr="005038EA">
        <w:trPr>
          <w:cantSplit/>
        </w:trPr>
        <w:tc>
          <w:tcPr>
            <w:tcW w:w="2705" w:type="dxa"/>
          </w:tcPr>
          <w:p w14:paraId="045DCB3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vazba na veřejnou infrastrukturu (DI, TI)</w:t>
            </w:r>
          </w:p>
        </w:tc>
        <w:tc>
          <w:tcPr>
            <w:tcW w:w="6581" w:type="dxa"/>
          </w:tcPr>
          <w:p w14:paraId="1D4A6F87"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místní komunikace</w:t>
            </w:r>
          </w:p>
          <w:p w14:paraId="4BA5406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Technická infrastruktura v dosahu (vodovod, plynovod, kanalizace)</w:t>
            </w:r>
          </w:p>
        </w:tc>
      </w:tr>
      <w:tr w:rsidR="002D0BDA" w:rsidRPr="006070EA" w14:paraId="674EB0BE" w14:textId="77777777" w:rsidTr="005038EA">
        <w:trPr>
          <w:cantSplit/>
        </w:trPr>
        <w:tc>
          <w:tcPr>
            <w:tcW w:w="2705" w:type="dxa"/>
          </w:tcPr>
          <w:p w14:paraId="410EFAF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76BDB827"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374B7678" w14:textId="77777777" w:rsidTr="005038EA">
        <w:trPr>
          <w:cantSplit/>
        </w:trPr>
        <w:tc>
          <w:tcPr>
            <w:tcW w:w="2705" w:type="dxa"/>
          </w:tcPr>
          <w:p w14:paraId="50DF5D8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24143BE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III. a IV. třídy ochrany</w:t>
            </w:r>
          </w:p>
        </w:tc>
      </w:tr>
      <w:tr w:rsidR="002D0BDA" w:rsidRPr="006070EA" w14:paraId="172F553D" w14:textId="77777777" w:rsidTr="005038EA">
        <w:trPr>
          <w:cantSplit/>
        </w:trPr>
        <w:tc>
          <w:tcPr>
            <w:tcW w:w="2705" w:type="dxa"/>
          </w:tcPr>
          <w:p w14:paraId="650CBA1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344C4F7D"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Vymezení lokality pro zajištění kontinuity ekonomického rozvoje území a podpory malého a středního podnikání v území.</w:t>
            </w:r>
          </w:p>
          <w:p w14:paraId="6E92324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zajištění minimálního rozsahu ploch pro výrobní aktivity na území města (mimo jeho obytné části) a v souladu se základní koncepcí rozvoje území, která vychází z původního řešení ÚPO. </w:t>
            </w:r>
          </w:p>
          <w:p w14:paraId="79A056D0" w14:textId="2FBA6A4B"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v rozsahu stávajících manipulačních ploch pro případný rozvoj stávajícího výrobního areálu na východním okraji Kostomlat nad Labem. Vzhledem k lokalizaci plochy mimo kontakt s obytnou zástavbou nedojde k narušení pohody bydlení v sídle Kostomlaty nad Labem. </w:t>
            </w:r>
          </w:p>
        </w:tc>
      </w:tr>
      <w:tr w:rsidR="002D0BDA" w:rsidRPr="006070EA" w14:paraId="17DFFEC4" w14:textId="77777777" w:rsidTr="005038EA">
        <w:trPr>
          <w:cantSplit/>
        </w:trPr>
        <w:tc>
          <w:tcPr>
            <w:tcW w:w="2705" w:type="dxa"/>
          </w:tcPr>
          <w:p w14:paraId="0DE5B96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4105D59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bl>
    <w:p w14:paraId="073D50D1"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8"/>
        <w:gridCol w:w="6412"/>
      </w:tblGrid>
      <w:tr w:rsidR="002D0BDA" w:rsidRPr="006070EA" w14:paraId="4CC501B5" w14:textId="77777777" w:rsidTr="005038EA">
        <w:trPr>
          <w:cantSplit/>
          <w:tblHeader/>
        </w:trPr>
        <w:tc>
          <w:tcPr>
            <w:tcW w:w="2705" w:type="dxa"/>
            <w:shd w:val="clear" w:color="auto" w:fill="F2F2F2" w:themeFill="background1" w:themeFillShade="F2"/>
          </w:tcPr>
          <w:p w14:paraId="56520A76"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246834F9" w14:textId="3CD46A2E"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14</w:t>
            </w:r>
          </w:p>
        </w:tc>
      </w:tr>
      <w:tr w:rsidR="002D0BDA" w:rsidRPr="006070EA" w14:paraId="77C14104" w14:textId="77777777" w:rsidTr="005038EA">
        <w:trPr>
          <w:cantSplit/>
        </w:trPr>
        <w:tc>
          <w:tcPr>
            <w:tcW w:w="2705" w:type="dxa"/>
          </w:tcPr>
          <w:p w14:paraId="3CDF610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609964EA" w14:textId="39CAEBE3"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BI – bydlení </w:t>
            </w:r>
            <w:r w:rsidR="00961C8B" w:rsidRPr="006070EA">
              <w:rPr>
                <w:rFonts w:asciiTheme="majorHAnsi" w:eastAsia="Times New Roman" w:hAnsiTheme="majorHAnsi" w:cstheme="majorHAnsi"/>
                <w:sz w:val="18"/>
                <w:szCs w:val="18"/>
                <w:lang w:eastAsia="cs-CZ"/>
              </w:rPr>
              <w:t>individuální</w:t>
            </w:r>
            <w:r w:rsidRPr="006070EA">
              <w:rPr>
                <w:rFonts w:asciiTheme="majorHAnsi" w:eastAsia="Times New Roman" w:hAnsiTheme="majorHAnsi" w:cstheme="majorHAnsi"/>
                <w:sz w:val="18"/>
                <w:szCs w:val="18"/>
                <w:lang w:eastAsia="cs-CZ"/>
              </w:rPr>
              <w:t xml:space="preserve"> </w:t>
            </w:r>
          </w:p>
        </w:tc>
      </w:tr>
      <w:tr w:rsidR="002D0BDA" w:rsidRPr="006070EA" w14:paraId="7E8FF396" w14:textId="77777777" w:rsidTr="005038EA">
        <w:trPr>
          <w:cantSplit/>
        </w:trPr>
        <w:tc>
          <w:tcPr>
            <w:tcW w:w="2705" w:type="dxa"/>
          </w:tcPr>
          <w:p w14:paraId="4BE838C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26D6192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OP silnice II. třídy (III/3319); pásmo </w:t>
            </w:r>
            <w:proofErr w:type="gramStart"/>
            <w:r w:rsidRPr="006070EA">
              <w:rPr>
                <w:rFonts w:asciiTheme="majorHAnsi" w:eastAsia="Times New Roman" w:hAnsiTheme="majorHAnsi" w:cstheme="majorHAnsi"/>
                <w:bCs/>
                <w:iCs/>
                <w:sz w:val="18"/>
                <w:szCs w:val="20"/>
                <w:lang w:eastAsia="ar-SA"/>
              </w:rPr>
              <w:t>50m</w:t>
            </w:r>
            <w:proofErr w:type="gramEnd"/>
            <w:r w:rsidRPr="006070EA">
              <w:rPr>
                <w:rFonts w:asciiTheme="majorHAnsi" w:eastAsia="Times New Roman" w:hAnsiTheme="majorHAnsi" w:cstheme="majorHAnsi"/>
                <w:bCs/>
                <w:iCs/>
                <w:sz w:val="18"/>
                <w:szCs w:val="20"/>
                <w:lang w:eastAsia="ar-SA"/>
              </w:rPr>
              <w:t xml:space="preserve"> od hranice PUPFL; elektrické vedení vn 22kV vč. OP</w:t>
            </w:r>
          </w:p>
        </w:tc>
      </w:tr>
      <w:tr w:rsidR="002D0BDA" w:rsidRPr="006070EA" w14:paraId="6B7CF73A" w14:textId="77777777" w:rsidTr="005038EA">
        <w:trPr>
          <w:cantSplit/>
        </w:trPr>
        <w:tc>
          <w:tcPr>
            <w:tcW w:w="2705" w:type="dxa"/>
          </w:tcPr>
          <w:p w14:paraId="7380BC7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2CCA6477"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převzato z ÚPO</w:t>
            </w:r>
          </w:p>
        </w:tc>
      </w:tr>
      <w:tr w:rsidR="002D0BDA" w:rsidRPr="006070EA" w14:paraId="319B2218" w14:textId="77777777" w:rsidTr="005038EA">
        <w:trPr>
          <w:cantSplit/>
        </w:trPr>
        <w:tc>
          <w:tcPr>
            <w:tcW w:w="2705" w:type="dxa"/>
          </w:tcPr>
          <w:p w14:paraId="34256FA5"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1B38E54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silnici III/3319</w:t>
            </w:r>
          </w:p>
          <w:p w14:paraId="70C0DAE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(vodovod, plynovod)</w:t>
            </w:r>
          </w:p>
        </w:tc>
      </w:tr>
      <w:tr w:rsidR="002D0BDA" w:rsidRPr="006070EA" w14:paraId="44BDABEC" w14:textId="77777777" w:rsidTr="005038EA">
        <w:trPr>
          <w:cantSplit/>
        </w:trPr>
        <w:tc>
          <w:tcPr>
            <w:tcW w:w="2705" w:type="dxa"/>
          </w:tcPr>
          <w:p w14:paraId="2777B98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37153C7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nepřímé návaznosti na zastavěné území oddělená od ZÚ vodním tokem</w:t>
            </w:r>
          </w:p>
        </w:tc>
      </w:tr>
      <w:tr w:rsidR="002D0BDA" w:rsidRPr="006070EA" w14:paraId="6438F727" w14:textId="77777777" w:rsidTr="005038EA">
        <w:trPr>
          <w:cantSplit/>
        </w:trPr>
        <w:tc>
          <w:tcPr>
            <w:tcW w:w="2705" w:type="dxa"/>
          </w:tcPr>
          <w:p w14:paraId="3B795EE4"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3A3A28B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2D0BDA" w:rsidRPr="006070EA" w14:paraId="697472B5" w14:textId="77777777" w:rsidTr="005038EA">
        <w:trPr>
          <w:cantSplit/>
        </w:trPr>
        <w:tc>
          <w:tcPr>
            <w:tcW w:w="2705" w:type="dxa"/>
          </w:tcPr>
          <w:p w14:paraId="786E8AF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43D683A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Kostomlat nad Labem. Plochou je urbanisticky dotvářena jižní část prstence obytné zástavby kolem centrální části Kostomlat nad Labem a vytvářen kompaktní tvar zástavby tak, aby byl minimalizován plošný zábor volné krajiny.</w:t>
            </w:r>
          </w:p>
          <w:p w14:paraId="178611DD"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Vymezením plochy je zachovávána koncepce rozvoje území z původní ÚPO. Přímou návazností na komunikaci III/3319 je zajišťována dopravní i pěší dostupnost centra obce s veřejnou občanskou vybaveností. </w:t>
            </w:r>
          </w:p>
          <w:p w14:paraId="0D67FD7E" w14:textId="294EFA6B" w:rsidR="00ED0078"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tc>
      </w:tr>
      <w:tr w:rsidR="002D0BDA" w:rsidRPr="006070EA" w14:paraId="7AED739F" w14:textId="77777777" w:rsidTr="005038EA">
        <w:trPr>
          <w:cantSplit/>
        </w:trPr>
        <w:tc>
          <w:tcPr>
            <w:tcW w:w="2705" w:type="dxa"/>
          </w:tcPr>
          <w:p w14:paraId="336182D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3EE539F6" w14:textId="38C8276D" w:rsidR="002D0BDA" w:rsidRPr="006070EA" w:rsidRDefault="00C13B55"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Vydání regulačního plánu RP</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2.</w:t>
            </w:r>
          </w:p>
        </w:tc>
      </w:tr>
    </w:tbl>
    <w:p w14:paraId="02799220"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1A4CC363" w14:textId="77777777" w:rsidTr="005038EA">
        <w:trPr>
          <w:cantSplit/>
          <w:tblHeader/>
        </w:trPr>
        <w:tc>
          <w:tcPr>
            <w:tcW w:w="2705" w:type="dxa"/>
            <w:shd w:val="clear" w:color="auto" w:fill="F2F2F2" w:themeFill="background1" w:themeFillShade="F2"/>
          </w:tcPr>
          <w:p w14:paraId="0CE796BE"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2B8EA495" w14:textId="719D50C5"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15</w:t>
            </w:r>
          </w:p>
        </w:tc>
      </w:tr>
      <w:tr w:rsidR="002D0BDA" w:rsidRPr="006070EA" w14:paraId="4CA7FC82" w14:textId="77777777" w:rsidTr="005038EA">
        <w:trPr>
          <w:cantSplit/>
        </w:trPr>
        <w:tc>
          <w:tcPr>
            <w:tcW w:w="2705" w:type="dxa"/>
          </w:tcPr>
          <w:p w14:paraId="0DF05A5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58C65B43" w14:textId="4E39E2FD"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SV – smíšené obytné venkovské </w:t>
            </w:r>
          </w:p>
        </w:tc>
      </w:tr>
      <w:tr w:rsidR="002D0BDA" w:rsidRPr="006070EA" w14:paraId="45D4B7CC" w14:textId="77777777" w:rsidTr="005038EA">
        <w:trPr>
          <w:cantSplit/>
        </w:trPr>
        <w:tc>
          <w:tcPr>
            <w:tcW w:w="2705" w:type="dxa"/>
          </w:tcPr>
          <w:p w14:paraId="638EDD3E"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7ACA8171" w14:textId="73132126"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elektrické vedení vn 22kV vč. OP;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KD1; plošná investice do půdy (odvodnění); OP komunikačního zařízení</w:t>
            </w:r>
          </w:p>
        </w:tc>
      </w:tr>
      <w:tr w:rsidR="002D0BDA" w:rsidRPr="006070EA" w14:paraId="30A64D4C" w14:textId="77777777" w:rsidTr="005038EA">
        <w:trPr>
          <w:cantSplit/>
        </w:trPr>
        <w:tc>
          <w:tcPr>
            <w:tcW w:w="2705" w:type="dxa"/>
          </w:tcPr>
          <w:p w14:paraId="0C9BEEBF"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5522BC80"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5026A61A" w14:textId="77777777" w:rsidTr="005038EA">
        <w:trPr>
          <w:cantSplit/>
        </w:trPr>
        <w:tc>
          <w:tcPr>
            <w:tcW w:w="2705" w:type="dxa"/>
          </w:tcPr>
          <w:p w14:paraId="76F02B6E"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76BF1E7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silnici III/3317</w:t>
            </w:r>
          </w:p>
          <w:p w14:paraId="1D006651"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(vodovod, plynovod, kanalizace)</w:t>
            </w:r>
          </w:p>
          <w:p w14:paraId="3361F5FC" w14:textId="6D02BEC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15F8F06C" w14:textId="77777777" w:rsidTr="005038EA">
        <w:trPr>
          <w:cantSplit/>
        </w:trPr>
        <w:tc>
          <w:tcPr>
            <w:tcW w:w="2705" w:type="dxa"/>
          </w:tcPr>
          <w:p w14:paraId="75BF2050"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40479A5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13113FD3" w14:textId="77777777" w:rsidTr="005038EA">
        <w:trPr>
          <w:cantSplit/>
        </w:trPr>
        <w:tc>
          <w:tcPr>
            <w:tcW w:w="2705" w:type="dxa"/>
          </w:tcPr>
          <w:p w14:paraId="0A2C1988"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58DC360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2D0BDA" w:rsidRPr="006070EA" w14:paraId="7A430A12" w14:textId="77777777" w:rsidTr="005038EA">
        <w:trPr>
          <w:cantSplit/>
        </w:trPr>
        <w:tc>
          <w:tcPr>
            <w:tcW w:w="2705" w:type="dxa"/>
          </w:tcPr>
          <w:p w14:paraId="17CA4B9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hlavní důvody vymezení plochy</w:t>
            </w:r>
          </w:p>
        </w:tc>
        <w:tc>
          <w:tcPr>
            <w:tcW w:w="6581" w:type="dxa"/>
          </w:tcPr>
          <w:p w14:paraId="46C35DDD" w14:textId="09960FAA"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sídla Lány. Plocha je součástí koncepce urbanistického rozvoje sídla Lány v západní linii od silnice III/3317. Plochou je doplňována široká stavební proluka (mezi č.</w:t>
            </w:r>
            <w:r w:rsidR="005272E3"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p. 227 a č.</w:t>
            </w:r>
            <w:r w:rsidR="005272E3"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p. 35).</w:t>
            </w:r>
          </w:p>
          <w:p w14:paraId="4FF4B7F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tc>
      </w:tr>
      <w:tr w:rsidR="002D0BDA" w:rsidRPr="006070EA" w14:paraId="6C3616C0" w14:textId="77777777" w:rsidTr="005038EA">
        <w:trPr>
          <w:cantSplit/>
        </w:trPr>
        <w:tc>
          <w:tcPr>
            <w:tcW w:w="2705" w:type="dxa"/>
          </w:tcPr>
          <w:p w14:paraId="78E6585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37D7C890" w14:textId="3FEBB303" w:rsidR="002D0BDA" w:rsidRPr="006070EA" w:rsidRDefault="00C13B55"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Rozhodování v částech zastavitelné plochy, zasahujících do koridoru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KD1, je podmíněno realizací záměru, pro který je koridor vymezen.</w:t>
            </w:r>
          </w:p>
        </w:tc>
      </w:tr>
    </w:tbl>
    <w:p w14:paraId="7213A6CD"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4D5C8437" w14:textId="77777777" w:rsidTr="00C13B55">
        <w:trPr>
          <w:cantSplit/>
          <w:tblHeader/>
        </w:trPr>
        <w:tc>
          <w:tcPr>
            <w:tcW w:w="2659" w:type="dxa"/>
            <w:shd w:val="clear" w:color="auto" w:fill="F2F2F2" w:themeFill="background1" w:themeFillShade="F2"/>
          </w:tcPr>
          <w:p w14:paraId="76F30BC4"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411" w:type="dxa"/>
            <w:shd w:val="clear" w:color="auto" w:fill="F2F2F2" w:themeFill="background1" w:themeFillShade="F2"/>
          </w:tcPr>
          <w:p w14:paraId="651763CC" w14:textId="71C21124"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16</w:t>
            </w:r>
          </w:p>
        </w:tc>
      </w:tr>
      <w:tr w:rsidR="002D0BDA" w:rsidRPr="006070EA" w14:paraId="30ED1C73" w14:textId="77777777" w:rsidTr="00C13B55">
        <w:trPr>
          <w:cantSplit/>
        </w:trPr>
        <w:tc>
          <w:tcPr>
            <w:tcW w:w="2659" w:type="dxa"/>
          </w:tcPr>
          <w:p w14:paraId="71491C8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411" w:type="dxa"/>
            <w:vAlign w:val="center"/>
          </w:tcPr>
          <w:p w14:paraId="1CD84C20" w14:textId="7099FDF4"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SV – smíšené obytné venkovské </w:t>
            </w:r>
          </w:p>
        </w:tc>
      </w:tr>
      <w:tr w:rsidR="002D0BDA" w:rsidRPr="006070EA" w14:paraId="51C6B6C2" w14:textId="77777777" w:rsidTr="00C13B55">
        <w:trPr>
          <w:cantSplit/>
        </w:trPr>
        <w:tc>
          <w:tcPr>
            <w:tcW w:w="2659" w:type="dxa"/>
          </w:tcPr>
          <w:p w14:paraId="136943CB"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411" w:type="dxa"/>
          </w:tcPr>
          <w:p w14:paraId="485A7852" w14:textId="2769EFCF"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KD1; plošná investice do půdy (odvodnění); radioreléová trasa; OP komunikačního zařízení</w:t>
            </w:r>
          </w:p>
        </w:tc>
      </w:tr>
      <w:tr w:rsidR="002D0BDA" w:rsidRPr="006070EA" w14:paraId="0CF75091" w14:textId="77777777" w:rsidTr="00C13B55">
        <w:trPr>
          <w:cantSplit/>
        </w:trPr>
        <w:tc>
          <w:tcPr>
            <w:tcW w:w="2659" w:type="dxa"/>
          </w:tcPr>
          <w:p w14:paraId="4F5E099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411" w:type="dxa"/>
          </w:tcPr>
          <w:p w14:paraId="65A1D864"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převzato z ÚPO</w:t>
            </w:r>
          </w:p>
        </w:tc>
      </w:tr>
      <w:tr w:rsidR="002D0BDA" w:rsidRPr="006070EA" w14:paraId="14B943D3" w14:textId="77777777" w:rsidTr="00C13B55">
        <w:trPr>
          <w:cantSplit/>
        </w:trPr>
        <w:tc>
          <w:tcPr>
            <w:tcW w:w="2659" w:type="dxa"/>
          </w:tcPr>
          <w:p w14:paraId="06DA952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411" w:type="dxa"/>
          </w:tcPr>
          <w:p w14:paraId="0A98E824"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silnici III/3317</w:t>
            </w:r>
          </w:p>
          <w:p w14:paraId="270E60E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(vodovod, plynovod, kanalizace)</w:t>
            </w:r>
          </w:p>
          <w:p w14:paraId="6DA9589C" w14:textId="2BBAD735"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09A3C2C8" w14:textId="77777777" w:rsidTr="00C13B55">
        <w:trPr>
          <w:cantSplit/>
        </w:trPr>
        <w:tc>
          <w:tcPr>
            <w:tcW w:w="2659" w:type="dxa"/>
          </w:tcPr>
          <w:p w14:paraId="226B9F8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411" w:type="dxa"/>
          </w:tcPr>
          <w:p w14:paraId="15D43937"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6D885087" w14:textId="77777777" w:rsidTr="00C13B55">
        <w:trPr>
          <w:cantSplit/>
        </w:trPr>
        <w:tc>
          <w:tcPr>
            <w:tcW w:w="2659" w:type="dxa"/>
          </w:tcPr>
          <w:p w14:paraId="6A74374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411" w:type="dxa"/>
          </w:tcPr>
          <w:p w14:paraId="0779FA6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2D0BDA" w:rsidRPr="006070EA" w14:paraId="188DCBCB" w14:textId="77777777" w:rsidTr="00C13B55">
        <w:trPr>
          <w:cantSplit/>
        </w:trPr>
        <w:tc>
          <w:tcPr>
            <w:tcW w:w="2659" w:type="dxa"/>
          </w:tcPr>
          <w:p w14:paraId="218648B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411" w:type="dxa"/>
          </w:tcPr>
          <w:p w14:paraId="379FC60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sídla Lány. Plocha je součástí koncepce urbanistického rozvoje sídla Lány v západní linii od silnice III/3317. Vymezením plochy je zajišťována kontinuita územního rozvoje sídla z předchozí ÚPD (ÚPO).</w:t>
            </w:r>
          </w:p>
          <w:p w14:paraId="077CF3E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p w14:paraId="5FA6AED3" w14:textId="6ADBF36A"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byla vymezena rovněž po prověření požadavku na výstavbu RD na p.</w:t>
            </w:r>
            <w:r w:rsidR="005272E3" w:rsidRPr="006070EA">
              <w:rPr>
                <w:rFonts w:asciiTheme="majorHAnsi" w:eastAsia="Times New Roman" w:hAnsiTheme="majorHAnsi" w:cstheme="majorHAnsi"/>
                <w:bCs/>
                <w:iCs/>
                <w:sz w:val="18"/>
                <w:szCs w:val="20"/>
                <w:lang w:eastAsia="ar-SA"/>
              </w:rPr>
              <w:t xml:space="preserve"> č</w:t>
            </w:r>
            <w:r w:rsidRPr="006070EA">
              <w:rPr>
                <w:rFonts w:asciiTheme="majorHAnsi" w:eastAsia="Times New Roman" w:hAnsiTheme="majorHAnsi" w:cstheme="majorHAnsi"/>
                <w:bCs/>
                <w:iCs/>
                <w:sz w:val="18"/>
                <w:szCs w:val="20"/>
                <w:lang w:eastAsia="ar-SA"/>
              </w:rPr>
              <w:t>. 276/4 a</w:t>
            </w:r>
            <w:r w:rsidR="005272E3" w:rsidRPr="006070EA">
              <w:rPr>
                <w:rFonts w:asciiTheme="majorHAnsi" w:eastAsia="Times New Roman" w:hAnsiTheme="majorHAnsi" w:cstheme="majorHAnsi"/>
                <w:bCs/>
                <w:iCs/>
                <w:sz w:val="18"/>
                <w:szCs w:val="20"/>
                <w:lang w:eastAsia="ar-SA"/>
              </w:rPr>
              <w:t> </w:t>
            </w:r>
            <w:r w:rsidRPr="006070EA">
              <w:rPr>
                <w:rFonts w:asciiTheme="majorHAnsi" w:eastAsia="Times New Roman" w:hAnsiTheme="majorHAnsi" w:cstheme="majorHAnsi"/>
                <w:bCs/>
                <w:iCs/>
                <w:sz w:val="18"/>
                <w:szCs w:val="20"/>
                <w:lang w:eastAsia="ar-SA"/>
              </w:rPr>
              <w:t>276/5.</w:t>
            </w:r>
          </w:p>
        </w:tc>
      </w:tr>
      <w:tr w:rsidR="00C13B55" w:rsidRPr="006070EA" w14:paraId="44AC9358" w14:textId="77777777" w:rsidTr="00C13B55">
        <w:trPr>
          <w:cantSplit/>
        </w:trPr>
        <w:tc>
          <w:tcPr>
            <w:tcW w:w="2659" w:type="dxa"/>
          </w:tcPr>
          <w:p w14:paraId="12CFD6E2" w14:textId="77777777" w:rsidR="00C13B55" w:rsidRPr="006070EA" w:rsidRDefault="00C13B55" w:rsidP="00C13B55">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411" w:type="dxa"/>
          </w:tcPr>
          <w:p w14:paraId="4A734F0D" w14:textId="503F4C96" w:rsidR="00C13B55" w:rsidRPr="006070EA" w:rsidRDefault="00C13B55" w:rsidP="00C13B55">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Rozhodování v částech zastavitelné plochy, zasahujících do koridoru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KD1, je podmíněno realizací záměru, pro který je koridor vymezen.</w:t>
            </w:r>
          </w:p>
        </w:tc>
      </w:tr>
    </w:tbl>
    <w:p w14:paraId="2B9D66D8"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28597CAD" w14:textId="77777777" w:rsidTr="005038EA">
        <w:trPr>
          <w:cantSplit/>
          <w:tblHeader/>
        </w:trPr>
        <w:tc>
          <w:tcPr>
            <w:tcW w:w="2705" w:type="dxa"/>
            <w:shd w:val="clear" w:color="auto" w:fill="F2F2F2" w:themeFill="background1" w:themeFillShade="F2"/>
          </w:tcPr>
          <w:p w14:paraId="507F3812"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3B96EEF2" w14:textId="3A7FA9EC"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17</w:t>
            </w:r>
          </w:p>
        </w:tc>
      </w:tr>
      <w:tr w:rsidR="002D0BDA" w:rsidRPr="006070EA" w14:paraId="779E67EA" w14:textId="77777777" w:rsidTr="005038EA">
        <w:trPr>
          <w:cantSplit/>
        </w:trPr>
        <w:tc>
          <w:tcPr>
            <w:tcW w:w="2705" w:type="dxa"/>
          </w:tcPr>
          <w:p w14:paraId="0C10CC9F"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7B86A615" w14:textId="69CE79B1"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SV – smíšené obytné venkovské </w:t>
            </w:r>
          </w:p>
        </w:tc>
      </w:tr>
      <w:tr w:rsidR="002D0BDA" w:rsidRPr="006070EA" w14:paraId="5EEFF664" w14:textId="77777777" w:rsidTr="005038EA">
        <w:trPr>
          <w:cantSplit/>
        </w:trPr>
        <w:tc>
          <w:tcPr>
            <w:tcW w:w="2705" w:type="dxa"/>
          </w:tcPr>
          <w:p w14:paraId="1305789E"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53F0FB92"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plošná investice do půdy (odvodnění); radioreléová trasa; OP komunikačního zařízení</w:t>
            </w:r>
          </w:p>
        </w:tc>
      </w:tr>
      <w:tr w:rsidR="002D0BDA" w:rsidRPr="006070EA" w14:paraId="16CFE6DC" w14:textId="77777777" w:rsidTr="005038EA">
        <w:trPr>
          <w:cantSplit/>
        </w:trPr>
        <w:tc>
          <w:tcPr>
            <w:tcW w:w="2705" w:type="dxa"/>
          </w:tcPr>
          <w:p w14:paraId="36CC38D0"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53AC5F46"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částečně převzato z ÚPO</w:t>
            </w:r>
          </w:p>
        </w:tc>
      </w:tr>
      <w:tr w:rsidR="002D0BDA" w:rsidRPr="006070EA" w14:paraId="03159B3F" w14:textId="77777777" w:rsidTr="005038EA">
        <w:trPr>
          <w:cantSplit/>
        </w:trPr>
        <w:tc>
          <w:tcPr>
            <w:tcW w:w="2705" w:type="dxa"/>
          </w:tcPr>
          <w:p w14:paraId="40D8450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43DC5BA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silnici III/3317</w:t>
            </w:r>
          </w:p>
          <w:p w14:paraId="77B60902"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(vodovod, plynovod, kanalizace)</w:t>
            </w:r>
          </w:p>
          <w:p w14:paraId="1D849A06" w14:textId="2AA7DCDD"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642D770F" w14:textId="77777777" w:rsidTr="005038EA">
        <w:trPr>
          <w:cantSplit/>
        </w:trPr>
        <w:tc>
          <w:tcPr>
            <w:tcW w:w="2705" w:type="dxa"/>
          </w:tcPr>
          <w:p w14:paraId="6EF162CD"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3D68450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5E0E7A07" w14:textId="77777777" w:rsidTr="005038EA">
        <w:trPr>
          <w:cantSplit/>
        </w:trPr>
        <w:tc>
          <w:tcPr>
            <w:tcW w:w="2705" w:type="dxa"/>
          </w:tcPr>
          <w:p w14:paraId="3F3D5FE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3094F883"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2D0BDA" w:rsidRPr="006070EA" w14:paraId="45057457" w14:textId="77777777" w:rsidTr="005038EA">
        <w:trPr>
          <w:cantSplit/>
        </w:trPr>
        <w:tc>
          <w:tcPr>
            <w:tcW w:w="2705" w:type="dxa"/>
          </w:tcPr>
          <w:p w14:paraId="6C6C407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0FF24B4F" w14:textId="59CFD3B2"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Vytvoření podmínek pro rozvoj rezidenční funkce sídla Lány. Plocha je součástí koncepce urbanistického rozvoje sídla Lány v západní linii od silnice III/3317. Vymezení plochy zahrnuje zastavitelnou plochu v proluce zástavby </w:t>
            </w:r>
            <w:r w:rsidR="00961C8B" w:rsidRPr="006070EA">
              <w:rPr>
                <w:rFonts w:asciiTheme="majorHAnsi" w:eastAsia="Times New Roman" w:hAnsiTheme="majorHAnsi" w:cstheme="majorHAnsi"/>
                <w:bCs/>
                <w:iCs/>
                <w:sz w:val="18"/>
                <w:szCs w:val="20"/>
                <w:lang w:eastAsia="ar-SA"/>
              </w:rPr>
              <w:t>vymezenou</w:t>
            </w:r>
            <w:r w:rsidRPr="006070EA">
              <w:rPr>
                <w:rFonts w:asciiTheme="majorHAnsi" w:eastAsia="Times New Roman" w:hAnsiTheme="majorHAnsi" w:cstheme="majorHAnsi"/>
                <w:bCs/>
                <w:iCs/>
                <w:sz w:val="18"/>
                <w:szCs w:val="20"/>
                <w:lang w:eastAsia="ar-SA"/>
              </w:rPr>
              <w:t xml:space="preserve"> v ÚPO (p.č. 346, 423, 414, 275/11, 424 a část 202) a dále dotváří kompaktní tvar sídla Lány.</w:t>
            </w:r>
          </w:p>
          <w:p w14:paraId="5D3FD82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p w14:paraId="75547B27" w14:textId="180E7B35"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byla vymezena rovněž po prověření požadavku na výstavbu RD na p.</w:t>
            </w:r>
            <w:r w:rsidR="005272E3"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č. 275/15 v</w:t>
            </w:r>
            <w:r w:rsidR="005272E3" w:rsidRPr="006070EA">
              <w:rPr>
                <w:rFonts w:asciiTheme="majorHAnsi" w:eastAsia="Times New Roman" w:hAnsiTheme="majorHAnsi" w:cstheme="majorHAnsi"/>
                <w:bCs/>
                <w:iCs/>
                <w:sz w:val="18"/>
                <w:szCs w:val="20"/>
                <w:lang w:eastAsia="ar-SA"/>
              </w:rPr>
              <w:t> </w:t>
            </w:r>
            <w:r w:rsidRPr="006070EA">
              <w:rPr>
                <w:rFonts w:asciiTheme="majorHAnsi" w:eastAsia="Times New Roman" w:hAnsiTheme="majorHAnsi" w:cstheme="majorHAnsi"/>
                <w:bCs/>
                <w:iCs/>
                <w:sz w:val="18"/>
                <w:szCs w:val="20"/>
                <w:lang w:eastAsia="ar-SA"/>
              </w:rPr>
              <w:t>k.</w:t>
            </w:r>
            <w:r w:rsidR="005272E3"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ú Lány u Kostomlat nad Labem.</w:t>
            </w:r>
          </w:p>
        </w:tc>
      </w:tr>
      <w:tr w:rsidR="002D0BDA" w:rsidRPr="006070EA" w14:paraId="30E6EED8" w14:textId="77777777" w:rsidTr="005038EA">
        <w:trPr>
          <w:cantSplit/>
        </w:trPr>
        <w:tc>
          <w:tcPr>
            <w:tcW w:w="2705" w:type="dxa"/>
          </w:tcPr>
          <w:p w14:paraId="7D4CFA1B"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0D23C91C" w14:textId="2DC52185" w:rsidR="002D0BDA" w:rsidRPr="006070EA" w:rsidRDefault="00C13B55"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Zpracování územní studie </w:t>
            </w:r>
            <w:r w:rsidR="00961C8B" w:rsidRPr="006070EA">
              <w:rPr>
                <w:rFonts w:asciiTheme="majorHAnsi" w:eastAsia="Times New Roman" w:hAnsiTheme="majorHAnsi" w:cstheme="majorHAnsi"/>
                <w:bCs/>
                <w:iCs/>
                <w:sz w:val="18"/>
                <w:szCs w:val="20"/>
                <w:lang w:eastAsia="ar-SA"/>
              </w:rPr>
              <w:t>US.</w:t>
            </w:r>
            <w:r w:rsidRPr="006070EA">
              <w:rPr>
                <w:rFonts w:asciiTheme="majorHAnsi" w:eastAsia="Times New Roman" w:hAnsiTheme="majorHAnsi" w:cstheme="majorHAnsi"/>
                <w:bCs/>
                <w:iCs/>
                <w:sz w:val="18"/>
                <w:szCs w:val="20"/>
                <w:lang w:eastAsia="ar-SA"/>
              </w:rPr>
              <w:t>2.</w:t>
            </w:r>
          </w:p>
        </w:tc>
      </w:tr>
    </w:tbl>
    <w:p w14:paraId="2665ACBC"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2031C6E3" w14:textId="77777777" w:rsidTr="005038EA">
        <w:trPr>
          <w:cantSplit/>
          <w:tblHeader/>
        </w:trPr>
        <w:tc>
          <w:tcPr>
            <w:tcW w:w="2705" w:type="dxa"/>
            <w:shd w:val="clear" w:color="auto" w:fill="F2F2F2" w:themeFill="background1" w:themeFillShade="F2"/>
          </w:tcPr>
          <w:p w14:paraId="25A08117"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19850C33" w14:textId="7EA3A648"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18</w:t>
            </w:r>
          </w:p>
        </w:tc>
      </w:tr>
      <w:tr w:rsidR="002D0BDA" w:rsidRPr="006070EA" w14:paraId="73B87AB7" w14:textId="77777777" w:rsidTr="005038EA">
        <w:trPr>
          <w:cantSplit/>
        </w:trPr>
        <w:tc>
          <w:tcPr>
            <w:tcW w:w="2705" w:type="dxa"/>
          </w:tcPr>
          <w:p w14:paraId="30A7BB7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2DCEDB1C" w14:textId="147E767B"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SV – smíšené obytné venkovské </w:t>
            </w:r>
          </w:p>
        </w:tc>
      </w:tr>
      <w:tr w:rsidR="002D0BDA" w:rsidRPr="006070EA" w14:paraId="2BE37323" w14:textId="77777777" w:rsidTr="005038EA">
        <w:trPr>
          <w:cantSplit/>
        </w:trPr>
        <w:tc>
          <w:tcPr>
            <w:tcW w:w="2705" w:type="dxa"/>
          </w:tcPr>
          <w:p w14:paraId="0748AB8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09E8326F" w14:textId="130D941D"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plošná investice do půdy (odvodnění); OP komunikačního zařízení; elektrické vedení vn</w:t>
            </w:r>
            <w:r w:rsidR="00961C8B" w:rsidRPr="006070EA">
              <w:rPr>
                <w:rFonts w:asciiTheme="majorHAnsi" w:eastAsia="Times New Roman" w:hAnsiTheme="majorHAnsi" w:cstheme="majorHAnsi"/>
                <w:bCs/>
                <w:iCs/>
                <w:sz w:val="18"/>
                <w:szCs w:val="20"/>
                <w:lang w:eastAsia="ar-SA"/>
              </w:rPr>
              <w:t> </w:t>
            </w:r>
            <w:r w:rsidRPr="006070EA">
              <w:rPr>
                <w:rFonts w:asciiTheme="majorHAnsi" w:eastAsia="Times New Roman" w:hAnsiTheme="majorHAnsi" w:cstheme="majorHAnsi"/>
                <w:bCs/>
                <w:iCs/>
                <w:sz w:val="18"/>
                <w:szCs w:val="20"/>
                <w:lang w:eastAsia="ar-SA"/>
              </w:rPr>
              <w:t>22kV vč. OP</w:t>
            </w:r>
          </w:p>
        </w:tc>
      </w:tr>
      <w:tr w:rsidR="002D0BDA" w:rsidRPr="006070EA" w14:paraId="320CF056" w14:textId="77777777" w:rsidTr="005038EA">
        <w:trPr>
          <w:cantSplit/>
        </w:trPr>
        <w:tc>
          <w:tcPr>
            <w:tcW w:w="2705" w:type="dxa"/>
          </w:tcPr>
          <w:p w14:paraId="4FC4E300"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4F45564F"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částečně převzato z ÚPO</w:t>
            </w:r>
          </w:p>
        </w:tc>
      </w:tr>
      <w:tr w:rsidR="002D0BDA" w:rsidRPr="006070EA" w14:paraId="27E46885" w14:textId="77777777" w:rsidTr="005038EA">
        <w:trPr>
          <w:cantSplit/>
        </w:trPr>
        <w:tc>
          <w:tcPr>
            <w:tcW w:w="2705" w:type="dxa"/>
          </w:tcPr>
          <w:p w14:paraId="356CF2B4"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2FA7A69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silnici III/3317</w:t>
            </w:r>
          </w:p>
          <w:p w14:paraId="4DAF392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(vodovod, plynovod, kanalizace)</w:t>
            </w:r>
          </w:p>
          <w:p w14:paraId="5630C437" w14:textId="03CAAD50"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3E20C45D" w14:textId="77777777" w:rsidTr="005038EA">
        <w:trPr>
          <w:cantSplit/>
        </w:trPr>
        <w:tc>
          <w:tcPr>
            <w:tcW w:w="2705" w:type="dxa"/>
          </w:tcPr>
          <w:p w14:paraId="008A776F"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5B148AE1"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56F3D42E" w14:textId="77777777" w:rsidTr="005038EA">
        <w:trPr>
          <w:cantSplit/>
        </w:trPr>
        <w:tc>
          <w:tcPr>
            <w:tcW w:w="2705" w:type="dxa"/>
          </w:tcPr>
          <w:p w14:paraId="0A19F4F0"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20D643CD"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2D0BDA" w:rsidRPr="006070EA" w14:paraId="203C0075" w14:textId="77777777" w:rsidTr="005038EA">
        <w:trPr>
          <w:cantSplit/>
        </w:trPr>
        <w:tc>
          <w:tcPr>
            <w:tcW w:w="2705" w:type="dxa"/>
          </w:tcPr>
          <w:p w14:paraId="631FD834"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57B62785" w14:textId="1167845F"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sídla Lány. Plocha je součástí koncepce urbanistického rozvoje sídla Lány v západní linii od silnice III/3317. Vymezením plochy je zajišťována kontinuita rozvoje sídla Lány (plocha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18 zahrnuje zastavitelné plochy č. 7 a č. 8 trvalého bydlení z ÚPO) a dále dotváří jeho kompaktní tvar.</w:t>
            </w:r>
          </w:p>
          <w:p w14:paraId="0216F0FD"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p w14:paraId="4527BAF4" w14:textId="6A3EACEC"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byla vymezena rovněž po prověření požadavku na výstavbu RD na p.</w:t>
            </w:r>
            <w:r w:rsidR="005272E3"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č. 274/14 a 274/24 a 374 v k.</w:t>
            </w:r>
            <w:r w:rsidR="005272E3"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ú</w:t>
            </w:r>
            <w:r w:rsidR="005272E3"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 xml:space="preserve"> Lány u Kostomlat nad Labem.</w:t>
            </w:r>
          </w:p>
        </w:tc>
      </w:tr>
      <w:tr w:rsidR="002D0BDA" w:rsidRPr="006070EA" w14:paraId="1F37D92F" w14:textId="77777777" w:rsidTr="005038EA">
        <w:trPr>
          <w:cantSplit/>
        </w:trPr>
        <w:tc>
          <w:tcPr>
            <w:tcW w:w="2705" w:type="dxa"/>
          </w:tcPr>
          <w:p w14:paraId="38EA3C8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0D1FFCF4" w14:textId="1B1811E7" w:rsidR="002D0BDA" w:rsidRPr="006070EA" w:rsidRDefault="00C13B55"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Zpracování územní studie </w:t>
            </w:r>
            <w:r w:rsidR="00961C8B" w:rsidRPr="006070EA">
              <w:rPr>
                <w:rFonts w:asciiTheme="majorHAnsi" w:eastAsia="Times New Roman" w:hAnsiTheme="majorHAnsi" w:cstheme="majorHAnsi"/>
                <w:bCs/>
                <w:iCs/>
                <w:sz w:val="18"/>
                <w:szCs w:val="20"/>
                <w:lang w:eastAsia="ar-SA"/>
              </w:rPr>
              <w:t>US.</w:t>
            </w:r>
            <w:r w:rsidRPr="006070EA">
              <w:rPr>
                <w:rFonts w:asciiTheme="majorHAnsi" w:eastAsia="Times New Roman" w:hAnsiTheme="majorHAnsi" w:cstheme="majorHAnsi"/>
                <w:bCs/>
                <w:iCs/>
                <w:sz w:val="18"/>
                <w:szCs w:val="20"/>
                <w:lang w:eastAsia="ar-SA"/>
              </w:rPr>
              <w:t>2.</w:t>
            </w:r>
          </w:p>
        </w:tc>
      </w:tr>
    </w:tbl>
    <w:p w14:paraId="3C93B0EC"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166714D7" w14:textId="77777777" w:rsidTr="005038EA">
        <w:trPr>
          <w:cantSplit/>
          <w:tblHeader/>
        </w:trPr>
        <w:tc>
          <w:tcPr>
            <w:tcW w:w="2705" w:type="dxa"/>
            <w:shd w:val="clear" w:color="auto" w:fill="F2F2F2" w:themeFill="background1" w:themeFillShade="F2"/>
          </w:tcPr>
          <w:p w14:paraId="08F72734"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0CA7A4B9" w14:textId="05739939"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19</w:t>
            </w:r>
          </w:p>
        </w:tc>
      </w:tr>
      <w:tr w:rsidR="002D0BDA" w:rsidRPr="006070EA" w14:paraId="7A263D8F" w14:textId="77777777" w:rsidTr="005038EA">
        <w:trPr>
          <w:cantSplit/>
        </w:trPr>
        <w:tc>
          <w:tcPr>
            <w:tcW w:w="2705" w:type="dxa"/>
          </w:tcPr>
          <w:p w14:paraId="0B97487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45C38DDD" w14:textId="3EC9E311"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SV – smíšené obytné venkovské </w:t>
            </w:r>
          </w:p>
        </w:tc>
      </w:tr>
      <w:tr w:rsidR="002D0BDA" w:rsidRPr="006070EA" w14:paraId="302932E3" w14:textId="77777777" w:rsidTr="005038EA">
        <w:trPr>
          <w:cantSplit/>
        </w:trPr>
        <w:tc>
          <w:tcPr>
            <w:tcW w:w="2705" w:type="dxa"/>
          </w:tcPr>
          <w:p w14:paraId="281494D5"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389E68D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plošná investice do půdy (odvodnění); OP komunikačního zařízení</w:t>
            </w:r>
          </w:p>
        </w:tc>
      </w:tr>
      <w:tr w:rsidR="002D0BDA" w:rsidRPr="006070EA" w14:paraId="768C6E02" w14:textId="77777777" w:rsidTr="005038EA">
        <w:trPr>
          <w:cantSplit/>
        </w:trPr>
        <w:tc>
          <w:tcPr>
            <w:tcW w:w="2705" w:type="dxa"/>
          </w:tcPr>
          <w:p w14:paraId="3791F114"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74DA521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částečně převzato z ÚPO</w:t>
            </w:r>
          </w:p>
        </w:tc>
      </w:tr>
      <w:tr w:rsidR="002D0BDA" w:rsidRPr="006070EA" w14:paraId="436CAF37" w14:textId="77777777" w:rsidTr="005038EA">
        <w:trPr>
          <w:cantSplit/>
        </w:trPr>
        <w:tc>
          <w:tcPr>
            <w:tcW w:w="2705" w:type="dxa"/>
          </w:tcPr>
          <w:p w14:paraId="04653658"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39E28BEF"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silnici III/3317</w:t>
            </w:r>
          </w:p>
          <w:p w14:paraId="431F31F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(vodovod, plynovod, kanalizace)</w:t>
            </w:r>
          </w:p>
          <w:p w14:paraId="1ECD4214" w14:textId="79A3FB4B"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43B16201" w14:textId="77777777" w:rsidTr="005038EA">
        <w:trPr>
          <w:cantSplit/>
        </w:trPr>
        <w:tc>
          <w:tcPr>
            <w:tcW w:w="2705" w:type="dxa"/>
          </w:tcPr>
          <w:p w14:paraId="3B8AA26E"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50861A72"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122D0BE7" w14:textId="77777777" w:rsidTr="005038EA">
        <w:trPr>
          <w:cantSplit/>
        </w:trPr>
        <w:tc>
          <w:tcPr>
            <w:tcW w:w="2705" w:type="dxa"/>
          </w:tcPr>
          <w:p w14:paraId="07098AFF"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142608D2"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2D0BDA" w:rsidRPr="006070EA" w14:paraId="4CE1C048" w14:textId="77777777" w:rsidTr="005038EA">
        <w:trPr>
          <w:cantSplit/>
        </w:trPr>
        <w:tc>
          <w:tcPr>
            <w:tcW w:w="2705" w:type="dxa"/>
          </w:tcPr>
          <w:p w14:paraId="652E4574"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3B2B573F" w14:textId="22EC63AF"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sídla Lány. Plocha je součástí koncepce urbanistického rozvoje sídla Lány v západní linii od silnice III/3317. Vymezením plochy je zajišťována kontinuita rozvoje sídla Lány (plocha Z</w:t>
            </w:r>
            <w:r w:rsidR="00961C8B"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19 zahrnuje zastavitelnou plochu č. 9 trvalého bydlení z ÚPO) a dále dotváří jeho kompaktní tvar k hranici pozemku historického stavení (č.p. 16)</w:t>
            </w:r>
          </w:p>
          <w:p w14:paraId="08BED924"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na základě potřebnosti rozvoje obytné funkce obce dle podrobné analýzy potřeby vymezení zastavitelných ploch pro bydlení (viz kapitola 10) a v souladu se základní koncepcí rozvoje území, která vychází z původního řešení ÚPO. </w:t>
            </w:r>
          </w:p>
          <w:p w14:paraId="1C9CF7F9" w14:textId="70E95A78"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byla vymezena rovněž po prověření požadavku na výstavbu RD na p.</w:t>
            </w:r>
            <w:r w:rsidR="005272E3"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bCs/>
                <w:iCs/>
                <w:sz w:val="18"/>
                <w:szCs w:val="20"/>
                <w:lang w:eastAsia="ar-SA"/>
              </w:rPr>
              <w:t>č. 272/9 v k.</w:t>
            </w:r>
            <w:r w:rsidR="005272E3" w:rsidRPr="006070EA">
              <w:rPr>
                <w:rFonts w:asciiTheme="majorHAnsi" w:eastAsia="Times New Roman" w:hAnsiTheme="majorHAnsi" w:cstheme="majorHAnsi"/>
                <w:bCs/>
                <w:iCs/>
                <w:sz w:val="18"/>
                <w:szCs w:val="20"/>
                <w:lang w:eastAsia="ar-SA"/>
              </w:rPr>
              <w:t> </w:t>
            </w:r>
            <w:r w:rsidRPr="006070EA">
              <w:rPr>
                <w:rFonts w:asciiTheme="majorHAnsi" w:eastAsia="Times New Roman" w:hAnsiTheme="majorHAnsi" w:cstheme="majorHAnsi"/>
                <w:bCs/>
                <w:iCs/>
                <w:sz w:val="18"/>
                <w:szCs w:val="20"/>
                <w:lang w:eastAsia="ar-SA"/>
              </w:rPr>
              <w:t>ú</w:t>
            </w:r>
            <w:r w:rsidR="005272E3"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 xml:space="preserve"> Lány u Kostomlat nad Labem.</w:t>
            </w:r>
          </w:p>
        </w:tc>
      </w:tr>
      <w:tr w:rsidR="002D0BDA" w:rsidRPr="006070EA" w14:paraId="021B51EC" w14:textId="77777777" w:rsidTr="005038EA">
        <w:trPr>
          <w:cantSplit/>
        </w:trPr>
        <w:tc>
          <w:tcPr>
            <w:tcW w:w="2705" w:type="dxa"/>
          </w:tcPr>
          <w:p w14:paraId="0B9A662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3D4E5B8F" w14:textId="51F14FD1" w:rsidR="002D0BDA" w:rsidRPr="006070EA" w:rsidRDefault="00C13B55"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Zpracování územní studie </w:t>
            </w:r>
            <w:r w:rsidR="00961C8B" w:rsidRPr="006070EA">
              <w:rPr>
                <w:rFonts w:asciiTheme="majorHAnsi" w:eastAsia="Times New Roman" w:hAnsiTheme="majorHAnsi" w:cstheme="majorHAnsi"/>
                <w:bCs/>
                <w:iCs/>
                <w:sz w:val="18"/>
                <w:szCs w:val="20"/>
                <w:lang w:eastAsia="ar-SA"/>
              </w:rPr>
              <w:t>US.</w:t>
            </w:r>
            <w:r w:rsidRPr="006070EA">
              <w:rPr>
                <w:rFonts w:asciiTheme="majorHAnsi" w:eastAsia="Times New Roman" w:hAnsiTheme="majorHAnsi" w:cstheme="majorHAnsi"/>
                <w:bCs/>
                <w:iCs/>
                <w:sz w:val="18"/>
                <w:szCs w:val="20"/>
                <w:lang w:eastAsia="ar-SA"/>
              </w:rPr>
              <w:t>2.</w:t>
            </w:r>
          </w:p>
        </w:tc>
      </w:tr>
    </w:tbl>
    <w:p w14:paraId="6D227D75"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5B7018CB" w14:textId="77777777" w:rsidTr="005038EA">
        <w:trPr>
          <w:cantSplit/>
          <w:tblHeader/>
        </w:trPr>
        <w:tc>
          <w:tcPr>
            <w:tcW w:w="2705" w:type="dxa"/>
            <w:shd w:val="clear" w:color="auto" w:fill="F2F2F2" w:themeFill="background1" w:themeFillShade="F2"/>
          </w:tcPr>
          <w:p w14:paraId="5F33F095"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66A17771" w14:textId="318FEA28"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20</w:t>
            </w:r>
          </w:p>
        </w:tc>
      </w:tr>
      <w:tr w:rsidR="002D0BDA" w:rsidRPr="006070EA" w14:paraId="1F7ED7A1" w14:textId="77777777" w:rsidTr="005038EA">
        <w:trPr>
          <w:cantSplit/>
        </w:trPr>
        <w:tc>
          <w:tcPr>
            <w:tcW w:w="2705" w:type="dxa"/>
          </w:tcPr>
          <w:p w14:paraId="76740F6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5D805662" w14:textId="7916C33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SV – smíšené obytné venkovské </w:t>
            </w:r>
          </w:p>
        </w:tc>
      </w:tr>
      <w:tr w:rsidR="002D0BDA" w:rsidRPr="006070EA" w14:paraId="75FE149A" w14:textId="77777777" w:rsidTr="005038EA">
        <w:trPr>
          <w:cantSplit/>
        </w:trPr>
        <w:tc>
          <w:tcPr>
            <w:tcW w:w="2705" w:type="dxa"/>
          </w:tcPr>
          <w:p w14:paraId="6022EFC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3755E9F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komunikačního zařízení</w:t>
            </w:r>
          </w:p>
        </w:tc>
      </w:tr>
      <w:tr w:rsidR="002D0BDA" w:rsidRPr="006070EA" w14:paraId="447A5384" w14:textId="77777777" w:rsidTr="005038EA">
        <w:trPr>
          <w:cantSplit/>
        </w:trPr>
        <w:tc>
          <w:tcPr>
            <w:tcW w:w="2705" w:type="dxa"/>
          </w:tcPr>
          <w:p w14:paraId="2F6950A8"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7648087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1EFF051C" w14:textId="77777777" w:rsidTr="005038EA">
        <w:trPr>
          <w:cantSplit/>
        </w:trPr>
        <w:tc>
          <w:tcPr>
            <w:tcW w:w="2705" w:type="dxa"/>
          </w:tcPr>
          <w:p w14:paraId="23E2BA1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vazba na veřejnou infrastrukturu (DI, TI)</w:t>
            </w:r>
          </w:p>
        </w:tc>
        <w:tc>
          <w:tcPr>
            <w:tcW w:w="6581" w:type="dxa"/>
          </w:tcPr>
          <w:p w14:paraId="4C0A7EC4"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silnici III/3318</w:t>
            </w:r>
          </w:p>
          <w:p w14:paraId="49AE00B1"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(kanalizace)</w:t>
            </w:r>
          </w:p>
          <w:p w14:paraId="335D57D3" w14:textId="7F5E2412"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3800E621" w14:textId="77777777" w:rsidTr="005038EA">
        <w:trPr>
          <w:cantSplit/>
        </w:trPr>
        <w:tc>
          <w:tcPr>
            <w:tcW w:w="2705" w:type="dxa"/>
          </w:tcPr>
          <w:p w14:paraId="3873B34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49B175CC"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2B7831E5" w14:textId="77777777" w:rsidTr="005038EA">
        <w:trPr>
          <w:cantSplit/>
        </w:trPr>
        <w:tc>
          <w:tcPr>
            <w:tcW w:w="2705" w:type="dxa"/>
          </w:tcPr>
          <w:p w14:paraId="158963B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52C35A9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IV. třídy ochrany</w:t>
            </w:r>
          </w:p>
        </w:tc>
      </w:tr>
      <w:tr w:rsidR="002D0BDA" w:rsidRPr="006070EA" w14:paraId="71102256" w14:textId="77777777" w:rsidTr="005038EA">
        <w:trPr>
          <w:cantSplit/>
        </w:trPr>
        <w:tc>
          <w:tcPr>
            <w:tcW w:w="2705" w:type="dxa"/>
          </w:tcPr>
          <w:p w14:paraId="3D1EF782"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6809FD7B" w14:textId="1DD1C8D1"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enklávy sídla Hronětice. Plocha je vymezena na základě prověření požadavku na výstavbu RD a nerušící výroby na p.</w:t>
            </w:r>
            <w:r w:rsidR="00106C28" w:rsidRPr="006070EA">
              <w:rPr>
                <w:rFonts w:asciiTheme="majorHAnsi" w:eastAsia="Times New Roman" w:hAnsiTheme="majorHAnsi" w:cstheme="majorHAnsi"/>
                <w:bCs/>
                <w:iCs/>
                <w:sz w:val="18"/>
                <w:szCs w:val="20"/>
                <w:lang w:eastAsia="ar-SA"/>
              </w:rPr>
              <w:t> </w:t>
            </w:r>
            <w:r w:rsidRPr="006070EA">
              <w:rPr>
                <w:rFonts w:asciiTheme="majorHAnsi" w:eastAsia="Times New Roman" w:hAnsiTheme="majorHAnsi" w:cstheme="majorHAnsi"/>
                <w:bCs/>
                <w:iCs/>
                <w:sz w:val="18"/>
                <w:szCs w:val="20"/>
                <w:lang w:eastAsia="ar-SA"/>
              </w:rPr>
              <w:t>č.</w:t>
            </w:r>
            <w:r w:rsidR="00106C28" w:rsidRPr="006070EA">
              <w:rPr>
                <w:rFonts w:asciiTheme="majorHAnsi" w:eastAsia="Times New Roman" w:hAnsiTheme="majorHAnsi" w:cstheme="majorHAnsi"/>
                <w:bCs/>
                <w:iCs/>
                <w:sz w:val="18"/>
                <w:szCs w:val="20"/>
                <w:lang w:eastAsia="ar-SA"/>
              </w:rPr>
              <w:t> </w:t>
            </w:r>
            <w:r w:rsidRPr="006070EA">
              <w:rPr>
                <w:rFonts w:asciiTheme="majorHAnsi" w:eastAsia="Times New Roman" w:hAnsiTheme="majorHAnsi" w:cstheme="majorHAnsi"/>
                <w:bCs/>
                <w:iCs/>
                <w:sz w:val="18"/>
                <w:szCs w:val="20"/>
                <w:lang w:eastAsia="ar-SA"/>
              </w:rPr>
              <w:t xml:space="preserve">170 v k.ú. Hronětice. </w:t>
            </w:r>
          </w:p>
          <w:p w14:paraId="624E4DE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je vymezena na základě potřebnosti rozvoje obytné funkce obce dle podrobné analýzy potřeby vymezení zastavitelných ploch pro bydlení (viz kapitola 10) a v souladu se základní koncepcí rozvoje území, která vychází z původního řešení ÚPO.</w:t>
            </w:r>
          </w:p>
        </w:tc>
      </w:tr>
      <w:tr w:rsidR="002D0BDA" w:rsidRPr="006070EA" w14:paraId="2BF67FF2" w14:textId="77777777" w:rsidTr="005038EA">
        <w:trPr>
          <w:cantSplit/>
        </w:trPr>
        <w:tc>
          <w:tcPr>
            <w:tcW w:w="2705" w:type="dxa"/>
          </w:tcPr>
          <w:p w14:paraId="130221A6"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53D1A011"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bl>
    <w:p w14:paraId="2A97439A"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3E1F2F13" w14:textId="77777777" w:rsidTr="005038EA">
        <w:trPr>
          <w:cantSplit/>
          <w:tblHeader/>
        </w:trPr>
        <w:tc>
          <w:tcPr>
            <w:tcW w:w="2705" w:type="dxa"/>
            <w:shd w:val="clear" w:color="auto" w:fill="F2F2F2" w:themeFill="background1" w:themeFillShade="F2"/>
          </w:tcPr>
          <w:p w14:paraId="080938E0"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64D79941" w14:textId="599ABAD4"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21</w:t>
            </w:r>
          </w:p>
        </w:tc>
      </w:tr>
      <w:tr w:rsidR="002D0BDA" w:rsidRPr="006070EA" w14:paraId="6E8EB0F6" w14:textId="77777777" w:rsidTr="005038EA">
        <w:trPr>
          <w:cantSplit/>
        </w:trPr>
        <w:tc>
          <w:tcPr>
            <w:tcW w:w="2705" w:type="dxa"/>
          </w:tcPr>
          <w:p w14:paraId="4D5DCB4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224C9221" w14:textId="1FFE2D43"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 xml:space="preserve">SV – smíšené obytné venkovské </w:t>
            </w:r>
          </w:p>
        </w:tc>
      </w:tr>
      <w:tr w:rsidR="002D0BDA" w:rsidRPr="006070EA" w14:paraId="6D1CA4CB" w14:textId="77777777" w:rsidTr="005038EA">
        <w:trPr>
          <w:cantSplit/>
        </w:trPr>
        <w:tc>
          <w:tcPr>
            <w:tcW w:w="2705" w:type="dxa"/>
          </w:tcPr>
          <w:p w14:paraId="7327B750"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55B0724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komunikačního zařízení</w:t>
            </w:r>
          </w:p>
        </w:tc>
      </w:tr>
      <w:tr w:rsidR="002D0BDA" w:rsidRPr="006070EA" w14:paraId="11589CB7" w14:textId="77777777" w:rsidTr="005038EA">
        <w:trPr>
          <w:cantSplit/>
        </w:trPr>
        <w:tc>
          <w:tcPr>
            <w:tcW w:w="2705" w:type="dxa"/>
          </w:tcPr>
          <w:p w14:paraId="7EEAF6E1"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170E0EC0"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70DA30EE" w14:textId="77777777" w:rsidTr="005038EA">
        <w:trPr>
          <w:cantSplit/>
        </w:trPr>
        <w:tc>
          <w:tcPr>
            <w:tcW w:w="2705" w:type="dxa"/>
          </w:tcPr>
          <w:p w14:paraId="0F80DE7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5DE347B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místní komunikaci</w:t>
            </w:r>
          </w:p>
          <w:p w14:paraId="7343BC3A"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(kanalizace)</w:t>
            </w:r>
          </w:p>
          <w:p w14:paraId="08990179" w14:textId="573CCCA6"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05636B88" w14:textId="77777777" w:rsidTr="005038EA">
        <w:trPr>
          <w:cantSplit/>
        </w:trPr>
        <w:tc>
          <w:tcPr>
            <w:tcW w:w="2705" w:type="dxa"/>
          </w:tcPr>
          <w:p w14:paraId="7D942094"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36B2D35D"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14B620F1" w14:textId="77777777" w:rsidTr="005038EA">
        <w:trPr>
          <w:cantSplit/>
        </w:trPr>
        <w:tc>
          <w:tcPr>
            <w:tcW w:w="2705" w:type="dxa"/>
          </w:tcPr>
          <w:p w14:paraId="5221049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57B9F9EF"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IV. třídy ochrany</w:t>
            </w:r>
          </w:p>
        </w:tc>
      </w:tr>
      <w:tr w:rsidR="002D0BDA" w:rsidRPr="006070EA" w14:paraId="7AAFDBC2" w14:textId="77777777" w:rsidTr="005038EA">
        <w:trPr>
          <w:cantSplit/>
        </w:trPr>
        <w:tc>
          <w:tcPr>
            <w:tcW w:w="2705" w:type="dxa"/>
          </w:tcPr>
          <w:p w14:paraId="2A1A6C3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52B6F37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podmínek pro rozvoj rezidenční funkce sídla Hronětice. Plocha je vymezena na základě prověření požadavku na výstavbu RD a nerušící výroby na p.č. 113/1 v k.ú. Hronětice. Vymezením plochy je dotvářen kompaktní tvar zástavby sídla mezi stávající zástavbou a areálem zemědělské výroby.</w:t>
            </w:r>
          </w:p>
          <w:p w14:paraId="4FA7FD5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je vymezena na základě potřebnosti rozvoje obytné funkce obce dle podrobné analýzy potřeby vymezení zastavitelných ploch pro bydlení (viz kapitola 10) a v souladu se základní koncepcí rozvoje území, která vychází z původního řešení ÚPO.</w:t>
            </w:r>
          </w:p>
        </w:tc>
      </w:tr>
      <w:tr w:rsidR="002D0BDA" w:rsidRPr="006070EA" w14:paraId="4BB397EA" w14:textId="77777777" w:rsidTr="005038EA">
        <w:trPr>
          <w:cantSplit/>
        </w:trPr>
        <w:tc>
          <w:tcPr>
            <w:tcW w:w="2705" w:type="dxa"/>
          </w:tcPr>
          <w:p w14:paraId="478E8ECC"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4309028C"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bl>
    <w:p w14:paraId="43D7CACB"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537D4E38" w14:textId="77777777" w:rsidTr="005038EA">
        <w:trPr>
          <w:cantSplit/>
          <w:tblHeader/>
        </w:trPr>
        <w:tc>
          <w:tcPr>
            <w:tcW w:w="2705" w:type="dxa"/>
            <w:shd w:val="clear" w:color="auto" w:fill="F2F2F2" w:themeFill="background1" w:themeFillShade="F2"/>
          </w:tcPr>
          <w:p w14:paraId="488B9EF8" w14:textId="77777777" w:rsidR="002D0BDA" w:rsidRPr="006070EA" w:rsidRDefault="002D0BDA" w:rsidP="005038EA">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Zastavitelná plocha</w:t>
            </w:r>
          </w:p>
        </w:tc>
        <w:tc>
          <w:tcPr>
            <w:tcW w:w="6581" w:type="dxa"/>
            <w:shd w:val="clear" w:color="auto" w:fill="F2F2F2" w:themeFill="background1" w:themeFillShade="F2"/>
          </w:tcPr>
          <w:p w14:paraId="2F5E660A" w14:textId="5283E222" w:rsidR="002D0BDA" w:rsidRPr="006070EA" w:rsidRDefault="002D0BDA" w:rsidP="005038EA">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22</w:t>
            </w:r>
          </w:p>
        </w:tc>
      </w:tr>
      <w:tr w:rsidR="002D0BDA" w:rsidRPr="006070EA" w14:paraId="0DBC34A2" w14:textId="77777777" w:rsidTr="005038EA">
        <w:trPr>
          <w:cantSplit/>
        </w:trPr>
        <w:tc>
          <w:tcPr>
            <w:tcW w:w="2705" w:type="dxa"/>
          </w:tcPr>
          <w:p w14:paraId="092EAA3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5E44BAB9" w14:textId="4D1DD2F1"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P</w:t>
            </w:r>
            <w:r w:rsidR="00961C8B" w:rsidRPr="006070EA">
              <w:rPr>
                <w:rFonts w:asciiTheme="majorHAnsi" w:eastAsia="Times New Roman" w:hAnsiTheme="majorHAnsi" w:cstheme="majorHAnsi"/>
                <w:sz w:val="18"/>
                <w:szCs w:val="18"/>
                <w:lang w:eastAsia="cs-CZ"/>
              </w:rPr>
              <w:t>U</w:t>
            </w:r>
            <w:r w:rsidRPr="006070EA">
              <w:rPr>
                <w:rFonts w:asciiTheme="majorHAnsi" w:eastAsia="Times New Roman" w:hAnsiTheme="majorHAnsi" w:cstheme="majorHAnsi"/>
                <w:sz w:val="18"/>
                <w:szCs w:val="18"/>
                <w:lang w:eastAsia="cs-CZ"/>
              </w:rPr>
              <w:t xml:space="preserve"> – veřejná prostranství </w:t>
            </w:r>
            <w:r w:rsidR="00961C8B" w:rsidRPr="006070EA">
              <w:rPr>
                <w:rFonts w:asciiTheme="majorHAnsi" w:eastAsia="Times New Roman" w:hAnsiTheme="majorHAnsi" w:cstheme="majorHAnsi"/>
                <w:sz w:val="18"/>
                <w:szCs w:val="18"/>
                <w:lang w:eastAsia="cs-CZ"/>
              </w:rPr>
              <w:t>všeobecná</w:t>
            </w:r>
          </w:p>
        </w:tc>
      </w:tr>
      <w:tr w:rsidR="002D0BDA" w:rsidRPr="006070EA" w14:paraId="5EB07F02" w14:textId="77777777" w:rsidTr="005038EA">
        <w:trPr>
          <w:cantSplit/>
        </w:trPr>
        <w:tc>
          <w:tcPr>
            <w:tcW w:w="2705" w:type="dxa"/>
          </w:tcPr>
          <w:p w14:paraId="083BF42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7F11888D"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komunikačního zařízení; elektrické vedení vn 22kV vč. OP</w:t>
            </w:r>
          </w:p>
        </w:tc>
      </w:tr>
      <w:tr w:rsidR="002D0BDA" w:rsidRPr="006070EA" w14:paraId="3164868C" w14:textId="77777777" w:rsidTr="005038EA">
        <w:trPr>
          <w:cantSplit/>
        </w:trPr>
        <w:tc>
          <w:tcPr>
            <w:tcW w:w="2705" w:type="dxa"/>
          </w:tcPr>
          <w:p w14:paraId="34055E3F"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4CFD6DA7"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1CC2ADD7" w14:textId="77777777" w:rsidTr="005038EA">
        <w:trPr>
          <w:cantSplit/>
        </w:trPr>
        <w:tc>
          <w:tcPr>
            <w:tcW w:w="2705" w:type="dxa"/>
          </w:tcPr>
          <w:p w14:paraId="788A6B64"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7146E6EB"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vymezena pro rozvoj veřejné dopravní infrastruktury</w:t>
            </w:r>
          </w:p>
          <w:p w14:paraId="4815AE7F"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technickou infrastrukturu (kanalizace)</w:t>
            </w:r>
          </w:p>
          <w:p w14:paraId="02D411FC" w14:textId="0F51DCF4"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961C8B"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2290A2A7" w14:textId="77777777" w:rsidTr="005038EA">
        <w:trPr>
          <w:cantSplit/>
        </w:trPr>
        <w:tc>
          <w:tcPr>
            <w:tcW w:w="2705" w:type="dxa"/>
          </w:tcPr>
          <w:p w14:paraId="7393DAE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0A420A4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1104D78E" w14:textId="77777777" w:rsidTr="005038EA">
        <w:trPr>
          <w:cantSplit/>
        </w:trPr>
        <w:tc>
          <w:tcPr>
            <w:tcW w:w="2705" w:type="dxa"/>
          </w:tcPr>
          <w:p w14:paraId="21BCB33E"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5F350B71"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III. a V. třídy ochrany</w:t>
            </w:r>
          </w:p>
        </w:tc>
      </w:tr>
      <w:tr w:rsidR="002D0BDA" w:rsidRPr="006070EA" w14:paraId="09A8BD70" w14:textId="77777777" w:rsidTr="005038EA">
        <w:trPr>
          <w:cantSplit/>
        </w:trPr>
        <w:tc>
          <w:tcPr>
            <w:tcW w:w="2705" w:type="dxa"/>
          </w:tcPr>
          <w:p w14:paraId="01CE0C7A"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58C1460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Vymezením plochy veřejného prostranství je zejména napravován nesoulad mezi aktuálním katastrem nemovitostí, resp. stanoveným druhem pozemku a skutečným stavem – vedením silnice III/3318.</w:t>
            </w:r>
          </w:p>
        </w:tc>
      </w:tr>
      <w:tr w:rsidR="002D0BDA" w:rsidRPr="006070EA" w14:paraId="7B89AA39" w14:textId="77777777" w:rsidTr="005038EA">
        <w:trPr>
          <w:cantSplit/>
        </w:trPr>
        <w:tc>
          <w:tcPr>
            <w:tcW w:w="2705" w:type="dxa"/>
          </w:tcPr>
          <w:p w14:paraId="297826F7"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017B8AD4"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bl>
    <w:p w14:paraId="6B544A49" w14:textId="77777777" w:rsidR="002D0BDA" w:rsidRPr="006070EA" w:rsidRDefault="002D0BDA" w:rsidP="002D0BDA">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59"/>
        <w:gridCol w:w="6411"/>
      </w:tblGrid>
      <w:tr w:rsidR="002D0BDA" w:rsidRPr="006070EA" w14:paraId="7DE36015" w14:textId="77777777" w:rsidTr="005038EA">
        <w:trPr>
          <w:cantSplit/>
          <w:tblHeader/>
        </w:trPr>
        <w:tc>
          <w:tcPr>
            <w:tcW w:w="2705" w:type="dxa"/>
            <w:shd w:val="clear" w:color="auto" w:fill="F2F2F2" w:themeFill="background1" w:themeFillShade="F2"/>
          </w:tcPr>
          <w:p w14:paraId="1BB2C862" w14:textId="77777777" w:rsidR="002D0BDA" w:rsidRPr="006070EA" w:rsidRDefault="002D0BDA" w:rsidP="00EE2EBF">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Zastavitelná plocha</w:t>
            </w:r>
          </w:p>
        </w:tc>
        <w:tc>
          <w:tcPr>
            <w:tcW w:w="6581" w:type="dxa"/>
            <w:shd w:val="clear" w:color="auto" w:fill="F2F2F2" w:themeFill="background1" w:themeFillShade="F2"/>
          </w:tcPr>
          <w:p w14:paraId="34BE26CD" w14:textId="52963EE0" w:rsidR="002D0BDA" w:rsidRPr="006070EA" w:rsidRDefault="002D0BDA" w:rsidP="00EE2EBF">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w:t>
            </w:r>
            <w:r w:rsidR="00961C8B"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23</w:t>
            </w:r>
          </w:p>
        </w:tc>
      </w:tr>
      <w:tr w:rsidR="002D0BDA" w:rsidRPr="006070EA" w14:paraId="06EA8C6E" w14:textId="77777777" w:rsidTr="005038EA">
        <w:trPr>
          <w:cantSplit/>
        </w:trPr>
        <w:tc>
          <w:tcPr>
            <w:tcW w:w="2705" w:type="dxa"/>
          </w:tcPr>
          <w:p w14:paraId="16EA0F20" w14:textId="77777777" w:rsidR="002D0BDA" w:rsidRPr="006070EA" w:rsidRDefault="002D0BDA" w:rsidP="00EE2EBF">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81" w:type="dxa"/>
            <w:vAlign w:val="center"/>
          </w:tcPr>
          <w:p w14:paraId="2C52FE17" w14:textId="1A0BD61A" w:rsidR="002D0BDA" w:rsidRPr="006070EA" w:rsidRDefault="002D0BDA" w:rsidP="00EE2EBF">
            <w:pPr>
              <w:keepNext/>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sz w:val="18"/>
                <w:szCs w:val="18"/>
                <w:lang w:eastAsia="cs-CZ"/>
              </w:rPr>
              <w:t>T</w:t>
            </w:r>
            <w:r w:rsidR="00961C8B" w:rsidRPr="006070EA">
              <w:rPr>
                <w:rFonts w:asciiTheme="majorHAnsi" w:eastAsia="Times New Roman" w:hAnsiTheme="majorHAnsi" w:cstheme="majorHAnsi"/>
                <w:sz w:val="18"/>
                <w:szCs w:val="18"/>
                <w:lang w:eastAsia="cs-CZ"/>
              </w:rPr>
              <w:t>U</w:t>
            </w:r>
            <w:r w:rsidRPr="006070EA">
              <w:rPr>
                <w:rFonts w:asciiTheme="majorHAnsi" w:eastAsia="Times New Roman" w:hAnsiTheme="majorHAnsi" w:cstheme="majorHAnsi"/>
                <w:sz w:val="18"/>
                <w:szCs w:val="18"/>
                <w:lang w:eastAsia="cs-CZ"/>
              </w:rPr>
              <w:t xml:space="preserve"> – technická infrastruktura </w:t>
            </w:r>
            <w:r w:rsidR="00961C8B" w:rsidRPr="006070EA">
              <w:rPr>
                <w:rFonts w:asciiTheme="majorHAnsi" w:eastAsia="Times New Roman" w:hAnsiTheme="majorHAnsi" w:cstheme="majorHAnsi"/>
                <w:sz w:val="18"/>
                <w:szCs w:val="18"/>
                <w:lang w:eastAsia="cs-CZ"/>
              </w:rPr>
              <w:t>všeobecná</w:t>
            </w:r>
          </w:p>
        </w:tc>
      </w:tr>
      <w:tr w:rsidR="002D0BDA" w:rsidRPr="006070EA" w14:paraId="143B06F7" w14:textId="77777777" w:rsidTr="005038EA">
        <w:trPr>
          <w:cantSplit/>
        </w:trPr>
        <w:tc>
          <w:tcPr>
            <w:tcW w:w="2705" w:type="dxa"/>
          </w:tcPr>
          <w:p w14:paraId="6F1A03CB"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81" w:type="dxa"/>
          </w:tcPr>
          <w:p w14:paraId="5410668D" w14:textId="03556676"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komunikačního zařízení; OP silnice III. třídy (III/3318); elektrické vedení vn 22kV vč.</w:t>
            </w:r>
            <w:r w:rsidR="00DE4B71" w:rsidRPr="006070EA">
              <w:rPr>
                <w:rFonts w:asciiTheme="majorHAnsi" w:eastAsia="Times New Roman" w:hAnsiTheme="majorHAnsi" w:cstheme="majorHAnsi"/>
                <w:bCs/>
                <w:iCs/>
                <w:sz w:val="18"/>
                <w:szCs w:val="20"/>
                <w:lang w:eastAsia="ar-SA"/>
              </w:rPr>
              <w:t> </w:t>
            </w:r>
            <w:r w:rsidRPr="006070EA">
              <w:rPr>
                <w:rFonts w:asciiTheme="majorHAnsi" w:eastAsia="Times New Roman" w:hAnsiTheme="majorHAnsi" w:cstheme="majorHAnsi"/>
                <w:bCs/>
                <w:iCs/>
                <w:sz w:val="18"/>
                <w:szCs w:val="20"/>
                <w:lang w:eastAsia="ar-SA"/>
              </w:rPr>
              <w:t>OP</w:t>
            </w:r>
          </w:p>
        </w:tc>
      </w:tr>
      <w:tr w:rsidR="002D0BDA" w:rsidRPr="006070EA" w14:paraId="3640233C" w14:textId="77777777" w:rsidTr="005038EA">
        <w:trPr>
          <w:cantSplit/>
        </w:trPr>
        <w:tc>
          <w:tcPr>
            <w:tcW w:w="2705" w:type="dxa"/>
          </w:tcPr>
          <w:p w14:paraId="3787001B"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81" w:type="dxa"/>
          </w:tcPr>
          <w:p w14:paraId="511BE57F"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r w:rsidR="002D0BDA" w:rsidRPr="006070EA" w14:paraId="1CDCF1E0" w14:textId="77777777" w:rsidTr="005038EA">
        <w:trPr>
          <w:cantSplit/>
        </w:trPr>
        <w:tc>
          <w:tcPr>
            <w:tcW w:w="2705" w:type="dxa"/>
          </w:tcPr>
          <w:p w14:paraId="5594966D"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vazba na veřejnou infrastrukturu (DI, TI)</w:t>
            </w:r>
          </w:p>
        </w:tc>
        <w:tc>
          <w:tcPr>
            <w:tcW w:w="6581" w:type="dxa"/>
          </w:tcPr>
          <w:p w14:paraId="405BC770"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Přímá vazba na dopravní infrastrukturu</w:t>
            </w:r>
          </w:p>
          <w:p w14:paraId="1BFEE67C" w14:textId="44D58725"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Přímá vazba na koridor </w:t>
            </w:r>
            <w:r w:rsidR="00DE4B71" w:rsidRPr="006070EA">
              <w:rPr>
                <w:rFonts w:asciiTheme="majorHAnsi" w:eastAsia="Times New Roman" w:hAnsiTheme="majorHAnsi" w:cstheme="majorHAnsi"/>
                <w:bCs/>
                <w:iCs/>
                <w:sz w:val="18"/>
                <w:szCs w:val="20"/>
                <w:lang w:eastAsia="ar-SA"/>
              </w:rPr>
              <w:t>CNU.</w:t>
            </w:r>
            <w:r w:rsidRPr="006070EA">
              <w:rPr>
                <w:rFonts w:asciiTheme="majorHAnsi" w:eastAsia="Times New Roman" w:hAnsiTheme="majorHAnsi" w:cstheme="majorHAnsi"/>
                <w:bCs/>
                <w:iCs/>
                <w:sz w:val="18"/>
                <w:szCs w:val="20"/>
                <w:lang w:eastAsia="ar-SA"/>
              </w:rPr>
              <w:t>KTI1 (navržené sítě vodovodu a kanalizace)</w:t>
            </w:r>
          </w:p>
        </w:tc>
      </w:tr>
      <w:tr w:rsidR="002D0BDA" w:rsidRPr="006070EA" w14:paraId="3A56763A" w14:textId="77777777" w:rsidTr="005038EA">
        <w:trPr>
          <w:cantSplit/>
        </w:trPr>
        <w:tc>
          <w:tcPr>
            <w:tcW w:w="2705" w:type="dxa"/>
          </w:tcPr>
          <w:p w14:paraId="6337D525"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zastavěnému území</w:t>
            </w:r>
          </w:p>
        </w:tc>
        <w:tc>
          <w:tcPr>
            <w:tcW w:w="6581" w:type="dxa"/>
          </w:tcPr>
          <w:p w14:paraId="6FF8E42D"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v přímé návaznosti na zastavěné území</w:t>
            </w:r>
          </w:p>
        </w:tc>
      </w:tr>
      <w:tr w:rsidR="002D0BDA" w:rsidRPr="006070EA" w14:paraId="122B3D9A" w14:textId="77777777" w:rsidTr="005038EA">
        <w:trPr>
          <w:cantSplit/>
        </w:trPr>
        <w:tc>
          <w:tcPr>
            <w:tcW w:w="2705" w:type="dxa"/>
          </w:tcPr>
          <w:p w14:paraId="22026DDB"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81" w:type="dxa"/>
          </w:tcPr>
          <w:p w14:paraId="523D3BC8"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IV. třídy ochrany</w:t>
            </w:r>
          </w:p>
        </w:tc>
      </w:tr>
      <w:tr w:rsidR="002D0BDA" w:rsidRPr="006070EA" w14:paraId="5BB32131" w14:textId="77777777" w:rsidTr="005038EA">
        <w:trPr>
          <w:cantSplit/>
        </w:trPr>
        <w:tc>
          <w:tcPr>
            <w:tcW w:w="2705" w:type="dxa"/>
          </w:tcPr>
          <w:p w14:paraId="1FE6FD89"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81" w:type="dxa"/>
          </w:tcPr>
          <w:p w14:paraId="7B993A45"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Plocha je vymezena za účelem realizace sběrného dvora v sídle Hronětice. Vymezením je podporován rozvoj technické infrastruktury a efektivní nakládání s odpady. Plocha je vymezena na základě potřebnosti rozvoje technické infrastruktury obce a v souladu se základní koncepcí rozvoje území.</w:t>
            </w:r>
          </w:p>
          <w:p w14:paraId="405D7089"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Vymezení plochy je ve veřejném zájmu na zajištění dostatečných kapacit zařízení technické infrastruktury, které je součástí veřejné infrastruktury.</w:t>
            </w:r>
          </w:p>
        </w:tc>
      </w:tr>
      <w:tr w:rsidR="002D0BDA" w:rsidRPr="006070EA" w14:paraId="08039DD4" w14:textId="77777777" w:rsidTr="005038EA">
        <w:trPr>
          <w:cantSplit/>
        </w:trPr>
        <w:tc>
          <w:tcPr>
            <w:tcW w:w="2705" w:type="dxa"/>
          </w:tcPr>
          <w:p w14:paraId="020D4473" w14:textId="77777777" w:rsidR="002D0BDA" w:rsidRPr="006070EA" w:rsidRDefault="002D0BDA" w:rsidP="005038EA">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související podmínky využití</w:t>
            </w:r>
          </w:p>
        </w:tc>
        <w:tc>
          <w:tcPr>
            <w:tcW w:w="6581" w:type="dxa"/>
          </w:tcPr>
          <w:p w14:paraId="5207959E" w14:textId="77777777" w:rsidR="002D0BDA" w:rsidRPr="006070EA" w:rsidRDefault="002D0BDA" w:rsidP="005038EA">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w:t>
            </w:r>
          </w:p>
        </w:tc>
      </w:tr>
    </w:tbl>
    <w:p w14:paraId="0329B03C" w14:textId="77777777" w:rsidR="00EE2EBF" w:rsidRPr="00EE2EBF" w:rsidRDefault="00EE2EBF" w:rsidP="00EE2EBF">
      <w:pPr>
        <w:pStyle w:val="Atext"/>
        <w:rPr>
          <w:rFonts w:asciiTheme="majorHAnsi" w:hAnsiTheme="majorHAnsi" w:cstheme="majorHAnsi"/>
          <w:i/>
          <w:snapToGrid w:val="0"/>
          <w:color w:val="FF0000"/>
          <w:u w:val="single"/>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60"/>
        <w:gridCol w:w="6410"/>
      </w:tblGrid>
      <w:tr w:rsidR="00EE2EBF" w:rsidRPr="00A76411" w14:paraId="5AE16A64" w14:textId="77777777" w:rsidTr="00EE2EBF">
        <w:trPr>
          <w:cantSplit/>
          <w:tblHeader/>
        </w:trPr>
        <w:tc>
          <w:tcPr>
            <w:tcW w:w="2660" w:type="dxa"/>
            <w:shd w:val="clear" w:color="auto" w:fill="F2F2F2" w:themeFill="background1" w:themeFillShade="F2"/>
          </w:tcPr>
          <w:p w14:paraId="45CD869C" w14:textId="77777777" w:rsidR="00EE2EBF" w:rsidRPr="00A76411" w:rsidRDefault="00EE2EBF" w:rsidP="00B34F0B">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Zastavitelná plocha</w:t>
            </w:r>
          </w:p>
        </w:tc>
        <w:tc>
          <w:tcPr>
            <w:tcW w:w="6410" w:type="dxa"/>
            <w:shd w:val="clear" w:color="auto" w:fill="F2F2F2" w:themeFill="background1" w:themeFillShade="F2"/>
          </w:tcPr>
          <w:p w14:paraId="78B1DFBE" w14:textId="14BDCF0B" w:rsidR="00EE2EBF" w:rsidRPr="00A76411" w:rsidRDefault="00EE2EBF" w:rsidP="00B34F0B">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Z.24</w:t>
            </w:r>
          </w:p>
        </w:tc>
      </w:tr>
      <w:tr w:rsidR="00EE2EBF" w:rsidRPr="00A76411" w14:paraId="3EC3D25E" w14:textId="77777777" w:rsidTr="00EE2EBF">
        <w:trPr>
          <w:cantSplit/>
        </w:trPr>
        <w:tc>
          <w:tcPr>
            <w:tcW w:w="2660" w:type="dxa"/>
          </w:tcPr>
          <w:p w14:paraId="14BB6D99" w14:textId="77777777" w:rsidR="00EE2EBF" w:rsidRPr="00A76411" w:rsidRDefault="00EE2EBF" w:rsidP="00B34F0B">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způsob využití</w:t>
            </w:r>
          </w:p>
        </w:tc>
        <w:tc>
          <w:tcPr>
            <w:tcW w:w="6410" w:type="dxa"/>
            <w:vAlign w:val="center"/>
          </w:tcPr>
          <w:p w14:paraId="7568564E" w14:textId="4F11DFE2" w:rsidR="00EE2EBF" w:rsidRPr="00A76411" w:rsidRDefault="00EE2EBF" w:rsidP="00B34F0B">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sz w:val="18"/>
                <w:szCs w:val="18"/>
                <w:lang w:eastAsia="cs-CZ"/>
              </w:rPr>
              <w:t>DS – doprava silniční</w:t>
            </w:r>
          </w:p>
        </w:tc>
      </w:tr>
      <w:tr w:rsidR="00EE2EBF" w:rsidRPr="00A76411" w14:paraId="4C4B5218" w14:textId="77777777" w:rsidTr="00EE2EBF">
        <w:trPr>
          <w:cantSplit/>
        </w:trPr>
        <w:tc>
          <w:tcPr>
            <w:tcW w:w="2660" w:type="dxa"/>
          </w:tcPr>
          <w:p w14:paraId="796A2681" w14:textId="77777777" w:rsidR="00EE2EBF" w:rsidRPr="00A76411" w:rsidRDefault="00EE2EBF" w:rsidP="00EE2EB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limity využití území</w:t>
            </w:r>
          </w:p>
        </w:tc>
        <w:tc>
          <w:tcPr>
            <w:tcW w:w="6410" w:type="dxa"/>
          </w:tcPr>
          <w:p w14:paraId="78541234" w14:textId="17C91319" w:rsidR="00EE2EBF" w:rsidRPr="00A76411" w:rsidRDefault="00EE2EBF" w:rsidP="00EE2EB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 xml:space="preserve">OP elektrického vedení vn 22kV </w:t>
            </w:r>
          </w:p>
        </w:tc>
      </w:tr>
      <w:tr w:rsidR="00EE2EBF" w:rsidRPr="00A76411" w14:paraId="5B4286D9" w14:textId="77777777" w:rsidTr="00EE2EBF">
        <w:trPr>
          <w:cantSplit/>
        </w:trPr>
        <w:tc>
          <w:tcPr>
            <w:tcW w:w="2660" w:type="dxa"/>
          </w:tcPr>
          <w:p w14:paraId="009950A5" w14:textId="77777777" w:rsidR="00EE2EBF" w:rsidRPr="00A76411" w:rsidRDefault="00EE2EBF" w:rsidP="00EE2EB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vztah k platné ÚPD (ZÚR, ÚPO)</w:t>
            </w:r>
          </w:p>
        </w:tc>
        <w:tc>
          <w:tcPr>
            <w:tcW w:w="6410" w:type="dxa"/>
          </w:tcPr>
          <w:p w14:paraId="14B768F7" w14:textId="1972A373" w:rsidR="00EE2EBF" w:rsidRPr="00A76411" w:rsidRDefault="00EE2EBF" w:rsidP="00EE2EB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w:t>
            </w:r>
          </w:p>
        </w:tc>
      </w:tr>
      <w:tr w:rsidR="00EE2EBF" w:rsidRPr="00A76411" w14:paraId="03212DDD" w14:textId="77777777" w:rsidTr="00EE2EBF">
        <w:trPr>
          <w:cantSplit/>
        </w:trPr>
        <w:tc>
          <w:tcPr>
            <w:tcW w:w="2660" w:type="dxa"/>
          </w:tcPr>
          <w:p w14:paraId="223C243D" w14:textId="77777777" w:rsidR="00EE2EBF" w:rsidRPr="00A76411" w:rsidRDefault="00EE2EBF" w:rsidP="00EE2EB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vazba na veřejnou infrastrukturu (DI, TI)</w:t>
            </w:r>
          </w:p>
        </w:tc>
        <w:tc>
          <w:tcPr>
            <w:tcW w:w="6410" w:type="dxa"/>
          </w:tcPr>
          <w:p w14:paraId="56292299" w14:textId="138D115F" w:rsidR="00EE2EBF" w:rsidRPr="00A76411" w:rsidRDefault="00EE2EBF" w:rsidP="00EE2EB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Plocha vymezena pro rozvoj veřejné dopravní infrastruktur</w:t>
            </w:r>
            <w:r w:rsidR="00D26F2D" w:rsidRPr="00A76411">
              <w:rPr>
                <w:rFonts w:asciiTheme="majorHAnsi" w:eastAsia="Times New Roman" w:hAnsiTheme="majorHAnsi" w:cstheme="majorHAnsi"/>
                <w:bCs/>
                <w:iCs/>
                <w:sz w:val="18"/>
                <w:szCs w:val="20"/>
                <w:lang w:eastAsia="ar-SA"/>
              </w:rPr>
              <w:t>y</w:t>
            </w:r>
          </w:p>
        </w:tc>
      </w:tr>
      <w:tr w:rsidR="00EE2EBF" w:rsidRPr="00A76411" w14:paraId="076F5B60" w14:textId="77777777" w:rsidTr="00EE2EBF">
        <w:trPr>
          <w:cantSplit/>
        </w:trPr>
        <w:tc>
          <w:tcPr>
            <w:tcW w:w="2660" w:type="dxa"/>
          </w:tcPr>
          <w:p w14:paraId="2AE92871" w14:textId="77777777" w:rsidR="00EE2EBF" w:rsidRPr="00A76411" w:rsidRDefault="00EE2EBF" w:rsidP="00EE2EB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vztah k zastavěnému území</w:t>
            </w:r>
          </w:p>
        </w:tc>
        <w:tc>
          <w:tcPr>
            <w:tcW w:w="6410" w:type="dxa"/>
          </w:tcPr>
          <w:p w14:paraId="4DC13086" w14:textId="03296B71" w:rsidR="00EE2EBF" w:rsidRPr="00A76411" w:rsidRDefault="00D26F2D" w:rsidP="00EE2EB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w:t>
            </w:r>
          </w:p>
        </w:tc>
      </w:tr>
      <w:tr w:rsidR="00EE2EBF" w:rsidRPr="00A76411" w14:paraId="164BD3AF" w14:textId="77777777" w:rsidTr="00EE2EBF">
        <w:trPr>
          <w:cantSplit/>
        </w:trPr>
        <w:tc>
          <w:tcPr>
            <w:tcW w:w="2660" w:type="dxa"/>
          </w:tcPr>
          <w:p w14:paraId="56112B6B" w14:textId="77777777" w:rsidR="00EE2EBF" w:rsidRPr="00A76411" w:rsidRDefault="00EE2EBF" w:rsidP="00EE2EB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dotčení půdního fondu (ZPF, LPF)</w:t>
            </w:r>
          </w:p>
        </w:tc>
        <w:tc>
          <w:tcPr>
            <w:tcW w:w="6410" w:type="dxa"/>
          </w:tcPr>
          <w:p w14:paraId="6BBB94E4" w14:textId="15924993" w:rsidR="00EE2EBF" w:rsidRPr="00A76411" w:rsidRDefault="00D26F2D" w:rsidP="00EE2EB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Nezemědělská půda, ostatní plocha</w:t>
            </w:r>
          </w:p>
        </w:tc>
      </w:tr>
      <w:tr w:rsidR="00EE2EBF" w:rsidRPr="00A76411" w14:paraId="19C9FAB2" w14:textId="77777777" w:rsidTr="00EE2EBF">
        <w:trPr>
          <w:cantSplit/>
        </w:trPr>
        <w:tc>
          <w:tcPr>
            <w:tcW w:w="2660" w:type="dxa"/>
          </w:tcPr>
          <w:p w14:paraId="7604A6EE" w14:textId="77777777" w:rsidR="00EE2EBF" w:rsidRPr="00A76411" w:rsidRDefault="00EE2EBF" w:rsidP="00EE2EB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hlavní důvody vymezení plochy</w:t>
            </w:r>
          </w:p>
        </w:tc>
        <w:tc>
          <w:tcPr>
            <w:tcW w:w="6410" w:type="dxa"/>
          </w:tcPr>
          <w:p w14:paraId="412B78F3" w14:textId="77777777" w:rsidR="00D26F2D" w:rsidRPr="00A76411" w:rsidRDefault="00D26F2D" w:rsidP="00EE2EB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Plocha je vymezena na základě výsledků projednání návrhu ÚP (požadavek obce uplatnění v rámci vyhodnocení veřejného projednání návrhu ÚP).</w:t>
            </w:r>
          </w:p>
          <w:p w14:paraId="24BDA0AE" w14:textId="3BCBD7EC" w:rsidR="00D26F2D" w:rsidRPr="00A76411" w:rsidRDefault="00D26F2D" w:rsidP="00EE2EB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 xml:space="preserve">Plocha pro optimalizaci stávající silnice propojující Vápensko a silnici II. třídy II/332 mezi Milovicemi a Zbožíčkem severně od řešeného území. Komunikace je v současnosti v nevyhovujícím </w:t>
            </w:r>
            <w:proofErr w:type="gramStart"/>
            <w:r w:rsidRPr="00A76411">
              <w:rPr>
                <w:rFonts w:asciiTheme="majorHAnsi" w:eastAsia="Times New Roman" w:hAnsiTheme="majorHAnsi" w:cstheme="majorHAnsi"/>
                <w:bCs/>
                <w:iCs/>
                <w:sz w:val="18"/>
                <w:szCs w:val="20"/>
                <w:lang w:eastAsia="ar-SA"/>
              </w:rPr>
              <w:t>stavu</w:t>
            </w:r>
            <w:proofErr w:type="gramEnd"/>
            <w:r w:rsidRPr="00A76411">
              <w:rPr>
                <w:rFonts w:asciiTheme="majorHAnsi" w:eastAsia="Times New Roman" w:hAnsiTheme="majorHAnsi" w:cstheme="majorHAnsi"/>
                <w:bCs/>
                <w:iCs/>
                <w:sz w:val="18"/>
                <w:szCs w:val="20"/>
                <w:lang w:eastAsia="ar-SA"/>
              </w:rPr>
              <w:t xml:space="preserve"> a proto je vymezena jako plocha změn, která je zařazena mezi veřejně prospěšné stavby dopravní infrastruktury s možností vyvlastnění VD.5. </w:t>
            </w:r>
          </w:p>
        </w:tc>
      </w:tr>
      <w:tr w:rsidR="00EE2EBF" w:rsidRPr="006070EA" w14:paraId="66FFE32D" w14:textId="77777777" w:rsidTr="00EE2EBF">
        <w:trPr>
          <w:cantSplit/>
        </w:trPr>
        <w:tc>
          <w:tcPr>
            <w:tcW w:w="2660" w:type="dxa"/>
          </w:tcPr>
          <w:p w14:paraId="74A33D14" w14:textId="77777777" w:rsidR="00EE2EBF" w:rsidRPr="00A76411" w:rsidRDefault="00EE2EBF" w:rsidP="00EE2EB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A76411">
              <w:rPr>
                <w:rFonts w:asciiTheme="majorHAnsi" w:eastAsia="Times New Roman" w:hAnsiTheme="majorHAnsi" w:cstheme="majorHAnsi"/>
                <w:b/>
                <w:bCs/>
                <w:iCs/>
                <w:sz w:val="18"/>
                <w:szCs w:val="20"/>
                <w:lang w:eastAsia="ar-SA"/>
              </w:rPr>
              <w:t>související podmínky využití</w:t>
            </w:r>
          </w:p>
        </w:tc>
        <w:tc>
          <w:tcPr>
            <w:tcW w:w="6410" w:type="dxa"/>
          </w:tcPr>
          <w:p w14:paraId="356B0DDF" w14:textId="7F4E493A" w:rsidR="00EE2EBF" w:rsidRPr="00D26F2D" w:rsidRDefault="00EE2EBF" w:rsidP="00EE2EB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A76411">
              <w:rPr>
                <w:rFonts w:asciiTheme="majorHAnsi" w:eastAsia="Times New Roman" w:hAnsiTheme="majorHAnsi" w:cstheme="majorHAnsi"/>
                <w:bCs/>
                <w:iCs/>
                <w:sz w:val="18"/>
                <w:szCs w:val="20"/>
                <w:lang w:eastAsia="ar-SA"/>
              </w:rPr>
              <w:t>-</w:t>
            </w:r>
          </w:p>
        </w:tc>
      </w:tr>
    </w:tbl>
    <w:p w14:paraId="485EC23C" w14:textId="32CE513F" w:rsidR="00BE35FE" w:rsidRPr="006070EA" w:rsidRDefault="00BE35FE" w:rsidP="00BE35F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19" w:name="_Toc204678196"/>
      <w:r w:rsidRPr="006070EA">
        <w:rPr>
          <w:rFonts w:asciiTheme="majorHAnsi" w:hAnsiTheme="majorHAnsi" w:cstheme="majorHAnsi"/>
          <w:b/>
        </w:rPr>
        <w:t>Odůvodnění vymezení systému sídelní zeleně</w:t>
      </w:r>
      <w:bookmarkEnd w:id="319"/>
    </w:p>
    <w:p w14:paraId="764E5FA5" w14:textId="18FB54E8" w:rsidR="00BE35FE" w:rsidRPr="006070EA" w:rsidRDefault="00BE35FE" w:rsidP="00BE35FE">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(1</w:t>
      </w:r>
      <w:r w:rsidR="00AE7B69" w:rsidRPr="006070EA">
        <w:rPr>
          <w:rFonts w:asciiTheme="majorHAnsi" w:hAnsiTheme="majorHAnsi" w:cstheme="majorHAnsi"/>
          <w:b/>
          <w:i/>
          <w:snapToGrid w:val="0"/>
          <w:u w:val="single"/>
        </w:rPr>
        <w:t>1</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37B833B4" w14:textId="7C9CF7EC" w:rsidR="00BE35FE" w:rsidRPr="006070EA" w:rsidRDefault="00BE35FE" w:rsidP="00BE35FE">
      <w:pPr>
        <w:pStyle w:val="Atext"/>
        <w:spacing w:after="60"/>
        <w:rPr>
          <w:rFonts w:asciiTheme="majorHAnsi" w:hAnsiTheme="majorHAnsi" w:cstheme="majorHAnsi"/>
          <w:snapToGrid w:val="0"/>
        </w:rPr>
      </w:pPr>
      <w:r w:rsidRPr="006070EA">
        <w:rPr>
          <w:rFonts w:asciiTheme="majorHAnsi" w:hAnsiTheme="majorHAnsi" w:cstheme="majorHAnsi"/>
        </w:rPr>
        <w:t xml:space="preserve">Podkladem pro vymezení systému sídelní zeleně byly zejména </w:t>
      </w:r>
      <w:r w:rsidRPr="006070EA">
        <w:rPr>
          <w:rFonts w:asciiTheme="majorHAnsi" w:hAnsiTheme="majorHAnsi" w:cstheme="majorHAnsi"/>
          <w:snapToGrid w:val="0"/>
        </w:rPr>
        <w:t xml:space="preserve">terénní průzkumy zpracovatele. Na základě podrobných analýz jednotlivých systémů v území a požadavků na jejich rozvoj byl v řešení ÚP </w:t>
      </w:r>
      <w:r w:rsidR="007B2588" w:rsidRPr="006070EA">
        <w:rPr>
          <w:rFonts w:asciiTheme="majorHAnsi" w:hAnsiTheme="majorHAnsi" w:cstheme="majorHAnsi"/>
          <w:snapToGrid w:val="0"/>
        </w:rPr>
        <w:t>Kostomlaty nad Labem</w:t>
      </w:r>
      <w:r w:rsidRPr="006070EA">
        <w:rPr>
          <w:rFonts w:asciiTheme="majorHAnsi" w:hAnsiTheme="majorHAnsi" w:cstheme="majorHAnsi"/>
          <w:snapToGrid w:val="0"/>
        </w:rPr>
        <w:t xml:space="preserve"> stabilizován systém sídelní zeleně v měřítku odpovídajícím § 3 odst. 1 vyhlášky č. 501/2006 Sb. </w:t>
      </w:r>
    </w:p>
    <w:p w14:paraId="30A4567C" w14:textId="073D33A4" w:rsidR="00BE35FE" w:rsidRPr="006070EA" w:rsidRDefault="00BE35FE" w:rsidP="00BE35FE">
      <w:pPr>
        <w:pStyle w:val="Atext"/>
        <w:spacing w:before="0"/>
        <w:rPr>
          <w:rFonts w:asciiTheme="majorHAnsi" w:hAnsiTheme="majorHAnsi" w:cstheme="majorHAnsi"/>
        </w:rPr>
      </w:pPr>
      <w:r w:rsidRPr="006070EA">
        <w:rPr>
          <w:rFonts w:asciiTheme="majorHAnsi" w:hAnsiTheme="majorHAnsi" w:cstheme="majorHAnsi"/>
          <w:snapToGrid w:val="0"/>
        </w:rPr>
        <w:t xml:space="preserve">Systém sídelní zeleně je tvořen kromě ploch zeleně i dalšími prvky sídelní zeleně zahrnutými v dalších typech ploch s rozdílným způsobem využití, a to s ohledem na výše uvedené ustanovení o výměře ploch vymezovaných v územním plánu. </w:t>
      </w:r>
      <w:r w:rsidRPr="006070EA">
        <w:rPr>
          <w:rFonts w:asciiTheme="majorHAnsi" w:hAnsiTheme="majorHAnsi" w:cstheme="majorHAnsi"/>
        </w:rPr>
        <w:t xml:space="preserve">Důvodem pro stanovení výroků je zajištění ochrany a vytvoření podmínek pro rozvoj sídelní zeleně v řešeném území. </w:t>
      </w:r>
      <w:r w:rsidR="00AE7B69" w:rsidRPr="006070EA">
        <w:rPr>
          <w:rFonts w:asciiTheme="majorHAnsi" w:hAnsiTheme="majorHAnsi" w:cstheme="majorHAnsi"/>
        </w:rPr>
        <w:t>Součástí systému je také liniová zeleň identifikovaná jako přírodní hodnota území (významné aleje, doprovodná zeleň komunikací, lineární zeleň ve volné krajině).</w:t>
      </w:r>
    </w:p>
    <w:p w14:paraId="51F2CE94" w14:textId="2EF0543A" w:rsidR="00AE7B69" w:rsidRPr="006070EA" w:rsidRDefault="00AE7B69" w:rsidP="00BE35FE">
      <w:pPr>
        <w:pStyle w:val="Atext"/>
        <w:spacing w:before="0"/>
        <w:rPr>
          <w:rFonts w:asciiTheme="majorHAnsi" w:hAnsiTheme="majorHAnsi" w:cstheme="majorHAnsi"/>
        </w:rPr>
      </w:pPr>
      <w:r w:rsidRPr="006070EA">
        <w:rPr>
          <w:rFonts w:asciiTheme="majorHAnsi" w:hAnsiTheme="majorHAnsi" w:cstheme="majorHAnsi"/>
        </w:rPr>
        <w:t>Odůvodnění jednotlivých ploch vymezených pro rozvoj systému sídelní zeleně je podrobně je uvedeno v kapitole 11.3.2.</w:t>
      </w:r>
    </w:p>
    <w:p w14:paraId="2B96A193" w14:textId="5E344A18" w:rsidR="00BE35FE" w:rsidRPr="006070EA" w:rsidRDefault="00BE35FE" w:rsidP="00BE35FE">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(1</w:t>
      </w:r>
      <w:r w:rsidR="00AE7B69" w:rsidRPr="006070EA">
        <w:rPr>
          <w:rFonts w:asciiTheme="majorHAnsi" w:hAnsiTheme="majorHAnsi" w:cstheme="majorHAnsi"/>
          <w:b/>
          <w:i/>
          <w:snapToGrid w:val="0"/>
          <w:u w:val="single"/>
        </w:rPr>
        <w:t>2</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4CC145AA" w14:textId="40EDC059" w:rsidR="00BE35FE" w:rsidRPr="006070EA" w:rsidRDefault="00BE35FE" w:rsidP="00BE35FE">
      <w:pPr>
        <w:pStyle w:val="Atext"/>
        <w:spacing w:after="60"/>
        <w:rPr>
          <w:rFonts w:asciiTheme="majorHAnsi" w:hAnsiTheme="majorHAnsi" w:cstheme="majorHAnsi"/>
        </w:rPr>
      </w:pPr>
      <w:r w:rsidRPr="006070EA">
        <w:rPr>
          <w:rFonts w:asciiTheme="majorHAnsi" w:hAnsiTheme="majorHAnsi" w:cstheme="majorHAnsi"/>
        </w:rPr>
        <w:t xml:space="preserve">Důvodem ochrany veřejné zeleně je zejména fakt, že se jedná o veřejnou infrastrukturu ve smyslu § 2 odst. 1 písm. k) stavebního zákona, která je součástí ploch veřejných prostranství. Plochy veřejné zeleně jsou vymezeny ve veřejném zájmu, proto jejich využití nesmí být narušeno parciálními zájmy v území. Stav a rozsah sídelní zeleně v území je významným indikátorem kvality obytného prostředí. Plochy sídelní zeleně tvoří jednak doplňkovou funkci v obytném prostředí, mají estetickou, kompoziční a hygienickou funkci v sídlech, a proto je nutné je chránit, resp. významnou zeleň přímo vymezit v rámci </w:t>
      </w:r>
      <w:r w:rsidRPr="006070EA">
        <w:rPr>
          <w:rFonts w:asciiTheme="majorHAnsi" w:hAnsiTheme="majorHAnsi" w:cstheme="majorHAnsi"/>
        </w:rPr>
        <w:lastRenderedPageBreak/>
        <w:t xml:space="preserve">ploch zeleně s vyloučením zástavby. </w:t>
      </w:r>
      <w:r w:rsidR="00AE7B69" w:rsidRPr="006070EA">
        <w:rPr>
          <w:rFonts w:asciiTheme="majorHAnsi" w:hAnsiTheme="majorHAnsi" w:cstheme="majorHAnsi"/>
        </w:rPr>
        <w:t>Důvodem pro stanovení výroků je zajištění ochrany a vytvoření podmínek pro rozvoj sídelní zeleně v řešeném území.</w:t>
      </w:r>
    </w:p>
    <w:p w14:paraId="2D9A6C9E" w14:textId="0B24A65A" w:rsidR="00BE35FE" w:rsidRPr="006070EA" w:rsidRDefault="00BE35FE" w:rsidP="00BE35FE">
      <w:pPr>
        <w:pStyle w:val="Atext"/>
        <w:spacing w:before="0"/>
        <w:ind w:firstLine="705"/>
        <w:rPr>
          <w:rFonts w:asciiTheme="majorHAnsi" w:hAnsiTheme="majorHAnsi" w:cstheme="majorHAnsi"/>
        </w:rPr>
      </w:pPr>
      <w:r w:rsidRPr="006070EA">
        <w:rPr>
          <w:rFonts w:asciiTheme="majorHAnsi" w:hAnsiTheme="majorHAnsi" w:cstheme="majorHAnsi"/>
        </w:rPr>
        <w:t xml:space="preserve">Kromě vlastní ochrany a rozvoje ploch </w:t>
      </w:r>
      <w:r w:rsidR="00DE4B71" w:rsidRPr="006070EA">
        <w:rPr>
          <w:rFonts w:asciiTheme="majorHAnsi" w:hAnsiTheme="majorHAnsi" w:cstheme="majorHAnsi"/>
          <w:i/>
        </w:rPr>
        <w:t>zeleně – parky a parkově upravené plochy</w:t>
      </w:r>
      <w:r w:rsidRPr="006070EA">
        <w:rPr>
          <w:rFonts w:asciiTheme="majorHAnsi" w:hAnsiTheme="majorHAnsi" w:cstheme="majorHAnsi"/>
        </w:rPr>
        <w:t xml:space="preserve"> (Z</w:t>
      </w:r>
      <w:r w:rsidR="00DE4B71" w:rsidRPr="006070EA">
        <w:rPr>
          <w:rFonts w:asciiTheme="majorHAnsi" w:hAnsiTheme="majorHAnsi" w:cstheme="majorHAnsi"/>
        </w:rPr>
        <w:t>P</w:t>
      </w:r>
      <w:r w:rsidRPr="006070EA">
        <w:rPr>
          <w:rFonts w:asciiTheme="majorHAnsi" w:hAnsiTheme="majorHAnsi" w:cstheme="majorHAnsi"/>
        </w:rPr>
        <w:t xml:space="preserve">), </w:t>
      </w:r>
      <w:r w:rsidRPr="006070EA">
        <w:rPr>
          <w:rFonts w:asciiTheme="majorHAnsi" w:hAnsiTheme="majorHAnsi" w:cstheme="majorHAnsi"/>
          <w:i/>
        </w:rPr>
        <w:t>veřejných prostranství</w:t>
      </w:r>
      <w:r w:rsidR="00DE4B71" w:rsidRPr="006070EA">
        <w:rPr>
          <w:rFonts w:asciiTheme="majorHAnsi" w:hAnsiTheme="majorHAnsi" w:cstheme="majorHAnsi"/>
        </w:rPr>
        <w:t xml:space="preserve"> </w:t>
      </w:r>
      <w:r w:rsidR="00DE4B71" w:rsidRPr="006070EA">
        <w:rPr>
          <w:rFonts w:asciiTheme="majorHAnsi" w:hAnsiTheme="majorHAnsi" w:cstheme="majorHAnsi"/>
          <w:i/>
          <w:iCs w:val="0"/>
        </w:rPr>
        <w:t>všeobecných</w:t>
      </w:r>
      <w:r w:rsidR="00DE4B71" w:rsidRPr="006070EA">
        <w:rPr>
          <w:rFonts w:asciiTheme="majorHAnsi" w:hAnsiTheme="majorHAnsi" w:cstheme="majorHAnsi"/>
        </w:rPr>
        <w:t xml:space="preserve"> </w:t>
      </w:r>
      <w:r w:rsidRPr="006070EA">
        <w:rPr>
          <w:rFonts w:asciiTheme="majorHAnsi" w:hAnsiTheme="majorHAnsi" w:cstheme="majorHAnsi"/>
        </w:rPr>
        <w:t>(PV) a </w:t>
      </w:r>
      <w:r w:rsidRPr="006070EA">
        <w:rPr>
          <w:rFonts w:asciiTheme="majorHAnsi" w:hAnsiTheme="majorHAnsi" w:cstheme="majorHAnsi"/>
          <w:i/>
        </w:rPr>
        <w:t xml:space="preserve">zeleně </w:t>
      </w:r>
      <w:r w:rsidR="00DE4B71" w:rsidRPr="006070EA">
        <w:rPr>
          <w:rFonts w:asciiTheme="majorHAnsi" w:hAnsiTheme="majorHAnsi" w:cstheme="majorHAnsi"/>
          <w:i/>
        </w:rPr>
        <w:t xml:space="preserve">krajinné </w:t>
      </w:r>
      <w:r w:rsidRPr="006070EA">
        <w:rPr>
          <w:rFonts w:asciiTheme="majorHAnsi" w:hAnsiTheme="majorHAnsi" w:cstheme="majorHAnsi"/>
        </w:rPr>
        <w:t>(Z</w:t>
      </w:r>
      <w:r w:rsidR="00DE4B71" w:rsidRPr="006070EA">
        <w:rPr>
          <w:rFonts w:asciiTheme="majorHAnsi" w:hAnsiTheme="majorHAnsi" w:cstheme="majorHAnsi"/>
        </w:rPr>
        <w:t>K</w:t>
      </w:r>
      <w:r w:rsidRPr="006070EA">
        <w:rPr>
          <w:rFonts w:asciiTheme="majorHAnsi" w:hAnsiTheme="majorHAnsi" w:cstheme="majorHAnsi"/>
        </w:rPr>
        <w:t xml:space="preserve">) je nezbytné sídelní zeleň rozvíjet také v dalších plochách s rozdílným způsobem využití a zvyšovat tak podíl lokální zeleně zejména uvnitř obytných území. </w:t>
      </w:r>
    </w:p>
    <w:p w14:paraId="62C88A7D" w14:textId="10DB0471" w:rsidR="00AB1F4C" w:rsidRPr="006070EA" w:rsidRDefault="00AB1F4C" w:rsidP="00795EBA">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4</w:t>
      </w:r>
      <w:r w:rsidRPr="006070EA">
        <w:rPr>
          <w:rFonts w:asciiTheme="majorHAnsi" w:hAnsiTheme="majorHAnsi" w:cstheme="majorHAnsi"/>
          <w:b/>
          <w:i/>
          <w:color w:val="auto"/>
          <w:sz w:val="22"/>
        </w:rPr>
        <w:tab/>
        <w:t>Koncepce veřejné infrastruktury, včetně podmínek pro její umísťování</w:t>
      </w:r>
      <w:r w:rsidR="003367DF" w:rsidRPr="006070EA">
        <w:rPr>
          <w:rFonts w:asciiTheme="majorHAnsi" w:hAnsiTheme="majorHAnsi" w:cstheme="majorHAnsi"/>
          <w:b/>
          <w:i/>
          <w:color w:val="auto"/>
          <w:sz w:val="22"/>
        </w:rPr>
        <w:t>, vymezení ploch a koridorů pro veřejnou infrastrukturu, včetně stanovení podmínek pro jejich využití</w:t>
      </w:r>
    </w:p>
    <w:p w14:paraId="4275BBF8" w14:textId="77777777" w:rsidR="00AB1F4C" w:rsidRPr="006070EA" w:rsidRDefault="00AB1F4C"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320" w:name="_Toc424119850"/>
      <w:bookmarkStart w:id="321" w:name="_Toc204678197"/>
      <w:r w:rsidRPr="006070EA">
        <w:rPr>
          <w:rFonts w:asciiTheme="majorHAnsi" w:hAnsiTheme="majorHAnsi" w:cstheme="majorHAnsi"/>
          <w:b/>
          <w:sz w:val="24"/>
          <w:szCs w:val="20"/>
        </w:rPr>
        <w:t>Odůvodnění koncepce veřejné infrastruktury</w:t>
      </w:r>
      <w:bookmarkEnd w:id="320"/>
      <w:bookmarkEnd w:id="321"/>
    </w:p>
    <w:p w14:paraId="39B8FBC6" w14:textId="77777777" w:rsidR="00AB1F4C" w:rsidRPr="006070EA" w:rsidRDefault="00AB1F4C"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22" w:name="_Toc415755998"/>
      <w:bookmarkStart w:id="323" w:name="_Toc415756364"/>
      <w:bookmarkStart w:id="324" w:name="_Toc415756723"/>
      <w:bookmarkStart w:id="325" w:name="_Toc415756973"/>
      <w:bookmarkStart w:id="326" w:name="_Toc415757223"/>
      <w:bookmarkStart w:id="327" w:name="_Toc415757472"/>
      <w:bookmarkStart w:id="328" w:name="_Toc415757630"/>
      <w:bookmarkStart w:id="329" w:name="_Toc424050154"/>
      <w:bookmarkStart w:id="330" w:name="_Toc424050328"/>
      <w:bookmarkStart w:id="331" w:name="_Toc424050486"/>
      <w:bookmarkStart w:id="332" w:name="_Toc424112348"/>
      <w:bookmarkStart w:id="333" w:name="_Toc424119372"/>
      <w:bookmarkStart w:id="334" w:name="_Toc424119851"/>
      <w:bookmarkStart w:id="335" w:name="_Toc424120107"/>
      <w:bookmarkStart w:id="336" w:name="_Toc424120533"/>
      <w:bookmarkStart w:id="337" w:name="_Toc424126239"/>
      <w:bookmarkStart w:id="338" w:name="_Toc424138820"/>
      <w:bookmarkStart w:id="339" w:name="_Toc445291942"/>
      <w:bookmarkStart w:id="340" w:name="_Toc445910455"/>
      <w:bookmarkStart w:id="341" w:name="_Toc448831938"/>
      <w:bookmarkStart w:id="342" w:name="_Toc448832128"/>
      <w:bookmarkStart w:id="343" w:name="_Toc450037788"/>
      <w:bookmarkStart w:id="344" w:name="_Toc450223082"/>
      <w:bookmarkStart w:id="345" w:name="_Toc472325713"/>
      <w:bookmarkStart w:id="346" w:name="_Toc485214929"/>
      <w:bookmarkStart w:id="347" w:name="_Toc485378082"/>
      <w:bookmarkStart w:id="348" w:name="_Toc485378204"/>
      <w:bookmarkStart w:id="349" w:name="_Toc424119852"/>
      <w:bookmarkStart w:id="350" w:name="_Toc204678198"/>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r w:rsidRPr="006070EA">
        <w:rPr>
          <w:rFonts w:asciiTheme="majorHAnsi" w:hAnsiTheme="majorHAnsi" w:cstheme="majorHAnsi"/>
          <w:b/>
        </w:rPr>
        <w:t>Odůvodnění koncepce občanského vybavení</w:t>
      </w:r>
      <w:bookmarkEnd w:id="349"/>
      <w:bookmarkEnd w:id="350"/>
    </w:p>
    <w:p w14:paraId="00EF3603" w14:textId="0CC64802" w:rsidR="00F90A7F" w:rsidRPr="006070EA" w:rsidRDefault="00F90A7F" w:rsidP="00F90A7F">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 xml:space="preserve">(13) a (14) </w:t>
      </w:r>
      <w:r w:rsidRPr="006070EA">
        <w:rPr>
          <w:rFonts w:asciiTheme="majorHAnsi" w:hAnsiTheme="majorHAnsi" w:cstheme="majorHAnsi"/>
          <w:i/>
          <w:snapToGrid w:val="0"/>
          <w:u w:val="single"/>
        </w:rPr>
        <w:t>výrokové části</w:t>
      </w:r>
    </w:p>
    <w:p w14:paraId="089FBD3D" w14:textId="39DCC201" w:rsidR="004742CC" w:rsidRPr="006070EA" w:rsidRDefault="004742CC" w:rsidP="004742CC">
      <w:pPr>
        <w:pStyle w:val="Anadpispodtren"/>
        <w:rPr>
          <w:rFonts w:asciiTheme="majorHAnsi" w:hAnsiTheme="majorHAnsi" w:cstheme="majorHAnsi"/>
          <w:b/>
          <w:u w:val="none"/>
        </w:rPr>
      </w:pPr>
      <w:r w:rsidRPr="006070EA">
        <w:rPr>
          <w:rFonts w:asciiTheme="majorHAnsi" w:hAnsiTheme="majorHAnsi" w:cstheme="majorHAnsi"/>
          <w:b/>
          <w:u w:val="none"/>
        </w:rPr>
        <w:t>Popis stávající situace</w:t>
      </w:r>
    </w:p>
    <w:p w14:paraId="2C89D0CF" w14:textId="63BB6CDD" w:rsidR="009E5E88" w:rsidRPr="006070EA" w:rsidRDefault="00F90A7F" w:rsidP="00C820B5">
      <w:pPr>
        <w:pStyle w:val="Atext"/>
        <w:spacing w:before="60" w:after="60"/>
        <w:rPr>
          <w:rFonts w:asciiTheme="majorHAnsi" w:hAnsiTheme="majorHAnsi" w:cstheme="majorHAnsi"/>
        </w:rPr>
      </w:pPr>
      <w:r w:rsidRPr="006070EA">
        <w:rPr>
          <w:rFonts w:asciiTheme="majorHAnsi" w:hAnsiTheme="majorHAnsi" w:cstheme="majorHAnsi"/>
        </w:rPr>
        <w:t xml:space="preserve">Kostomlaty nad Labem disponují základními složkami občanského vybavení. </w:t>
      </w:r>
      <w:r w:rsidR="009E5E88" w:rsidRPr="006070EA">
        <w:rPr>
          <w:rFonts w:asciiTheme="majorHAnsi" w:hAnsiTheme="majorHAnsi" w:cstheme="majorHAnsi"/>
        </w:rPr>
        <w:t>Dostatek ploch občanského vybavení tvoří jeden ze základ</w:t>
      </w:r>
      <w:r w:rsidR="00C820B5" w:rsidRPr="006070EA">
        <w:rPr>
          <w:rFonts w:asciiTheme="majorHAnsi" w:hAnsiTheme="majorHAnsi" w:cstheme="majorHAnsi"/>
        </w:rPr>
        <w:t>ních předpokladů</w:t>
      </w:r>
      <w:r w:rsidR="009E5E88" w:rsidRPr="006070EA">
        <w:rPr>
          <w:rFonts w:asciiTheme="majorHAnsi" w:hAnsiTheme="majorHAnsi" w:cstheme="majorHAnsi"/>
        </w:rPr>
        <w:t xml:space="preserve"> kvalitního bydlení</w:t>
      </w:r>
      <w:r w:rsidR="00C820B5" w:rsidRPr="006070EA">
        <w:rPr>
          <w:rFonts w:asciiTheme="majorHAnsi" w:hAnsiTheme="majorHAnsi" w:cstheme="majorHAnsi"/>
        </w:rPr>
        <w:t xml:space="preserve"> v území</w:t>
      </w:r>
      <w:r w:rsidR="009E5E88" w:rsidRPr="006070EA">
        <w:rPr>
          <w:rFonts w:asciiTheme="majorHAnsi" w:hAnsiTheme="majorHAnsi" w:cstheme="majorHAnsi"/>
        </w:rPr>
        <w:t>. Občanské vybavení veřejného i komerčního charakteru je soustředěno v</w:t>
      </w:r>
      <w:r w:rsidR="00C820B5" w:rsidRPr="006070EA">
        <w:rPr>
          <w:rFonts w:asciiTheme="majorHAnsi" w:hAnsiTheme="majorHAnsi" w:cstheme="majorHAnsi"/>
        </w:rPr>
        <w:t xml:space="preserve"> těžišti území, v </w:t>
      </w:r>
      <w:r w:rsidR="009E5E88" w:rsidRPr="006070EA">
        <w:rPr>
          <w:rFonts w:asciiTheme="majorHAnsi" w:hAnsiTheme="majorHAnsi" w:cstheme="majorHAnsi"/>
        </w:rPr>
        <w:t>Kostomlat</w:t>
      </w:r>
      <w:r w:rsidR="00C820B5" w:rsidRPr="006070EA">
        <w:rPr>
          <w:rFonts w:asciiTheme="majorHAnsi" w:hAnsiTheme="majorHAnsi" w:cstheme="majorHAnsi"/>
        </w:rPr>
        <w:t>ech</w:t>
      </w:r>
      <w:r w:rsidR="009E5E88" w:rsidRPr="006070EA">
        <w:rPr>
          <w:rFonts w:asciiTheme="majorHAnsi" w:hAnsiTheme="majorHAnsi" w:cstheme="majorHAnsi"/>
        </w:rPr>
        <w:t xml:space="preserve"> nad Labem. </w:t>
      </w:r>
      <w:r w:rsidR="00C820B5" w:rsidRPr="006070EA">
        <w:rPr>
          <w:rFonts w:asciiTheme="majorHAnsi" w:hAnsiTheme="majorHAnsi" w:cstheme="majorHAnsi"/>
        </w:rPr>
        <w:t>Za hlavní zařízení a objekty občanského vybavení v území lze považovat</w:t>
      </w:r>
      <w:r w:rsidR="009E5E88" w:rsidRPr="006070EA">
        <w:rPr>
          <w:rFonts w:asciiTheme="majorHAnsi" w:hAnsiTheme="majorHAnsi" w:cstheme="majorHAnsi"/>
        </w:rPr>
        <w:t xml:space="preserve">: </w:t>
      </w:r>
    </w:p>
    <w:p w14:paraId="0C587FF7" w14:textId="568AE4B4" w:rsidR="00C820B5" w:rsidRPr="006070EA" w:rsidRDefault="009E5E88"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 xml:space="preserve">mateřská </w:t>
      </w:r>
      <w:r w:rsidR="00C820B5" w:rsidRPr="006070EA">
        <w:rPr>
          <w:rFonts w:asciiTheme="majorHAnsi" w:hAnsiTheme="majorHAnsi" w:cstheme="majorHAnsi"/>
        </w:rPr>
        <w:t>škola</w:t>
      </w:r>
    </w:p>
    <w:p w14:paraId="3E1C5F74" w14:textId="2974A462" w:rsidR="009E5E88" w:rsidRPr="006070EA" w:rsidRDefault="009E5E88"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základní škola (1. – 9. ročník)</w:t>
      </w:r>
    </w:p>
    <w:p w14:paraId="6186BF34" w14:textId="7AD31904" w:rsidR="009E5E88" w:rsidRPr="006070EA" w:rsidRDefault="009E5E88"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úřad obce</w:t>
      </w:r>
    </w:p>
    <w:p w14:paraId="09621479" w14:textId="0F73B15B" w:rsidR="009E5E88" w:rsidRPr="006070EA" w:rsidRDefault="009E5E88"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pošta</w:t>
      </w:r>
    </w:p>
    <w:p w14:paraId="12B80CA0" w14:textId="6467B01F" w:rsidR="009E5E88" w:rsidRPr="006070EA" w:rsidRDefault="009E5E88"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veřejná knihovna</w:t>
      </w:r>
    </w:p>
    <w:p w14:paraId="39C8FF1D" w14:textId="78DC7AB6" w:rsidR="009E5E88" w:rsidRPr="006070EA" w:rsidRDefault="009E5E88"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kulturní zařízení (2x)</w:t>
      </w:r>
    </w:p>
    <w:p w14:paraId="6EEFBCB8" w14:textId="3D5C9612" w:rsidR="009E5E88" w:rsidRPr="006070EA" w:rsidRDefault="009E5E88"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služby, obchody, restaurace</w:t>
      </w:r>
    </w:p>
    <w:p w14:paraId="7E27E017" w14:textId="23F6176B" w:rsidR="009E5E88" w:rsidRPr="006070EA" w:rsidRDefault="009E5E88"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 xml:space="preserve">kostel, hřbitov </w:t>
      </w:r>
    </w:p>
    <w:p w14:paraId="422926C4" w14:textId="32ED2669" w:rsidR="00C820B5" w:rsidRPr="006070EA" w:rsidRDefault="00C820B5"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zdravotnická zařízení (dětský lékař)</w:t>
      </w:r>
    </w:p>
    <w:p w14:paraId="78577896" w14:textId="4EE74902" w:rsidR="00C820B5" w:rsidRPr="006070EA" w:rsidRDefault="00C820B5" w:rsidP="005E346A">
      <w:pPr>
        <w:pStyle w:val="Atext"/>
        <w:numPr>
          <w:ilvl w:val="0"/>
          <w:numId w:val="4"/>
        </w:numPr>
        <w:spacing w:before="0" w:after="0"/>
        <w:rPr>
          <w:rFonts w:asciiTheme="majorHAnsi" w:hAnsiTheme="majorHAnsi" w:cstheme="majorHAnsi"/>
        </w:rPr>
      </w:pPr>
      <w:r w:rsidRPr="006070EA">
        <w:rPr>
          <w:rFonts w:asciiTheme="majorHAnsi" w:hAnsiTheme="majorHAnsi" w:cstheme="majorHAnsi"/>
        </w:rPr>
        <w:t>hasičská zbrojnice</w:t>
      </w:r>
    </w:p>
    <w:p w14:paraId="38F7267C" w14:textId="3F491CFD" w:rsidR="009E5E88" w:rsidRPr="006070EA" w:rsidRDefault="009E5E88" w:rsidP="009E5E88">
      <w:pPr>
        <w:pStyle w:val="Atext"/>
        <w:spacing w:before="60" w:after="60"/>
        <w:rPr>
          <w:rFonts w:asciiTheme="majorHAnsi" w:hAnsiTheme="majorHAnsi" w:cstheme="majorHAnsi"/>
        </w:rPr>
      </w:pPr>
      <w:r w:rsidRPr="006070EA">
        <w:rPr>
          <w:rFonts w:asciiTheme="majorHAnsi" w:hAnsiTheme="majorHAnsi" w:cstheme="majorHAnsi"/>
        </w:rPr>
        <w:t xml:space="preserve">V Kostomlatech nad Labem </w:t>
      </w:r>
      <w:r w:rsidR="00C820B5" w:rsidRPr="006070EA">
        <w:rPr>
          <w:rFonts w:asciiTheme="majorHAnsi" w:hAnsiTheme="majorHAnsi" w:cstheme="majorHAnsi"/>
        </w:rPr>
        <w:t xml:space="preserve">působí </w:t>
      </w:r>
      <w:r w:rsidRPr="006070EA">
        <w:rPr>
          <w:rFonts w:asciiTheme="majorHAnsi" w:hAnsiTheme="majorHAnsi" w:cstheme="majorHAnsi"/>
        </w:rPr>
        <w:t>SDH (Sbor dobrovolných hasičů) s hasičskou zbrojnicí. Ze sportovních zařízení se v řešeném území nacházejí Sokolovna, dětské hřiště, fotbalové hřiště, hala BIOS.</w:t>
      </w:r>
      <w:r w:rsidR="00C820B5" w:rsidRPr="006070EA">
        <w:rPr>
          <w:rFonts w:asciiTheme="majorHAnsi" w:hAnsiTheme="majorHAnsi" w:cstheme="majorHAnsi"/>
        </w:rPr>
        <w:t xml:space="preserve"> </w:t>
      </w:r>
    </w:p>
    <w:p w14:paraId="19A4ADB4" w14:textId="77777777" w:rsidR="00802453" w:rsidRPr="006070EA" w:rsidRDefault="00802453" w:rsidP="00802453">
      <w:pPr>
        <w:pStyle w:val="Anadpistun"/>
        <w:rPr>
          <w:rFonts w:asciiTheme="majorHAnsi" w:hAnsiTheme="majorHAnsi" w:cstheme="majorHAnsi"/>
        </w:rPr>
      </w:pPr>
      <w:r w:rsidRPr="006070EA">
        <w:rPr>
          <w:rFonts w:asciiTheme="majorHAnsi" w:hAnsiTheme="majorHAnsi" w:cstheme="majorHAnsi"/>
        </w:rPr>
        <w:t>Odůvodnění navrhovaného řešení</w:t>
      </w:r>
    </w:p>
    <w:p w14:paraId="076BF117" w14:textId="4E5CF289" w:rsidR="00AB1F4C" w:rsidRPr="006070EA" w:rsidRDefault="00AB1F4C" w:rsidP="009E07E1">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Plochy občanského vybavení jsou specifikované v § 2 odst. 1 písm. k) stavebního zákona a § 6 vyhlášky č. 501/2006 Sb., o obecných požadavcích na využívání území</w:t>
      </w:r>
      <w:r w:rsidR="00DE4B71" w:rsidRPr="006070EA">
        <w:rPr>
          <w:rFonts w:asciiTheme="majorHAnsi" w:hAnsiTheme="majorHAnsi" w:cstheme="majorHAnsi"/>
          <w:sz w:val="18"/>
        </w:rPr>
        <w:t xml:space="preserve"> v aktuálním znění</w:t>
      </w:r>
      <w:r w:rsidRPr="006070EA">
        <w:rPr>
          <w:rFonts w:asciiTheme="majorHAnsi" w:hAnsiTheme="majorHAnsi" w:cstheme="majorHAnsi"/>
          <w:sz w:val="18"/>
        </w:rPr>
        <w:t xml:space="preserve"> (dále také jen „vyhláška č. 501/2006 Sb.“). V ÚP </w:t>
      </w:r>
      <w:r w:rsidR="00C820B5" w:rsidRPr="006070EA">
        <w:rPr>
          <w:rFonts w:asciiTheme="majorHAnsi" w:hAnsiTheme="majorHAnsi" w:cstheme="majorHAnsi"/>
          <w:sz w:val="18"/>
        </w:rPr>
        <w:t>Kostomlaty nad Labem</w:t>
      </w:r>
      <w:r w:rsidRPr="006070EA">
        <w:rPr>
          <w:rFonts w:asciiTheme="majorHAnsi" w:hAnsiTheme="majorHAnsi" w:cstheme="majorHAnsi"/>
          <w:sz w:val="18"/>
        </w:rPr>
        <w:t xml:space="preserve"> představují občanské vybavení následující plochy s rozdílným způsobem využití:</w:t>
      </w:r>
    </w:p>
    <w:p w14:paraId="530CA365" w14:textId="19CF10E8" w:rsidR="00AB1F4C" w:rsidRPr="006070EA" w:rsidRDefault="00AB1F4C" w:rsidP="0036779E">
      <w:pPr>
        <w:pStyle w:val="Odstavecseseznamem"/>
        <w:numPr>
          <w:ilvl w:val="0"/>
          <w:numId w:val="4"/>
        </w:numPr>
        <w:spacing w:after="120" w:line="240" w:lineRule="auto"/>
        <w:jc w:val="both"/>
        <w:rPr>
          <w:rFonts w:asciiTheme="majorHAnsi" w:hAnsiTheme="majorHAnsi" w:cstheme="majorHAnsi"/>
          <w:sz w:val="18"/>
        </w:rPr>
      </w:pPr>
      <w:r w:rsidRPr="006070EA">
        <w:rPr>
          <w:rFonts w:asciiTheme="majorHAnsi" w:hAnsiTheme="majorHAnsi" w:cstheme="majorHAnsi"/>
          <w:sz w:val="18"/>
        </w:rPr>
        <w:t xml:space="preserve">občanské vybavení </w:t>
      </w:r>
      <w:r w:rsidR="00DE4B71" w:rsidRPr="006070EA">
        <w:rPr>
          <w:rFonts w:asciiTheme="majorHAnsi" w:hAnsiTheme="majorHAnsi" w:cstheme="majorHAnsi"/>
          <w:sz w:val="18"/>
        </w:rPr>
        <w:t>veřejné</w:t>
      </w:r>
      <w:r w:rsidRPr="006070EA">
        <w:rPr>
          <w:rFonts w:asciiTheme="majorHAnsi" w:hAnsiTheme="majorHAnsi" w:cstheme="majorHAnsi"/>
          <w:sz w:val="18"/>
        </w:rPr>
        <w:t xml:space="preserve"> (OV)</w:t>
      </w:r>
    </w:p>
    <w:p w14:paraId="26E541B2" w14:textId="6F530F88" w:rsidR="00C62613" w:rsidRPr="006070EA" w:rsidRDefault="00C62613" w:rsidP="0036779E">
      <w:pPr>
        <w:pStyle w:val="Odstavecseseznamem"/>
        <w:numPr>
          <w:ilvl w:val="0"/>
          <w:numId w:val="4"/>
        </w:numPr>
        <w:spacing w:after="120" w:line="240" w:lineRule="auto"/>
        <w:jc w:val="both"/>
        <w:rPr>
          <w:rFonts w:asciiTheme="majorHAnsi" w:hAnsiTheme="majorHAnsi" w:cstheme="majorHAnsi"/>
          <w:sz w:val="18"/>
        </w:rPr>
      </w:pPr>
      <w:r w:rsidRPr="006070EA">
        <w:rPr>
          <w:rFonts w:asciiTheme="majorHAnsi" w:hAnsiTheme="majorHAnsi" w:cstheme="majorHAnsi"/>
          <w:sz w:val="18"/>
        </w:rPr>
        <w:t xml:space="preserve">občanské vybavení </w:t>
      </w:r>
      <w:r w:rsidR="00DE4B71" w:rsidRPr="006070EA">
        <w:rPr>
          <w:rFonts w:asciiTheme="majorHAnsi" w:hAnsiTheme="majorHAnsi" w:cstheme="majorHAnsi"/>
          <w:sz w:val="18"/>
        </w:rPr>
        <w:t>–</w:t>
      </w:r>
      <w:r w:rsidRPr="006070EA">
        <w:rPr>
          <w:rFonts w:asciiTheme="majorHAnsi" w:hAnsiTheme="majorHAnsi" w:cstheme="majorHAnsi"/>
          <w:sz w:val="18"/>
        </w:rPr>
        <w:t xml:space="preserve"> </w:t>
      </w:r>
      <w:r w:rsidR="00802453" w:rsidRPr="006070EA">
        <w:rPr>
          <w:rFonts w:asciiTheme="majorHAnsi" w:hAnsiTheme="majorHAnsi" w:cstheme="majorHAnsi"/>
          <w:sz w:val="18"/>
        </w:rPr>
        <w:t>hřbitovy</w:t>
      </w:r>
      <w:r w:rsidRPr="006070EA">
        <w:rPr>
          <w:rFonts w:asciiTheme="majorHAnsi" w:hAnsiTheme="majorHAnsi" w:cstheme="majorHAnsi"/>
          <w:sz w:val="18"/>
        </w:rPr>
        <w:t xml:space="preserve"> (O</w:t>
      </w:r>
      <w:r w:rsidR="00802453" w:rsidRPr="006070EA">
        <w:rPr>
          <w:rFonts w:asciiTheme="majorHAnsi" w:hAnsiTheme="majorHAnsi" w:cstheme="majorHAnsi"/>
          <w:sz w:val="18"/>
        </w:rPr>
        <w:t>H</w:t>
      </w:r>
      <w:r w:rsidRPr="006070EA">
        <w:rPr>
          <w:rFonts w:asciiTheme="majorHAnsi" w:hAnsiTheme="majorHAnsi" w:cstheme="majorHAnsi"/>
          <w:sz w:val="18"/>
        </w:rPr>
        <w:t>)</w:t>
      </w:r>
    </w:p>
    <w:p w14:paraId="1B4997FE" w14:textId="77777777" w:rsidR="003E4D0B" w:rsidRPr="006070EA" w:rsidRDefault="003E4D0B" w:rsidP="00795EBA">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Členění občanského vybavení v řešeném území na tyto plochy s rozdílným způsobem využití vychází z odlišných specifických nároků daných způsobů využití, zejména nezbytnosti stabilizace vybavenosti veřejného charakteru, stabilizace sportovních areálů a zařízení v sídle, zajišťujících možnosti sportovního vyžití obyvatel v dostatečném množství, rozsahu a</w:t>
      </w:r>
      <w:r w:rsidR="00CB6423" w:rsidRPr="006070EA">
        <w:rPr>
          <w:rFonts w:asciiTheme="majorHAnsi" w:hAnsiTheme="majorHAnsi" w:cstheme="majorHAnsi"/>
          <w:sz w:val="18"/>
        </w:rPr>
        <w:t> </w:t>
      </w:r>
      <w:r w:rsidRPr="006070EA">
        <w:rPr>
          <w:rFonts w:asciiTheme="majorHAnsi" w:hAnsiTheme="majorHAnsi" w:cstheme="majorHAnsi"/>
          <w:sz w:val="18"/>
        </w:rPr>
        <w:t xml:space="preserve">dobré dostupnosti, stabilizace a ochrana hřbitovů. </w:t>
      </w:r>
    </w:p>
    <w:p w14:paraId="7158B394" w14:textId="77777777" w:rsidR="00AB1F4C" w:rsidRPr="006070EA" w:rsidRDefault="00AB1F4C" w:rsidP="00795EBA">
      <w:pPr>
        <w:spacing w:before="60" w:after="60" w:line="240" w:lineRule="auto"/>
        <w:ind w:firstLine="709"/>
        <w:jc w:val="both"/>
        <w:rPr>
          <w:rFonts w:asciiTheme="majorHAnsi" w:hAnsiTheme="majorHAnsi" w:cstheme="majorHAnsi"/>
          <w:bCs/>
          <w:iCs/>
          <w:sz w:val="18"/>
        </w:rPr>
      </w:pPr>
      <w:r w:rsidRPr="006070EA">
        <w:rPr>
          <w:rFonts w:asciiTheme="majorHAnsi" w:hAnsiTheme="majorHAnsi" w:cstheme="majorHAnsi"/>
          <w:bCs/>
          <w:iCs/>
          <w:sz w:val="18"/>
        </w:rPr>
        <w:t>Důvodem samostatného vymezení ploch je nutnost usměrňovat ochranu a rozvoj občanského vybavení na území obce. Lokalizace, rozsah a význam staveb a zařízení občanského vybavení má významný vliv na kvalitu bydlení a</w:t>
      </w:r>
      <w:r w:rsidR="00CB6423" w:rsidRPr="006070EA">
        <w:rPr>
          <w:rFonts w:asciiTheme="majorHAnsi" w:hAnsiTheme="majorHAnsi" w:cstheme="majorHAnsi"/>
          <w:bCs/>
          <w:iCs/>
          <w:sz w:val="18"/>
        </w:rPr>
        <w:t> </w:t>
      </w:r>
      <w:r w:rsidRPr="006070EA">
        <w:rPr>
          <w:rFonts w:asciiTheme="majorHAnsi" w:hAnsiTheme="majorHAnsi" w:cstheme="majorHAnsi"/>
          <w:bCs/>
          <w:iCs/>
          <w:sz w:val="18"/>
        </w:rPr>
        <w:t xml:space="preserve">dosažitelnost těchto služeb pro obyvatele, z pohledu rekreace a cestovního ruchu je občanská vybavenost klíčová pro míru atraktivity území, návštěvnost území a délku pobytu návštěvníků. </w:t>
      </w:r>
    </w:p>
    <w:p w14:paraId="72EE1977" w14:textId="172E2CE4" w:rsidR="003E4D0B" w:rsidRPr="006070EA" w:rsidRDefault="003E4D0B" w:rsidP="00795EBA">
      <w:pPr>
        <w:pStyle w:val="Atext"/>
        <w:spacing w:before="60" w:after="60"/>
        <w:rPr>
          <w:rFonts w:asciiTheme="majorHAnsi" w:hAnsiTheme="majorHAnsi" w:cstheme="majorHAnsi"/>
        </w:rPr>
      </w:pPr>
      <w:r w:rsidRPr="006070EA">
        <w:rPr>
          <w:rFonts w:asciiTheme="majorHAnsi" w:hAnsiTheme="majorHAnsi" w:cstheme="majorHAnsi"/>
        </w:rPr>
        <w:t xml:space="preserve">Ochrana občanského zařízení je prioritní zejména ve vhodných plochách jádrové části </w:t>
      </w:r>
      <w:r w:rsidR="00802453" w:rsidRPr="006070EA">
        <w:rPr>
          <w:rFonts w:asciiTheme="majorHAnsi" w:hAnsiTheme="majorHAnsi" w:cstheme="majorHAnsi"/>
        </w:rPr>
        <w:t>hlavního sídla území</w:t>
      </w:r>
      <w:r w:rsidRPr="006070EA">
        <w:rPr>
          <w:rFonts w:asciiTheme="majorHAnsi" w:hAnsiTheme="majorHAnsi" w:cstheme="majorHAnsi"/>
        </w:rPr>
        <w:t>. Existence a rozvoj občanského vybavení je ve veřejném zájmu, proto je nezbytné důkladně posuzovat jakékoliv požadavky na změny v daných plochách. Pro zajištění dobré dostupnosti občanského vybavení a jeho spolupůsobení na upevňování komunit a</w:t>
      </w:r>
      <w:r w:rsidR="00DD69E4">
        <w:rPr>
          <w:rFonts w:asciiTheme="majorHAnsi" w:hAnsiTheme="majorHAnsi" w:cstheme="majorHAnsi"/>
        </w:rPr>
        <w:t> </w:t>
      </w:r>
      <w:r w:rsidRPr="006070EA">
        <w:rPr>
          <w:rFonts w:asciiTheme="majorHAnsi" w:hAnsiTheme="majorHAnsi" w:cstheme="majorHAnsi"/>
        </w:rPr>
        <w:t>sociální soudržnosti obyvatel je nutné přednostně umisťovat občanské vybavení obecně do sídelních center a</w:t>
      </w:r>
      <w:r w:rsidR="00802453" w:rsidRPr="006070EA">
        <w:rPr>
          <w:rFonts w:asciiTheme="majorHAnsi" w:hAnsiTheme="majorHAnsi" w:cstheme="majorHAnsi"/>
        </w:rPr>
        <w:t> </w:t>
      </w:r>
      <w:r w:rsidRPr="006070EA">
        <w:rPr>
          <w:rFonts w:asciiTheme="majorHAnsi" w:hAnsiTheme="majorHAnsi" w:cstheme="majorHAnsi"/>
        </w:rPr>
        <w:t xml:space="preserve">hustě obydlených částí sídel. </w:t>
      </w:r>
    </w:p>
    <w:p w14:paraId="360D6DCC" w14:textId="605B1A17" w:rsidR="00062441" w:rsidRPr="006070EA" w:rsidRDefault="00062441" w:rsidP="00795EBA">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Rozvoj občanského vybavení je umožněn také v rámci dalších ploch s rozdílným způsobem využití, zejména ploch bydlení </w:t>
      </w:r>
      <w:r w:rsidR="00DE4B71" w:rsidRPr="006070EA">
        <w:rPr>
          <w:rFonts w:asciiTheme="majorHAnsi" w:hAnsiTheme="majorHAnsi" w:cstheme="majorHAnsi"/>
          <w:sz w:val="18"/>
        </w:rPr>
        <w:t xml:space="preserve">individuální </w:t>
      </w:r>
      <w:r w:rsidRPr="006070EA">
        <w:rPr>
          <w:rFonts w:asciiTheme="majorHAnsi" w:hAnsiTheme="majorHAnsi" w:cstheme="majorHAnsi"/>
          <w:sz w:val="18"/>
        </w:rPr>
        <w:t>(B</w:t>
      </w:r>
      <w:r w:rsidR="00DE4B71" w:rsidRPr="006070EA">
        <w:rPr>
          <w:rFonts w:asciiTheme="majorHAnsi" w:hAnsiTheme="majorHAnsi" w:cstheme="majorHAnsi"/>
          <w:sz w:val="18"/>
        </w:rPr>
        <w:t>I</w:t>
      </w:r>
      <w:r w:rsidRPr="006070EA">
        <w:rPr>
          <w:rFonts w:asciiTheme="majorHAnsi" w:hAnsiTheme="majorHAnsi" w:cstheme="majorHAnsi"/>
          <w:sz w:val="18"/>
        </w:rPr>
        <w:t>)</w:t>
      </w:r>
      <w:r w:rsidR="00CB6423" w:rsidRPr="006070EA">
        <w:rPr>
          <w:rFonts w:asciiTheme="majorHAnsi" w:hAnsiTheme="majorHAnsi" w:cstheme="majorHAnsi"/>
          <w:sz w:val="18"/>
        </w:rPr>
        <w:t xml:space="preserve"> a ploch smíšených obytných venkovských (SV)</w:t>
      </w:r>
      <w:r w:rsidR="00802453" w:rsidRPr="006070EA">
        <w:rPr>
          <w:rFonts w:asciiTheme="majorHAnsi" w:hAnsiTheme="majorHAnsi" w:cstheme="majorHAnsi"/>
          <w:sz w:val="18"/>
        </w:rPr>
        <w:t xml:space="preserve"> a městských (SM)</w:t>
      </w:r>
      <w:r w:rsidRPr="006070EA">
        <w:rPr>
          <w:rFonts w:asciiTheme="majorHAnsi" w:hAnsiTheme="majorHAnsi" w:cstheme="majorHAnsi"/>
          <w:sz w:val="18"/>
        </w:rPr>
        <w:t>, v souladu s jejich stanovenými podmínkami využití.</w:t>
      </w:r>
    </w:p>
    <w:p w14:paraId="3C39E9E6" w14:textId="1411A8E9" w:rsidR="003E4D0B" w:rsidRPr="006070EA" w:rsidRDefault="003E4D0B" w:rsidP="00795EBA">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V rámci obytných území reprezentovaných plochami bydlení (B</w:t>
      </w:r>
      <w:r w:rsidR="00802453" w:rsidRPr="006070EA">
        <w:rPr>
          <w:rFonts w:asciiTheme="majorHAnsi" w:hAnsiTheme="majorHAnsi" w:cstheme="majorHAnsi"/>
          <w:sz w:val="18"/>
        </w:rPr>
        <w:t>I</w:t>
      </w:r>
      <w:r w:rsidRPr="006070EA">
        <w:rPr>
          <w:rFonts w:asciiTheme="majorHAnsi" w:hAnsiTheme="majorHAnsi" w:cstheme="majorHAnsi"/>
          <w:sz w:val="18"/>
        </w:rPr>
        <w:t xml:space="preserve">) </w:t>
      </w:r>
      <w:r w:rsidR="00CB6423" w:rsidRPr="006070EA">
        <w:rPr>
          <w:rFonts w:asciiTheme="majorHAnsi" w:hAnsiTheme="majorHAnsi" w:cstheme="majorHAnsi"/>
          <w:sz w:val="18"/>
        </w:rPr>
        <w:t>a plochami smíšený</w:t>
      </w:r>
      <w:r w:rsidR="00802453" w:rsidRPr="006070EA">
        <w:rPr>
          <w:rFonts w:asciiTheme="majorHAnsi" w:hAnsiTheme="majorHAnsi" w:cstheme="majorHAnsi"/>
          <w:sz w:val="18"/>
        </w:rPr>
        <w:t>mi</w:t>
      </w:r>
      <w:r w:rsidR="00CB6423" w:rsidRPr="006070EA">
        <w:rPr>
          <w:rFonts w:asciiTheme="majorHAnsi" w:hAnsiTheme="majorHAnsi" w:cstheme="majorHAnsi"/>
          <w:sz w:val="18"/>
        </w:rPr>
        <w:t xml:space="preserve"> obytn</w:t>
      </w:r>
      <w:r w:rsidR="00106C28" w:rsidRPr="006070EA">
        <w:rPr>
          <w:rFonts w:asciiTheme="majorHAnsi" w:hAnsiTheme="majorHAnsi" w:cstheme="majorHAnsi"/>
          <w:sz w:val="18"/>
        </w:rPr>
        <w:t>ý</w:t>
      </w:r>
      <w:r w:rsidR="00802453" w:rsidRPr="006070EA">
        <w:rPr>
          <w:rFonts w:asciiTheme="majorHAnsi" w:hAnsiTheme="majorHAnsi" w:cstheme="majorHAnsi"/>
          <w:sz w:val="18"/>
        </w:rPr>
        <w:t>mi (SV, SM)</w:t>
      </w:r>
      <w:r w:rsidR="00CB6423" w:rsidRPr="006070EA">
        <w:rPr>
          <w:rFonts w:asciiTheme="majorHAnsi" w:hAnsiTheme="majorHAnsi" w:cstheme="majorHAnsi"/>
          <w:sz w:val="18"/>
        </w:rPr>
        <w:t xml:space="preserve"> </w:t>
      </w:r>
      <w:r w:rsidRPr="006070EA">
        <w:rPr>
          <w:rFonts w:asciiTheme="majorHAnsi" w:hAnsiTheme="majorHAnsi" w:cstheme="majorHAnsi"/>
          <w:sz w:val="18"/>
        </w:rPr>
        <w:t>je vhodné umožňovat vznik občanského vybavení lokálního charakteru, které se může rozvinout na základě požadavků nebo iniciativy místních obyvatel – jeho přesné umístění proto nelze předvídat. Obecně však občanské vybavení doplňuje obytná území a</w:t>
      </w:r>
      <w:r w:rsidR="00802453" w:rsidRPr="006070EA">
        <w:rPr>
          <w:rFonts w:asciiTheme="majorHAnsi" w:hAnsiTheme="majorHAnsi" w:cstheme="majorHAnsi"/>
          <w:sz w:val="18"/>
        </w:rPr>
        <w:t> </w:t>
      </w:r>
      <w:r w:rsidRPr="006070EA">
        <w:rPr>
          <w:rFonts w:asciiTheme="majorHAnsi" w:hAnsiTheme="majorHAnsi" w:cstheme="majorHAnsi"/>
          <w:sz w:val="18"/>
        </w:rPr>
        <w:t xml:space="preserve">zajišťuje dostupnost služeb pro místní obyvatele a pro účely cestovního ruchu.  </w:t>
      </w:r>
    </w:p>
    <w:p w14:paraId="14CEFEA4" w14:textId="77777777" w:rsidR="00AB1F4C" w:rsidRPr="006070EA" w:rsidRDefault="00AB1F4C"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51" w:name="_Toc424119853"/>
      <w:bookmarkStart w:id="352" w:name="_Toc204678199"/>
      <w:r w:rsidRPr="006070EA">
        <w:rPr>
          <w:rFonts w:asciiTheme="majorHAnsi" w:hAnsiTheme="majorHAnsi" w:cstheme="majorHAnsi"/>
          <w:b/>
        </w:rPr>
        <w:lastRenderedPageBreak/>
        <w:t>Odůvodnění koncepce veřejných prostranství</w:t>
      </w:r>
      <w:bookmarkEnd w:id="351"/>
      <w:bookmarkEnd w:id="352"/>
    </w:p>
    <w:p w14:paraId="640B8423" w14:textId="14F7AD02" w:rsidR="00E92939" w:rsidRPr="006070EA" w:rsidRDefault="00E92939"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A055F4" w:rsidRPr="006070EA">
        <w:rPr>
          <w:rFonts w:asciiTheme="majorHAnsi" w:hAnsiTheme="majorHAnsi" w:cstheme="majorHAnsi"/>
          <w:b/>
          <w:i/>
          <w:snapToGrid w:val="0"/>
          <w:u w:val="single"/>
        </w:rPr>
        <w:t>1</w:t>
      </w:r>
      <w:r w:rsidR="00DD02ED" w:rsidRPr="006070EA">
        <w:rPr>
          <w:rFonts w:asciiTheme="majorHAnsi" w:hAnsiTheme="majorHAnsi" w:cstheme="majorHAnsi"/>
          <w:b/>
          <w:i/>
          <w:snapToGrid w:val="0"/>
          <w:u w:val="single"/>
        </w:rPr>
        <w:t>5</w:t>
      </w:r>
      <w:r w:rsidRPr="006070EA">
        <w:rPr>
          <w:rFonts w:asciiTheme="majorHAnsi" w:hAnsiTheme="majorHAnsi" w:cstheme="majorHAnsi"/>
          <w:b/>
          <w:i/>
          <w:snapToGrid w:val="0"/>
          <w:u w:val="single"/>
        </w:rPr>
        <w:t>)</w:t>
      </w:r>
      <w:r w:rsidR="00DD02ED" w:rsidRPr="006070EA">
        <w:rPr>
          <w:rFonts w:asciiTheme="majorHAnsi" w:hAnsiTheme="majorHAnsi" w:cstheme="majorHAnsi"/>
          <w:b/>
          <w:i/>
          <w:snapToGrid w:val="0"/>
          <w:u w:val="single"/>
        </w:rPr>
        <w:t xml:space="preserve"> a (16)</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28D91326" w14:textId="49B1E571" w:rsidR="00E92939" w:rsidRPr="006070EA" w:rsidRDefault="00E92939" w:rsidP="00795EBA">
      <w:pPr>
        <w:pStyle w:val="Atext"/>
        <w:spacing w:before="60" w:after="60"/>
        <w:rPr>
          <w:rFonts w:asciiTheme="majorHAnsi" w:hAnsiTheme="majorHAnsi" w:cstheme="majorHAnsi"/>
        </w:rPr>
      </w:pPr>
      <w:r w:rsidRPr="006070EA">
        <w:rPr>
          <w:rFonts w:asciiTheme="majorHAnsi" w:hAnsiTheme="majorHAnsi" w:cstheme="majorHAnsi"/>
        </w:rPr>
        <w:t>Plochy veřejných prostranství specifikované v ustanovení § 2 odst. 1 písm. k) stavebního zákona a § 7 vyhlášky č.</w:t>
      </w:r>
      <w:r w:rsidR="00690A0F" w:rsidRPr="006070EA">
        <w:rPr>
          <w:rFonts w:asciiTheme="majorHAnsi" w:hAnsiTheme="majorHAnsi" w:cstheme="majorHAnsi"/>
        </w:rPr>
        <w:t> </w:t>
      </w:r>
      <w:r w:rsidRPr="006070EA">
        <w:rPr>
          <w:rFonts w:asciiTheme="majorHAnsi" w:hAnsiTheme="majorHAnsi" w:cstheme="majorHAnsi"/>
        </w:rPr>
        <w:t xml:space="preserve">501/2006 Sb., jsou v územním plánu vymezeny jako samostatné plochy s rozdílným způsobem využití </w:t>
      </w:r>
      <w:r w:rsidR="00264C0F" w:rsidRPr="006070EA">
        <w:rPr>
          <w:rFonts w:asciiTheme="majorHAnsi" w:hAnsiTheme="majorHAnsi" w:cstheme="majorHAnsi"/>
          <w:i/>
          <w:iCs w:val="0"/>
        </w:rPr>
        <w:t>veřejná prostranství</w:t>
      </w:r>
      <w:r w:rsidR="00DE4B71" w:rsidRPr="006070EA">
        <w:rPr>
          <w:rFonts w:asciiTheme="majorHAnsi" w:hAnsiTheme="majorHAnsi" w:cstheme="majorHAnsi"/>
          <w:i/>
          <w:iCs w:val="0"/>
        </w:rPr>
        <w:t xml:space="preserve"> všeobecná</w:t>
      </w:r>
      <w:r w:rsidR="00264C0F" w:rsidRPr="006070EA">
        <w:rPr>
          <w:rFonts w:asciiTheme="majorHAnsi" w:hAnsiTheme="majorHAnsi" w:cstheme="majorHAnsi"/>
        </w:rPr>
        <w:t> (P</w:t>
      </w:r>
      <w:r w:rsidR="00DE4B71" w:rsidRPr="006070EA">
        <w:rPr>
          <w:rFonts w:asciiTheme="majorHAnsi" w:hAnsiTheme="majorHAnsi" w:cstheme="majorHAnsi"/>
        </w:rPr>
        <w:t>U</w:t>
      </w:r>
      <w:r w:rsidR="00264C0F" w:rsidRPr="006070EA">
        <w:rPr>
          <w:rFonts w:asciiTheme="majorHAnsi" w:hAnsiTheme="majorHAnsi" w:cstheme="majorHAnsi"/>
        </w:rPr>
        <w:t>)</w:t>
      </w:r>
      <w:r w:rsidRPr="006070EA">
        <w:rPr>
          <w:rFonts w:asciiTheme="majorHAnsi" w:hAnsiTheme="majorHAnsi" w:cstheme="majorHAnsi"/>
        </w:rPr>
        <w:t>. Rozvoj veřejných prostranství je umožněn také v rámci všech ostatních ploch s rozdílným způsobem využití v souladu s jejich stanovenými podmínkami využití</w:t>
      </w:r>
      <w:r w:rsidR="00DE4B71" w:rsidRPr="006070EA">
        <w:rPr>
          <w:rFonts w:asciiTheme="majorHAnsi" w:hAnsiTheme="majorHAnsi" w:cstheme="majorHAnsi"/>
        </w:rPr>
        <w:t xml:space="preserve">, zejména v rámci ploch </w:t>
      </w:r>
      <w:r w:rsidR="00DE4B71" w:rsidRPr="006070EA">
        <w:rPr>
          <w:rFonts w:asciiTheme="majorHAnsi" w:hAnsiTheme="majorHAnsi" w:cstheme="majorHAnsi"/>
          <w:i/>
          <w:iCs w:val="0"/>
        </w:rPr>
        <w:t xml:space="preserve">zeleně – parky a parkově upravené plochy </w:t>
      </w:r>
      <w:r w:rsidR="00DE4B71" w:rsidRPr="006070EA">
        <w:rPr>
          <w:rFonts w:asciiTheme="majorHAnsi" w:hAnsiTheme="majorHAnsi" w:cstheme="majorHAnsi"/>
        </w:rPr>
        <w:t>(ZP)</w:t>
      </w:r>
      <w:r w:rsidRPr="006070EA">
        <w:rPr>
          <w:rFonts w:asciiTheme="majorHAnsi" w:hAnsiTheme="majorHAnsi" w:cstheme="majorHAnsi"/>
        </w:rPr>
        <w:t xml:space="preserve">. </w:t>
      </w:r>
    </w:p>
    <w:p w14:paraId="2AC069E1" w14:textId="77777777" w:rsidR="00E12012" w:rsidRPr="006070EA" w:rsidRDefault="00E12012" w:rsidP="00795EBA">
      <w:pPr>
        <w:pStyle w:val="Atext"/>
        <w:spacing w:before="60" w:after="60"/>
        <w:rPr>
          <w:rFonts w:asciiTheme="majorHAnsi" w:hAnsiTheme="majorHAnsi" w:cstheme="majorHAnsi"/>
        </w:rPr>
      </w:pPr>
      <w:r w:rsidRPr="006070EA">
        <w:rPr>
          <w:rFonts w:asciiTheme="majorHAnsi" w:hAnsiTheme="majorHAnsi" w:cstheme="majorHAnsi"/>
        </w:rPr>
        <w:t xml:space="preserve">Veřejná prostranství tvoří základní kostru sídel i volné krajiny. Intenzivní využívání veřejných prostranství je základním předpokladem kvalitního života v sídlech. Veřejná prostranství jsou odrazem kvality života v sídlech a jsou těžištěm veřejného života. Využívají je všichni lidé vyskytující se v daném území z nejrůznějších důvodů. Proto je nutné dbát na zvyšování kvality veřejných prostranství zejména pro pohyb chodců, rozvoj systému tak, aby zajišťoval a zlepšoval prostupnost území. </w:t>
      </w:r>
    </w:p>
    <w:p w14:paraId="32AAA4BF" w14:textId="77777777" w:rsidR="00E12012" w:rsidRPr="006070EA" w:rsidRDefault="00E12012" w:rsidP="00795EBA">
      <w:pPr>
        <w:pStyle w:val="Atext"/>
        <w:spacing w:before="60" w:after="60"/>
        <w:rPr>
          <w:rFonts w:asciiTheme="majorHAnsi" w:hAnsiTheme="majorHAnsi" w:cstheme="majorHAnsi"/>
        </w:rPr>
      </w:pPr>
      <w:r w:rsidRPr="006070EA">
        <w:rPr>
          <w:rFonts w:asciiTheme="majorHAnsi" w:hAnsiTheme="majorHAnsi" w:cstheme="majorHAnsi"/>
          <w:szCs w:val="18"/>
        </w:rPr>
        <w:t xml:space="preserve">Veřejná prostranství </w:t>
      </w:r>
      <w:r w:rsidRPr="006070EA">
        <w:rPr>
          <w:rFonts w:asciiTheme="majorHAnsi" w:hAnsiTheme="majorHAnsi" w:cstheme="majorHAnsi"/>
        </w:rPr>
        <w:t>zahrnují veškeré stabilizované plochy veřejně přístupných prostranství s výraznou prostorotvornou funkcí (návesní a uliční prostory) v zastavěném území sídel. S ohledem na význam ve struktuře ploch veřejných prostranství zahrnuje územní plán do těchto ploch také úseky místních komunikací, které mají významnou prostorotvornou, komunikační a sociální funkci, stejně tak jako některé významné mimosídelní cesty zajišťující prostupnost území.</w:t>
      </w:r>
    </w:p>
    <w:p w14:paraId="577EFC37" w14:textId="22D2FE30" w:rsidR="00E12012" w:rsidRPr="006070EA" w:rsidRDefault="00E12012" w:rsidP="00795EBA">
      <w:pPr>
        <w:pStyle w:val="Atext"/>
        <w:spacing w:before="60" w:after="60"/>
        <w:rPr>
          <w:rFonts w:asciiTheme="majorHAnsi" w:hAnsiTheme="majorHAnsi" w:cstheme="majorHAnsi"/>
          <w:snapToGrid w:val="0"/>
        </w:rPr>
      </w:pPr>
      <w:r w:rsidRPr="006070EA">
        <w:rPr>
          <w:rFonts w:asciiTheme="majorHAnsi" w:hAnsiTheme="majorHAnsi" w:cstheme="majorHAnsi"/>
        </w:rPr>
        <w:t xml:space="preserve">Nové chodníky nejsou územním plánem navrženy, jejich realizace je umožněna v rámci hlavního a přípustného využití vybraných ploch s rozdílným způsobem využití, zejména ploch </w:t>
      </w:r>
      <w:r w:rsidRPr="006070EA">
        <w:rPr>
          <w:rFonts w:asciiTheme="majorHAnsi" w:hAnsiTheme="majorHAnsi" w:cstheme="majorHAnsi"/>
          <w:i/>
          <w:iCs w:val="0"/>
        </w:rPr>
        <w:t>doprav</w:t>
      </w:r>
      <w:r w:rsidR="00DE4B71" w:rsidRPr="006070EA">
        <w:rPr>
          <w:rFonts w:asciiTheme="majorHAnsi" w:hAnsiTheme="majorHAnsi" w:cstheme="majorHAnsi"/>
          <w:i/>
          <w:iCs w:val="0"/>
        </w:rPr>
        <w:t>y</w:t>
      </w:r>
      <w:r w:rsidRPr="006070EA">
        <w:rPr>
          <w:rFonts w:asciiTheme="majorHAnsi" w:hAnsiTheme="majorHAnsi" w:cstheme="majorHAnsi"/>
          <w:i/>
          <w:iCs w:val="0"/>
        </w:rPr>
        <w:t xml:space="preserve"> silniční</w:t>
      </w:r>
      <w:r w:rsidRPr="006070EA">
        <w:rPr>
          <w:rFonts w:asciiTheme="majorHAnsi" w:hAnsiTheme="majorHAnsi" w:cstheme="majorHAnsi"/>
        </w:rPr>
        <w:t xml:space="preserve"> (DS) a </w:t>
      </w:r>
      <w:r w:rsidRPr="006070EA">
        <w:rPr>
          <w:rFonts w:asciiTheme="majorHAnsi" w:hAnsiTheme="majorHAnsi" w:cstheme="majorHAnsi"/>
          <w:i/>
          <w:iCs w:val="0"/>
        </w:rPr>
        <w:t>veřejných prostranství</w:t>
      </w:r>
      <w:r w:rsidR="00DE4B71" w:rsidRPr="006070EA">
        <w:rPr>
          <w:rFonts w:asciiTheme="majorHAnsi" w:hAnsiTheme="majorHAnsi" w:cstheme="majorHAnsi"/>
          <w:i/>
          <w:iCs w:val="0"/>
        </w:rPr>
        <w:t xml:space="preserve"> všeobecných</w:t>
      </w:r>
      <w:r w:rsidRPr="006070EA">
        <w:rPr>
          <w:rFonts w:asciiTheme="majorHAnsi" w:hAnsiTheme="majorHAnsi" w:cstheme="majorHAnsi"/>
        </w:rPr>
        <w:t xml:space="preserve"> (P</w:t>
      </w:r>
      <w:r w:rsidR="00DE4B71" w:rsidRPr="006070EA">
        <w:rPr>
          <w:rFonts w:asciiTheme="majorHAnsi" w:hAnsiTheme="majorHAnsi" w:cstheme="majorHAnsi"/>
        </w:rPr>
        <w:t>U</w:t>
      </w:r>
      <w:r w:rsidRPr="006070EA">
        <w:rPr>
          <w:rFonts w:asciiTheme="majorHAnsi" w:hAnsiTheme="majorHAnsi" w:cstheme="majorHAnsi"/>
        </w:rPr>
        <w:t xml:space="preserve">). </w:t>
      </w:r>
      <w:r w:rsidRPr="006070EA">
        <w:rPr>
          <w:rFonts w:asciiTheme="majorHAnsi" w:hAnsiTheme="majorHAnsi" w:cstheme="majorHAnsi"/>
          <w:snapToGrid w:val="0"/>
        </w:rPr>
        <w:t xml:space="preserve">Chodníky, včetně přechodů přes vozovky a přístupů na autobusové zastávky, je nutno budovat dle vyhlášky Ministerstva pro místní rozvoj ČR č. 369/2001 Sb., kterou se stanoví obecné technické požadavky, zabezpečující užívání staveb osobami s omezenou schopností pohybu a orientace. </w:t>
      </w:r>
    </w:p>
    <w:p w14:paraId="3D9EB919" w14:textId="564608BE" w:rsidR="00E12012" w:rsidRPr="006070EA" w:rsidRDefault="00E12012" w:rsidP="00795EBA">
      <w:pPr>
        <w:pStyle w:val="Atext"/>
        <w:spacing w:before="60" w:after="60"/>
        <w:rPr>
          <w:rFonts w:asciiTheme="majorHAnsi" w:hAnsiTheme="majorHAnsi" w:cstheme="majorHAnsi"/>
        </w:rPr>
      </w:pPr>
      <w:r w:rsidRPr="006070EA">
        <w:rPr>
          <w:rFonts w:asciiTheme="majorHAnsi" w:hAnsiTheme="majorHAnsi" w:cstheme="majorHAnsi"/>
        </w:rPr>
        <w:t>Vymezením ploch veřejných prostranství (P</w:t>
      </w:r>
      <w:r w:rsidR="00DE4B71" w:rsidRPr="006070EA">
        <w:rPr>
          <w:rFonts w:asciiTheme="majorHAnsi" w:hAnsiTheme="majorHAnsi" w:cstheme="majorHAnsi"/>
        </w:rPr>
        <w:t>U</w:t>
      </w:r>
      <w:r w:rsidRPr="006070EA">
        <w:rPr>
          <w:rFonts w:asciiTheme="majorHAnsi" w:hAnsiTheme="majorHAnsi" w:cstheme="majorHAnsi"/>
        </w:rPr>
        <w:t xml:space="preserve">) je v ÚP </w:t>
      </w:r>
      <w:r w:rsidR="00A74886" w:rsidRPr="006070EA">
        <w:rPr>
          <w:rFonts w:asciiTheme="majorHAnsi" w:hAnsiTheme="majorHAnsi" w:cstheme="majorHAnsi"/>
        </w:rPr>
        <w:t>Kostomlaty nad Labem</w:t>
      </w:r>
      <w:r w:rsidRPr="006070EA">
        <w:rPr>
          <w:rFonts w:asciiTheme="majorHAnsi" w:hAnsiTheme="majorHAnsi" w:cstheme="majorHAnsi"/>
        </w:rPr>
        <w:t xml:space="preserve"> zajištěna ochrana minimálního rozsahu systému veřejných prostranství na území obce potřebného pro zajištění dostupnosti ploch a prostupnosti území sídel i volné krajiny. V rámci ostatních ploch s rozdílným způsobem využití však existuje množství dalších veřejných prostranství, které je rovněž vhodné dále rozvíjet a zkvalitňovat. Z těchto důvodů je stanovena zásada stabilizace a rozvoje veřejných prostranství také v jiných plochách s rozdílným způsobem využití, a to zejména v plochách s obytnou funkcí, kde je nutné zachovávat a</w:t>
      </w:r>
      <w:r w:rsidR="00A2351F" w:rsidRPr="006070EA">
        <w:rPr>
          <w:rFonts w:asciiTheme="majorHAnsi" w:hAnsiTheme="majorHAnsi" w:cstheme="majorHAnsi"/>
        </w:rPr>
        <w:t> </w:t>
      </w:r>
      <w:r w:rsidRPr="006070EA">
        <w:rPr>
          <w:rFonts w:asciiTheme="majorHAnsi" w:hAnsiTheme="majorHAnsi" w:cstheme="majorHAnsi"/>
        </w:rPr>
        <w:t xml:space="preserve">rozvíjet dostupnost jednotlivých pozemků a prostupnost urbanizovaného území utvářející komunikační síť sídel. </w:t>
      </w:r>
    </w:p>
    <w:p w14:paraId="0D2FDC3C" w14:textId="6B7CA376" w:rsidR="002D7034" w:rsidRPr="006070EA" w:rsidRDefault="002D7034" w:rsidP="00A2351F">
      <w:pPr>
        <w:pStyle w:val="Atext"/>
        <w:spacing w:before="60" w:after="60"/>
        <w:rPr>
          <w:rFonts w:asciiTheme="majorHAnsi" w:hAnsiTheme="majorHAnsi" w:cstheme="majorHAnsi"/>
          <w:snapToGrid w:val="0"/>
          <w:szCs w:val="18"/>
        </w:rPr>
      </w:pPr>
      <w:r w:rsidRPr="006070EA">
        <w:rPr>
          <w:rFonts w:asciiTheme="majorHAnsi" w:hAnsiTheme="majorHAnsi" w:cstheme="majorHAnsi"/>
        </w:rPr>
        <w:t>Veřejná prostranství jsou nositeli existujících turistických a cyklistických tras, cyklostezek a naučných stezek. Turistická infrastruktura je významným předpokladem pro rozvoj cestovního ruchu a turistiky v území, proto je nutné ji chránit a rozvíjet, zcela vyloučit jakoukoliv redukci. Důvodem pro vymezení ploch je mimo jiné ochrana historických cest v krajině pro zlepšení prostupnosti území a možný rozvoj nových pěších turistických nebo cyklistických tras v území.</w:t>
      </w:r>
      <w:r w:rsidRPr="006070EA">
        <w:rPr>
          <w:rFonts w:asciiTheme="majorHAnsi" w:hAnsiTheme="majorHAnsi" w:cstheme="majorHAnsi"/>
          <w:snapToGrid w:val="0"/>
          <w:szCs w:val="18"/>
        </w:rPr>
        <w:t xml:space="preserve"> Obnova či rozvoj pěších a cyklistických tras je územním plánem umožněna ve všech plochách s rozdílným způsobem využití.</w:t>
      </w:r>
    </w:p>
    <w:p w14:paraId="091475B5" w14:textId="04661BBA" w:rsidR="00A74886" w:rsidRPr="006070EA" w:rsidRDefault="00A74886" w:rsidP="00A74886">
      <w:pPr>
        <w:pStyle w:val="Atext"/>
        <w:rPr>
          <w:rFonts w:asciiTheme="majorHAnsi" w:hAnsiTheme="majorHAnsi" w:cstheme="majorHAnsi"/>
        </w:rPr>
      </w:pPr>
      <w:r w:rsidRPr="006070EA">
        <w:rPr>
          <w:rFonts w:asciiTheme="majorHAnsi" w:hAnsiTheme="majorHAnsi" w:cstheme="majorHAnsi"/>
        </w:rPr>
        <w:t>Plochy Z</w:t>
      </w:r>
      <w:r w:rsidR="00DE4B71" w:rsidRPr="006070EA">
        <w:rPr>
          <w:rFonts w:asciiTheme="majorHAnsi" w:hAnsiTheme="majorHAnsi" w:cstheme="majorHAnsi"/>
        </w:rPr>
        <w:t>P</w:t>
      </w:r>
      <w:r w:rsidRPr="006070EA">
        <w:rPr>
          <w:rFonts w:asciiTheme="majorHAnsi" w:hAnsiTheme="majorHAnsi" w:cstheme="majorHAnsi"/>
        </w:rPr>
        <w:t xml:space="preserve"> zahrnují veškeré stabilizované i návrhové plochy veřejně přístupných prostranství s vysokým podílem zeleně (vysoké i nízké, okrasné, parkové, doprovodné). Jedná se o plochy, v nichž má zeleň výraznou kompoziční, prostorotvornou a zejména rekreační funkci, čímž se stává neodmyslitelnou součástí veřejného prostranství a zvyšuje estetický účinek prostředí.</w:t>
      </w:r>
    </w:p>
    <w:p w14:paraId="190100CB" w14:textId="77777777" w:rsidR="00A74886" w:rsidRPr="006070EA" w:rsidRDefault="00A74886" w:rsidP="00A74886">
      <w:pPr>
        <w:pStyle w:val="Atext"/>
        <w:spacing w:before="60" w:after="60"/>
        <w:rPr>
          <w:rFonts w:asciiTheme="majorHAnsi" w:hAnsiTheme="majorHAnsi" w:cstheme="majorHAnsi"/>
          <w:snapToGrid w:val="0"/>
          <w:szCs w:val="18"/>
        </w:rPr>
      </w:pPr>
      <w:r w:rsidRPr="006070EA">
        <w:rPr>
          <w:rFonts w:asciiTheme="majorHAnsi" w:hAnsiTheme="majorHAnsi" w:cstheme="majorHAnsi"/>
        </w:rPr>
        <w:t xml:space="preserve">Za účelem zajištění prostupnosti a obsluhy plošně rozsáhlých rozvojových ploch stanovuje územní plán tzv. směry zajištění prostupnosti veřejným prostranstvím, prezentované liniovými šipkami v grafické části ÚP (např. ve výkrese 2 Hlavní výkres). </w:t>
      </w:r>
      <w:r w:rsidRPr="006070EA">
        <w:rPr>
          <w:rFonts w:asciiTheme="majorHAnsi" w:hAnsiTheme="majorHAnsi" w:cstheme="majorHAnsi"/>
          <w:snapToGrid w:val="0"/>
          <w:szCs w:val="18"/>
        </w:rPr>
        <w:t>V rámci směrů zajištění prostupnosti území veřejným prostranstvím je nezbytné v navazujícím stupni územní přípravy pro výstavbu (např. při zpracování územní studie nebo regulačního plánu) navrhnout optimální řešení funkčního systému veřejných prostranství a zajistit návaznost řešení na stabilizovaný dopravně obslužný systém území. Účelem vymezení záměrů je zajištění koordinovaného rozvoje zástavby a odpovídající veřejné infrastruktury.</w:t>
      </w:r>
    </w:p>
    <w:p w14:paraId="67AC547A" w14:textId="77777777" w:rsidR="00A74886" w:rsidRPr="006070EA" w:rsidRDefault="00A74886" w:rsidP="00A74886">
      <w:pPr>
        <w:pStyle w:val="Atext"/>
        <w:rPr>
          <w:rFonts w:asciiTheme="majorHAnsi" w:hAnsiTheme="majorHAnsi" w:cstheme="majorHAnsi"/>
        </w:rPr>
      </w:pPr>
      <w:r w:rsidRPr="006070EA">
        <w:rPr>
          <w:rFonts w:asciiTheme="majorHAnsi" w:hAnsiTheme="majorHAnsi" w:cstheme="majorHAnsi"/>
        </w:rPr>
        <w:t xml:space="preserve">Rozvoj veřejných prostranství je umožněn také v rámci všech ostatních ploch s rozdílným způsobem využití v souladu s jejich stanovenými podmínkami využití. </w:t>
      </w:r>
    </w:p>
    <w:p w14:paraId="5BAB9E78" w14:textId="77777777" w:rsidR="00A74886" w:rsidRPr="006070EA" w:rsidRDefault="00A74886" w:rsidP="00A74886">
      <w:pPr>
        <w:pStyle w:val="Atext"/>
        <w:spacing w:before="60" w:after="60"/>
        <w:rPr>
          <w:rFonts w:asciiTheme="majorHAnsi" w:hAnsiTheme="majorHAnsi" w:cstheme="majorHAnsi"/>
          <w:snapToGrid w:val="0"/>
          <w:szCs w:val="18"/>
        </w:rPr>
      </w:pPr>
      <w:r w:rsidRPr="006070EA">
        <w:rPr>
          <w:rFonts w:asciiTheme="majorHAnsi" w:hAnsiTheme="majorHAnsi" w:cstheme="majorHAnsi"/>
          <w:snapToGrid w:val="0"/>
          <w:szCs w:val="18"/>
        </w:rPr>
        <w:t>Vymezení odpovídajícího rozsahu veřejných prostranství v zastavitelných plochách s výměrou nad 2 hektary vychází z požadavku § 7 odst. 2 vyhlášky č. 501/2006 Sb.</w:t>
      </w:r>
    </w:p>
    <w:p w14:paraId="2797E40C" w14:textId="7A0E7426" w:rsidR="00A74886" w:rsidRPr="006070EA" w:rsidRDefault="00A74886" w:rsidP="00A74886">
      <w:pPr>
        <w:pStyle w:val="Atext"/>
        <w:spacing w:before="60" w:after="60"/>
        <w:rPr>
          <w:rFonts w:asciiTheme="majorHAnsi" w:hAnsiTheme="majorHAnsi" w:cstheme="majorHAnsi"/>
          <w:snapToGrid w:val="0"/>
          <w:szCs w:val="18"/>
        </w:rPr>
      </w:pPr>
      <w:r w:rsidRPr="006070EA">
        <w:rPr>
          <w:rFonts w:asciiTheme="majorHAnsi" w:hAnsiTheme="majorHAnsi" w:cstheme="majorHAnsi"/>
          <w:snapToGrid w:val="0"/>
          <w:szCs w:val="18"/>
        </w:rPr>
        <w:t>V rámci ostatních ploch s rozdílným způsobem využití existuje množství dalších veřejných prostranství, které je rovněž vhodné dále rozvíjet a zkvalitňovat. Z těchto důvodů je stanovena zásada stabilizace a rozvoje veřejných prostranství také v</w:t>
      </w:r>
      <w:r w:rsidR="00DE4B71" w:rsidRPr="006070EA">
        <w:rPr>
          <w:rFonts w:asciiTheme="majorHAnsi" w:hAnsiTheme="majorHAnsi" w:cstheme="majorHAnsi"/>
          <w:snapToGrid w:val="0"/>
          <w:szCs w:val="18"/>
        </w:rPr>
        <w:t> </w:t>
      </w:r>
      <w:r w:rsidRPr="006070EA">
        <w:rPr>
          <w:rFonts w:asciiTheme="majorHAnsi" w:hAnsiTheme="majorHAnsi" w:cstheme="majorHAnsi"/>
          <w:snapToGrid w:val="0"/>
          <w:szCs w:val="18"/>
        </w:rPr>
        <w:t>jiných plochách s rozdílným způsobem využití, a to zejména v plochách s obytnou funkcí, kde je nutné zachovávat a rozvíjet dostupnost jednotlivých pozemků a prostupnost urbanizovaného území utvářející komunikační síť sídel.</w:t>
      </w:r>
    </w:p>
    <w:p w14:paraId="0020AFB6" w14:textId="133DD40A" w:rsidR="00E620BD" w:rsidRPr="006070EA" w:rsidRDefault="00E620BD" w:rsidP="00B768A7">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A055F4" w:rsidRPr="006070EA">
        <w:rPr>
          <w:rFonts w:asciiTheme="majorHAnsi" w:hAnsiTheme="majorHAnsi" w:cstheme="majorHAnsi"/>
          <w:b/>
          <w:i/>
          <w:snapToGrid w:val="0"/>
          <w:u w:val="single"/>
        </w:rPr>
        <w:t>1</w:t>
      </w:r>
      <w:r w:rsidR="00DD02ED" w:rsidRPr="006070EA">
        <w:rPr>
          <w:rFonts w:asciiTheme="majorHAnsi" w:hAnsiTheme="majorHAnsi" w:cstheme="majorHAnsi"/>
          <w:b/>
          <w:i/>
          <w:snapToGrid w:val="0"/>
          <w:u w:val="single"/>
        </w:rPr>
        <w:t>7</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44086E84" w14:textId="10140048" w:rsidR="00DD02ED" w:rsidRPr="006070EA" w:rsidRDefault="00DD02ED" w:rsidP="00DD02ED">
      <w:pPr>
        <w:pStyle w:val="Atext"/>
        <w:rPr>
          <w:rFonts w:asciiTheme="majorHAnsi" w:hAnsiTheme="majorHAnsi" w:cstheme="majorHAnsi"/>
        </w:rPr>
      </w:pPr>
      <w:r w:rsidRPr="006070EA">
        <w:rPr>
          <w:rFonts w:asciiTheme="majorHAnsi" w:hAnsiTheme="majorHAnsi" w:cstheme="majorHAnsi"/>
        </w:rPr>
        <w:t xml:space="preserve">Odůvodnění jednotlivých zastavitelných ploch vymezených pro rozvoj veřejných prostranství je podrobně je uvedeno v kapitole 11.3.3. </w:t>
      </w:r>
    </w:p>
    <w:p w14:paraId="55FAEC11" w14:textId="72F03A6B" w:rsidR="00391002" w:rsidRPr="006070EA" w:rsidRDefault="00391002" w:rsidP="00391002">
      <w:pPr>
        <w:pStyle w:val="Atext"/>
        <w:spacing w:before="60" w:after="60"/>
        <w:rPr>
          <w:rFonts w:asciiTheme="majorHAnsi" w:hAnsiTheme="majorHAnsi" w:cstheme="majorHAnsi"/>
          <w:snapToGrid w:val="0"/>
          <w:szCs w:val="18"/>
        </w:rPr>
      </w:pPr>
      <w:r w:rsidRPr="006070EA">
        <w:rPr>
          <w:rFonts w:asciiTheme="majorHAnsi" w:hAnsiTheme="majorHAnsi" w:cstheme="majorHAnsi"/>
        </w:rPr>
        <w:t>Vymezení směrů zajištění prostupnosti území veřejným prostranstvím je odůvodněno výše.</w:t>
      </w:r>
    </w:p>
    <w:p w14:paraId="5CBF7B08" w14:textId="77777777" w:rsidR="00AB1F4C" w:rsidRPr="006070EA" w:rsidRDefault="00AB1F4C"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53" w:name="_Toc424119854"/>
      <w:bookmarkStart w:id="354" w:name="_Toc204678200"/>
      <w:r w:rsidRPr="006070EA">
        <w:rPr>
          <w:rFonts w:asciiTheme="majorHAnsi" w:hAnsiTheme="majorHAnsi" w:cstheme="majorHAnsi"/>
          <w:b/>
        </w:rPr>
        <w:lastRenderedPageBreak/>
        <w:t>Odůvodnění koncepce dopravní infrastruktur</w:t>
      </w:r>
      <w:bookmarkEnd w:id="353"/>
      <w:r w:rsidRPr="006070EA">
        <w:rPr>
          <w:rFonts w:asciiTheme="majorHAnsi" w:hAnsiTheme="majorHAnsi" w:cstheme="majorHAnsi"/>
          <w:b/>
        </w:rPr>
        <w:t>y</w:t>
      </w:r>
      <w:bookmarkEnd w:id="354"/>
    </w:p>
    <w:p w14:paraId="6A9248F3" w14:textId="365865FA" w:rsidR="00391002" w:rsidRPr="006070EA" w:rsidRDefault="00391002" w:rsidP="00391002">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 xml:space="preserve">(18) </w:t>
      </w:r>
      <w:r w:rsidRPr="006070EA">
        <w:rPr>
          <w:rFonts w:asciiTheme="majorHAnsi" w:hAnsiTheme="majorHAnsi" w:cstheme="majorHAnsi"/>
          <w:i/>
          <w:snapToGrid w:val="0"/>
          <w:u w:val="single"/>
        </w:rPr>
        <w:t>výrokové části</w:t>
      </w:r>
    </w:p>
    <w:p w14:paraId="38DFB7A0" w14:textId="59E60DDD" w:rsidR="00AB1F4C" w:rsidRPr="006070EA" w:rsidRDefault="00AB1F4C" w:rsidP="009E07E1">
      <w:pPr>
        <w:spacing w:after="60" w:line="240" w:lineRule="auto"/>
        <w:jc w:val="both"/>
        <w:rPr>
          <w:rFonts w:asciiTheme="majorHAnsi" w:hAnsiTheme="majorHAnsi" w:cstheme="majorHAnsi"/>
          <w:sz w:val="18"/>
        </w:rPr>
      </w:pPr>
      <w:r w:rsidRPr="006070EA">
        <w:rPr>
          <w:rFonts w:asciiTheme="majorHAnsi" w:hAnsiTheme="majorHAnsi" w:cstheme="majorHAnsi"/>
          <w:sz w:val="18"/>
        </w:rPr>
        <w:t>Koncepce dopravní infrastruktury vychází zejména z následujících dokumentů a podkladů:</w:t>
      </w:r>
    </w:p>
    <w:p w14:paraId="59704DDB" w14:textId="0AE51068" w:rsidR="00391002" w:rsidRPr="006070EA" w:rsidRDefault="00391002" w:rsidP="00391002">
      <w:pPr>
        <w:pStyle w:val="Odstavecseseznamem"/>
        <w:numPr>
          <w:ilvl w:val="0"/>
          <w:numId w:val="4"/>
        </w:numPr>
        <w:spacing w:after="120" w:line="240" w:lineRule="auto"/>
        <w:jc w:val="both"/>
        <w:rPr>
          <w:rFonts w:asciiTheme="majorHAnsi" w:hAnsiTheme="majorHAnsi" w:cstheme="majorHAnsi"/>
          <w:sz w:val="18"/>
        </w:rPr>
      </w:pPr>
      <w:r w:rsidRPr="006070EA">
        <w:rPr>
          <w:rFonts w:asciiTheme="majorHAnsi" w:hAnsiTheme="majorHAnsi" w:cstheme="majorHAnsi"/>
          <w:sz w:val="18"/>
        </w:rPr>
        <w:t>PÚR ČR ve znění aktualizací č. 1, 2, 3, 4</w:t>
      </w:r>
      <w:r w:rsidR="00DE4B71" w:rsidRPr="006070EA">
        <w:rPr>
          <w:rFonts w:asciiTheme="majorHAnsi" w:hAnsiTheme="majorHAnsi" w:cstheme="majorHAnsi"/>
          <w:sz w:val="18"/>
        </w:rPr>
        <w:t>,</w:t>
      </w:r>
      <w:r w:rsidRPr="006070EA">
        <w:rPr>
          <w:rFonts w:asciiTheme="majorHAnsi" w:hAnsiTheme="majorHAnsi" w:cstheme="majorHAnsi"/>
          <w:sz w:val="18"/>
        </w:rPr>
        <w:t xml:space="preserve"> 5 </w:t>
      </w:r>
      <w:r w:rsidR="00DE4B71" w:rsidRPr="006070EA">
        <w:rPr>
          <w:rFonts w:asciiTheme="majorHAnsi" w:hAnsiTheme="majorHAnsi" w:cstheme="majorHAnsi"/>
          <w:sz w:val="18"/>
        </w:rPr>
        <w:t xml:space="preserve">a 6 </w:t>
      </w:r>
      <w:r w:rsidRPr="006070EA">
        <w:rPr>
          <w:rFonts w:asciiTheme="majorHAnsi" w:hAnsiTheme="majorHAnsi" w:cstheme="majorHAnsi"/>
          <w:sz w:val="18"/>
        </w:rPr>
        <w:t>(202</w:t>
      </w:r>
      <w:r w:rsidR="00DE4B71" w:rsidRPr="006070EA">
        <w:rPr>
          <w:rFonts w:asciiTheme="majorHAnsi" w:hAnsiTheme="majorHAnsi" w:cstheme="majorHAnsi"/>
          <w:sz w:val="18"/>
        </w:rPr>
        <w:t>3</w:t>
      </w:r>
      <w:r w:rsidRPr="006070EA">
        <w:rPr>
          <w:rFonts w:asciiTheme="majorHAnsi" w:hAnsiTheme="majorHAnsi" w:cstheme="majorHAnsi"/>
          <w:sz w:val="18"/>
        </w:rPr>
        <w:t>)</w:t>
      </w:r>
    </w:p>
    <w:p w14:paraId="4467BA34" w14:textId="1C0595FD" w:rsidR="00391002" w:rsidRPr="006070EA" w:rsidRDefault="00391002" w:rsidP="00391002">
      <w:pPr>
        <w:pStyle w:val="Odstavecseseznamem"/>
        <w:numPr>
          <w:ilvl w:val="0"/>
          <w:numId w:val="4"/>
        </w:numPr>
        <w:spacing w:after="120" w:line="240" w:lineRule="auto"/>
        <w:jc w:val="both"/>
        <w:rPr>
          <w:rFonts w:asciiTheme="majorHAnsi" w:hAnsiTheme="majorHAnsi" w:cstheme="majorHAnsi"/>
          <w:sz w:val="18"/>
        </w:rPr>
      </w:pPr>
      <w:r w:rsidRPr="006070EA">
        <w:rPr>
          <w:rFonts w:asciiTheme="majorHAnsi" w:hAnsiTheme="majorHAnsi" w:cstheme="majorHAnsi"/>
          <w:sz w:val="18"/>
        </w:rPr>
        <w:t>ZÚR Středočeského kraje ve znění aktualizací č. 1 a 2</w:t>
      </w:r>
      <w:r w:rsidR="00DE4B71" w:rsidRPr="006070EA">
        <w:rPr>
          <w:rFonts w:asciiTheme="majorHAnsi" w:hAnsiTheme="majorHAnsi" w:cstheme="majorHAnsi"/>
          <w:sz w:val="18"/>
        </w:rPr>
        <w:t>, 7 a 6</w:t>
      </w:r>
      <w:r w:rsidRPr="006070EA">
        <w:rPr>
          <w:rFonts w:asciiTheme="majorHAnsi" w:hAnsiTheme="majorHAnsi" w:cstheme="majorHAnsi"/>
          <w:sz w:val="18"/>
        </w:rPr>
        <w:t xml:space="preserve"> (202</w:t>
      </w:r>
      <w:r w:rsidR="00304DE8" w:rsidRPr="006070EA">
        <w:rPr>
          <w:rFonts w:asciiTheme="majorHAnsi" w:hAnsiTheme="majorHAnsi" w:cstheme="majorHAnsi"/>
          <w:sz w:val="18"/>
        </w:rPr>
        <w:t>2</w:t>
      </w:r>
      <w:r w:rsidRPr="006070EA">
        <w:rPr>
          <w:rFonts w:asciiTheme="majorHAnsi" w:hAnsiTheme="majorHAnsi" w:cstheme="majorHAnsi"/>
          <w:sz w:val="18"/>
        </w:rPr>
        <w:t>)</w:t>
      </w:r>
    </w:p>
    <w:p w14:paraId="5A5F2917" w14:textId="1D57DE9C" w:rsidR="00391002" w:rsidRPr="006070EA" w:rsidRDefault="00391002" w:rsidP="00391002">
      <w:pPr>
        <w:pStyle w:val="Odstavecseseznamem"/>
        <w:numPr>
          <w:ilvl w:val="0"/>
          <w:numId w:val="4"/>
        </w:numPr>
        <w:spacing w:after="120" w:line="240" w:lineRule="auto"/>
        <w:jc w:val="both"/>
        <w:rPr>
          <w:rFonts w:asciiTheme="majorHAnsi" w:hAnsiTheme="majorHAnsi" w:cstheme="majorHAnsi"/>
          <w:sz w:val="18"/>
        </w:rPr>
      </w:pPr>
      <w:r w:rsidRPr="006070EA">
        <w:rPr>
          <w:rFonts w:asciiTheme="majorHAnsi" w:hAnsiTheme="majorHAnsi" w:cstheme="majorHAnsi"/>
          <w:sz w:val="18"/>
        </w:rPr>
        <w:t xml:space="preserve">ÚAP SO ORP Nymburk – 3. úplná aktualizace </w:t>
      </w:r>
    </w:p>
    <w:p w14:paraId="0FB84D25" w14:textId="77777777" w:rsidR="00391002" w:rsidRPr="006070EA" w:rsidRDefault="00391002" w:rsidP="00391002">
      <w:pPr>
        <w:pStyle w:val="Odstavecseseznamem"/>
        <w:numPr>
          <w:ilvl w:val="0"/>
          <w:numId w:val="4"/>
        </w:numPr>
        <w:spacing w:after="0" w:line="240" w:lineRule="auto"/>
        <w:jc w:val="both"/>
        <w:rPr>
          <w:rFonts w:asciiTheme="majorHAnsi" w:hAnsiTheme="majorHAnsi" w:cstheme="majorHAnsi"/>
          <w:sz w:val="18"/>
        </w:rPr>
      </w:pPr>
      <w:r w:rsidRPr="006070EA">
        <w:rPr>
          <w:rFonts w:asciiTheme="majorHAnsi" w:hAnsiTheme="majorHAnsi" w:cstheme="majorHAnsi"/>
          <w:sz w:val="18"/>
        </w:rPr>
        <w:t>platná legislativa a ČSN</w:t>
      </w:r>
    </w:p>
    <w:p w14:paraId="2C744C99" w14:textId="77777777" w:rsidR="00391002" w:rsidRPr="006070EA" w:rsidRDefault="00391002" w:rsidP="00391002">
      <w:pPr>
        <w:pStyle w:val="Atext"/>
        <w:numPr>
          <w:ilvl w:val="0"/>
          <w:numId w:val="4"/>
        </w:numPr>
        <w:spacing w:before="0" w:after="0"/>
        <w:rPr>
          <w:rFonts w:asciiTheme="majorHAnsi" w:hAnsiTheme="majorHAnsi" w:cstheme="majorHAnsi"/>
        </w:rPr>
      </w:pPr>
      <w:r w:rsidRPr="006070EA">
        <w:rPr>
          <w:rFonts w:asciiTheme="majorHAnsi" w:hAnsiTheme="majorHAnsi" w:cstheme="majorHAnsi"/>
        </w:rPr>
        <w:t>Koncepce rozvoje cyklistiky ve Středočeském kraji 2017-2023</w:t>
      </w:r>
    </w:p>
    <w:p w14:paraId="04AB605A" w14:textId="77777777" w:rsidR="00391002" w:rsidRPr="006070EA" w:rsidRDefault="00391002" w:rsidP="00391002">
      <w:pPr>
        <w:pStyle w:val="Atext"/>
        <w:numPr>
          <w:ilvl w:val="0"/>
          <w:numId w:val="4"/>
        </w:numPr>
        <w:spacing w:before="0" w:after="0"/>
        <w:rPr>
          <w:rFonts w:asciiTheme="majorHAnsi" w:hAnsiTheme="majorHAnsi" w:cstheme="majorHAnsi"/>
        </w:rPr>
      </w:pPr>
      <w:r w:rsidRPr="006070EA">
        <w:rPr>
          <w:rFonts w:asciiTheme="majorHAnsi" w:hAnsiTheme="majorHAnsi" w:cstheme="majorHAnsi"/>
        </w:rPr>
        <w:t>Plán dopravní obslužnosti Středočeského kraje 2016-2020</w:t>
      </w:r>
    </w:p>
    <w:p w14:paraId="3D9C1D36" w14:textId="77777777" w:rsidR="00391002" w:rsidRPr="006070EA" w:rsidRDefault="00391002" w:rsidP="00391002">
      <w:pPr>
        <w:pStyle w:val="Odstavecseseznamem"/>
        <w:numPr>
          <w:ilvl w:val="0"/>
          <w:numId w:val="4"/>
        </w:numPr>
        <w:spacing w:after="0" w:line="240" w:lineRule="auto"/>
        <w:ind w:left="1066" w:hanging="357"/>
        <w:contextualSpacing w:val="0"/>
        <w:rPr>
          <w:rFonts w:asciiTheme="majorHAnsi" w:hAnsiTheme="majorHAnsi" w:cstheme="majorHAnsi"/>
          <w:sz w:val="18"/>
        </w:rPr>
      </w:pPr>
      <w:r w:rsidRPr="006070EA">
        <w:rPr>
          <w:rFonts w:asciiTheme="majorHAnsi" w:hAnsiTheme="majorHAnsi" w:cstheme="majorHAnsi"/>
          <w:sz w:val="18"/>
        </w:rPr>
        <w:t>Dopravní politika ČR pro období 2021-2027 s výhledem do roku 2050</w:t>
      </w:r>
    </w:p>
    <w:p w14:paraId="29196328" w14:textId="02E23372" w:rsidR="00391002" w:rsidRPr="006070EA" w:rsidRDefault="00391002" w:rsidP="00391002">
      <w:pPr>
        <w:pStyle w:val="Odstavecseseznamem"/>
        <w:numPr>
          <w:ilvl w:val="0"/>
          <w:numId w:val="4"/>
        </w:numPr>
        <w:spacing w:after="0" w:line="240" w:lineRule="auto"/>
        <w:ind w:left="1066" w:hanging="357"/>
        <w:contextualSpacing w:val="0"/>
        <w:jc w:val="both"/>
        <w:rPr>
          <w:rFonts w:asciiTheme="majorHAnsi" w:hAnsiTheme="majorHAnsi" w:cstheme="majorHAnsi"/>
          <w:sz w:val="18"/>
        </w:rPr>
      </w:pPr>
      <w:r w:rsidRPr="006070EA">
        <w:rPr>
          <w:rFonts w:asciiTheme="majorHAnsi" w:hAnsiTheme="majorHAnsi" w:cstheme="majorHAnsi"/>
          <w:sz w:val="18"/>
        </w:rPr>
        <w:t>ÚPO Kostomlaty nad Labem (2003)</w:t>
      </w:r>
    </w:p>
    <w:p w14:paraId="4DFDB465" w14:textId="396DEA35" w:rsidR="00391002" w:rsidRPr="006070EA" w:rsidRDefault="00391002" w:rsidP="00391002">
      <w:pPr>
        <w:pStyle w:val="Odstavecseseznamem"/>
        <w:numPr>
          <w:ilvl w:val="0"/>
          <w:numId w:val="4"/>
        </w:numPr>
        <w:spacing w:after="0" w:line="240" w:lineRule="auto"/>
        <w:ind w:left="1066" w:hanging="357"/>
        <w:contextualSpacing w:val="0"/>
        <w:jc w:val="both"/>
        <w:rPr>
          <w:rFonts w:asciiTheme="majorHAnsi" w:hAnsiTheme="majorHAnsi" w:cstheme="majorHAnsi"/>
          <w:sz w:val="18"/>
        </w:rPr>
      </w:pPr>
      <w:r w:rsidRPr="006070EA">
        <w:rPr>
          <w:rFonts w:asciiTheme="majorHAnsi" w:hAnsiTheme="majorHAnsi" w:cstheme="majorHAnsi"/>
          <w:sz w:val="18"/>
        </w:rPr>
        <w:t>Zadání ÚP Kostomlaty nad Labem (2021)</w:t>
      </w:r>
    </w:p>
    <w:p w14:paraId="2ECA3B8A" w14:textId="4F03B607" w:rsidR="00391002" w:rsidRPr="006070EA" w:rsidRDefault="00391002" w:rsidP="00391002">
      <w:pPr>
        <w:pStyle w:val="Odstavecseseznamem"/>
        <w:numPr>
          <w:ilvl w:val="0"/>
          <w:numId w:val="4"/>
        </w:numPr>
        <w:spacing w:after="120" w:line="240" w:lineRule="auto"/>
        <w:jc w:val="both"/>
        <w:rPr>
          <w:rFonts w:asciiTheme="majorHAnsi" w:hAnsiTheme="majorHAnsi" w:cstheme="majorHAnsi"/>
          <w:sz w:val="18"/>
        </w:rPr>
      </w:pPr>
      <w:r w:rsidRPr="006070EA">
        <w:rPr>
          <w:rFonts w:asciiTheme="majorHAnsi" w:hAnsiTheme="majorHAnsi" w:cstheme="majorHAnsi"/>
          <w:sz w:val="18"/>
        </w:rPr>
        <w:t>terénní průzkum zpracovatele ÚP</w:t>
      </w:r>
    </w:p>
    <w:p w14:paraId="16E3494E" w14:textId="76B7CD75" w:rsidR="00391002" w:rsidRPr="006070EA" w:rsidRDefault="00391002" w:rsidP="00391002">
      <w:pPr>
        <w:pStyle w:val="Atext"/>
        <w:rPr>
          <w:rFonts w:asciiTheme="majorHAnsi" w:hAnsiTheme="majorHAnsi" w:cstheme="majorHAnsi"/>
          <w:szCs w:val="18"/>
        </w:rPr>
      </w:pPr>
      <w:r w:rsidRPr="006070EA">
        <w:rPr>
          <w:rFonts w:asciiTheme="majorHAnsi" w:hAnsiTheme="majorHAnsi" w:cstheme="majorHAnsi"/>
          <w:szCs w:val="18"/>
        </w:rPr>
        <w:t xml:space="preserve">Dopravní systém </w:t>
      </w:r>
      <w:r w:rsidR="00276B14" w:rsidRPr="006070EA">
        <w:rPr>
          <w:rFonts w:asciiTheme="majorHAnsi" w:hAnsiTheme="majorHAnsi" w:cstheme="majorHAnsi"/>
          <w:szCs w:val="18"/>
        </w:rPr>
        <w:t>území</w:t>
      </w:r>
      <w:r w:rsidRPr="006070EA">
        <w:rPr>
          <w:rFonts w:asciiTheme="majorHAnsi" w:hAnsiTheme="majorHAnsi" w:cstheme="majorHAnsi"/>
          <w:szCs w:val="18"/>
        </w:rPr>
        <w:t xml:space="preserve"> je založen na uvedených dopravních módech silniční a drážní dopravy, čemuž s přihlédnutím k vyhlášce č. 501/2006 Sb. i odpovídá členění ploch s rozdílným způsobem využití. Dopravní systém v rámci ploch s rozdílným způsobem využití DS, D</w:t>
      </w:r>
      <w:r w:rsidR="00304DE8" w:rsidRPr="006070EA">
        <w:rPr>
          <w:rFonts w:asciiTheme="majorHAnsi" w:hAnsiTheme="majorHAnsi" w:cstheme="majorHAnsi"/>
          <w:szCs w:val="18"/>
        </w:rPr>
        <w:t>D</w:t>
      </w:r>
      <w:r w:rsidRPr="006070EA">
        <w:rPr>
          <w:rFonts w:asciiTheme="majorHAnsi" w:hAnsiTheme="majorHAnsi" w:cstheme="majorHAnsi"/>
          <w:szCs w:val="18"/>
        </w:rPr>
        <w:t>,</w:t>
      </w:r>
      <w:r w:rsidR="00276B14" w:rsidRPr="006070EA">
        <w:rPr>
          <w:rFonts w:asciiTheme="majorHAnsi" w:hAnsiTheme="majorHAnsi" w:cstheme="majorHAnsi"/>
          <w:szCs w:val="18"/>
        </w:rPr>
        <w:t xml:space="preserve"> DV,</w:t>
      </w:r>
      <w:r w:rsidRPr="006070EA">
        <w:rPr>
          <w:rFonts w:asciiTheme="majorHAnsi" w:hAnsiTheme="majorHAnsi" w:cstheme="majorHAnsi"/>
          <w:szCs w:val="18"/>
        </w:rPr>
        <w:t xml:space="preserve"> P</w:t>
      </w:r>
      <w:r w:rsidR="00304DE8" w:rsidRPr="006070EA">
        <w:rPr>
          <w:rFonts w:asciiTheme="majorHAnsi" w:hAnsiTheme="majorHAnsi" w:cstheme="majorHAnsi"/>
          <w:szCs w:val="18"/>
        </w:rPr>
        <w:t>U</w:t>
      </w:r>
      <w:r w:rsidRPr="006070EA">
        <w:rPr>
          <w:rFonts w:asciiTheme="majorHAnsi" w:hAnsiTheme="majorHAnsi" w:cstheme="majorHAnsi"/>
          <w:szCs w:val="18"/>
        </w:rPr>
        <w:t xml:space="preserve"> musí stejně tak, jako jakýkoliv jiný dopravní systém respektovat cíle územního plánování dle §</w:t>
      </w:r>
      <w:r w:rsidR="00304DE8" w:rsidRPr="006070EA">
        <w:rPr>
          <w:rFonts w:asciiTheme="majorHAnsi" w:hAnsiTheme="majorHAnsi" w:cstheme="majorHAnsi"/>
          <w:szCs w:val="18"/>
        </w:rPr>
        <w:t> </w:t>
      </w:r>
      <w:r w:rsidRPr="006070EA">
        <w:rPr>
          <w:rFonts w:asciiTheme="majorHAnsi" w:hAnsiTheme="majorHAnsi" w:cstheme="majorHAnsi"/>
          <w:szCs w:val="18"/>
        </w:rPr>
        <w:t>18 stavebního zákona, mezi kterými je především udržitelný rozvoj území, k čemuž přispívá právě udržitelný dopravní systém. Pro definici udržitelnosti dopravního systému byly převzaty principy udržitelné mobility z metodiky Evropské komise pro tvorbu plánů udržitelné městské mobility, které zároveň respektují Dopravní politiku ČR pro období 2021-2027 s výhledem do roku 2050 i celoevropské trendy v oblasti snižování energetické náročnosti, zátěže životního prostředí, bezpečnosti a sociální koheze.</w:t>
      </w:r>
    </w:p>
    <w:p w14:paraId="287FFB05" w14:textId="44BE1541" w:rsidR="00391002" w:rsidRPr="006070EA" w:rsidRDefault="00391002" w:rsidP="00391002">
      <w:pPr>
        <w:pStyle w:val="Atext"/>
        <w:rPr>
          <w:rFonts w:asciiTheme="majorHAnsi" w:hAnsiTheme="majorHAnsi" w:cstheme="majorHAnsi"/>
          <w:szCs w:val="18"/>
        </w:rPr>
      </w:pPr>
      <w:r w:rsidRPr="006070EA">
        <w:rPr>
          <w:rFonts w:asciiTheme="majorHAnsi" w:hAnsiTheme="majorHAnsi" w:cstheme="majorHAnsi"/>
          <w:szCs w:val="18"/>
        </w:rPr>
        <w:t xml:space="preserve">V souladu s § 9 odst. 2 a 3 vyhlášky č. 501/2006 Sb. jsou silniční pozemky silnic II. a III. třídy a vybrané, dopravně významné místní komunikace zahrnuty do ploch </w:t>
      </w:r>
      <w:r w:rsidR="00304DE8" w:rsidRPr="006070EA">
        <w:rPr>
          <w:rFonts w:asciiTheme="majorHAnsi" w:hAnsiTheme="majorHAnsi" w:cstheme="majorHAnsi"/>
          <w:szCs w:val="18"/>
        </w:rPr>
        <w:t>dopravy</w:t>
      </w:r>
      <w:r w:rsidRPr="006070EA">
        <w:rPr>
          <w:rFonts w:asciiTheme="majorHAnsi" w:hAnsiTheme="majorHAnsi" w:cstheme="majorHAnsi"/>
          <w:szCs w:val="18"/>
        </w:rPr>
        <w:t xml:space="preserve"> silniční (D</w:t>
      </w:r>
      <w:r w:rsidR="00276B14" w:rsidRPr="006070EA">
        <w:rPr>
          <w:rFonts w:asciiTheme="majorHAnsi" w:hAnsiTheme="majorHAnsi" w:cstheme="majorHAnsi"/>
          <w:szCs w:val="18"/>
        </w:rPr>
        <w:t>S</w:t>
      </w:r>
      <w:r w:rsidRPr="006070EA">
        <w:rPr>
          <w:rFonts w:asciiTheme="majorHAnsi" w:hAnsiTheme="majorHAnsi" w:cstheme="majorHAnsi"/>
          <w:szCs w:val="18"/>
        </w:rPr>
        <w:t xml:space="preserve">). Důvodem je zejména intenzita dopravy a její negativní vlivy, které vylučují začlenění těchto pozemků do ploch jiného způsobu využití. Vymezení ploch </w:t>
      </w:r>
      <w:r w:rsidR="00304DE8" w:rsidRPr="006070EA">
        <w:rPr>
          <w:rFonts w:asciiTheme="majorHAnsi" w:hAnsiTheme="majorHAnsi" w:cstheme="majorHAnsi"/>
          <w:szCs w:val="18"/>
        </w:rPr>
        <w:t xml:space="preserve">dopravy </w:t>
      </w:r>
      <w:r w:rsidRPr="006070EA">
        <w:rPr>
          <w:rFonts w:asciiTheme="majorHAnsi" w:hAnsiTheme="majorHAnsi" w:cstheme="majorHAnsi"/>
          <w:szCs w:val="18"/>
        </w:rPr>
        <w:t xml:space="preserve">silniční (DS) je také nezbytné k zajištění dopravní přístupnosti ostatních ploch (např. ploch bydlení, výroby, občanského vybavení atd.). Plochy </w:t>
      </w:r>
      <w:r w:rsidR="00304DE8" w:rsidRPr="006070EA">
        <w:rPr>
          <w:rFonts w:asciiTheme="majorHAnsi" w:hAnsiTheme="majorHAnsi" w:cstheme="majorHAnsi"/>
          <w:szCs w:val="18"/>
        </w:rPr>
        <w:t>dopravy drážní</w:t>
      </w:r>
      <w:r w:rsidRPr="006070EA">
        <w:rPr>
          <w:rFonts w:asciiTheme="majorHAnsi" w:hAnsiTheme="majorHAnsi" w:cstheme="majorHAnsi"/>
          <w:szCs w:val="18"/>
        </w:rPr>
        <w:t xml:space="preserve"> (D</w:t>
      </w:r>
      <w:r w:rsidR="00304DE8" w:rsidRPr="006070EA">
        <w:rPr>
          <w:rFonts w:asciiTheme="majorHAnsi" w:hAnsiTheme="majorHAnsi" w:cstheme="majorHAnsi"/>
          <w:szCs w:val="18"/>
        </w:rPr>
        <w:t>D</w:t>
      </w:r>
      <w:r w:rsidRPr="006070EA">
        <w:rPr>
          <w:rFonts w:asciiTheme="majorHAnsi" w:hAnsiTheme="majorHAnsi" w:cstheme="majorHAnsi"/>
          <w:szCs w:val="18"/>
        </w:rPr>
        <w:t>) dle § 9 odst. 2 a 4 vyhlášky č. 501/2006 Sb. zahrnují zpravidla obvod dráhy, včetně náspů, zářezů, opěrných zdí, mostů, kolejišť a doprovodné zeleně, dále pozemky zařízení pro drážní dopravu, například stanice, zastávky, nástupiště a</w:t>
      </w:r>
      <w:r w:rsidR="00304DE8" w:rsidRPr="006070EA">
        <w:rPr>
          <w:rFonts w:asciiTheme="majorHAnsi" w:hAnsiTheme="majorHAnsi" w:cstheme="majorHAnsi"/>
          <w:szCs w:val="18"/>
        </w:rPr>
        <w:t> </w:t>
      </w:r>
      <w:r w:rsidRPr="006070EA">
        <w:rPr>
          <w:rFonts w:asciiTheme="majorHAnsi" w:hAnsiTheme="majorHAnsi" w:cstheme="majorHAnsi"/>
          <w:szCs w:val="18"/>
        </w:rPr>
        <w:t xml:space="preserve">přístupové cesty, provozní budovy a pozemky dep, opraven, vozoven, překladišť a správních budov. </w:t>
      </w:r>
      <w:r w:rsidR="00276B14" w:rsidRPr="006070EA">
        <w:rPr>
          <w:rFonts w:asciiTheme="majorHAnsi" w:hAnsiTheme="majorHAnsi" w:cstheme="majorHAnsi"/>
          <w:szCs w:val="18"/>
        </w:rPr>
        <w:t xml:space="preserve">Při respektování obdobného principu v případě vodní dopravy jsou vymezeny plochy </w:t>
      </w:r>
      <w:r w:rsidR="00304DE8" w:rsidRPr="006070EA">
        <w:rPr>
          <w:rFonts w:asciiTheme="majorHAnsi" w:hAnsiTheme="majorHAnsi" w:cstheme="majorHAnsi"/>
          <w:szCs w:val="18"/>
        </w:rPr>
        <w:t>dopravy</w:t>
      </w:r>
      <w:r w:rsidR="00276B14" w:rsidRPr="006070EA">
        <w:rPr>
          <w:rFonts w:asciiTheme="majorHAnsi" w:hAnsiTheme="majorHAnsi" w:cstheme="majorHAnsi"/>
          <w:szCs w:val="18"/>
        </w:rPr>
        <w:t xml:space="preserve"> vodní (DV), které reprezentují stavby a zařízení na řece Labi i s přihlédnutím k trase Labské vodní cesty, která zasahuje do řešeného území.</w:t>
      </w:r>
    </w:p>
    <w:p w14:paraId="50CDC5CF" w14:textId="0B7248BE" w:rsidR="00391002" w:rsidRPr="006070EA" w:rsidRDefault="00391002" w:rsidP="00391002">
      <w:pPr>
        <w:pStyle w:val="Atext"/>
        <w:rPr>
          <w:rFonts w:asciiTheme="majorHAnsi" w:hAnsiTheme="majorHAnsi" w:cstheme="majorHAnsi"/>
          <w:szCs w:val="18"/>
        </w:rPr>
      </w:pPr>
      <w:r w:rsidRPr="006070EA">
        <w:rPr>
          <w:rFonts w:asciiTheme="majorHAnsi" w:hAnsiTheme="majorHAnsi" w:cstheme="majorHAnsi"/>
          <w:szCs w:val="18"/>
        </w:rPr>
        <w:t xml:space="preserve">Funkce pobytová a dopravní místních komunikací je definována v normě ČSN 73 6110 Projektování místních komunikací. Z normy také vyplývá, že různé intenzity různých dopravních módů vyžadují jiné technické parametry dopravní infrastruktury, které </w:t>
      </w:r>
      <w:proofErr w:type="gramStart"/>
      <w:r w:rsidRPr="006070EA">
        <w:rPr>
          <w:rFonts w:asciiTheme="majorHAnsi" w:hAnsiTheme="majorHAnsi" w:cstheme="majorHAnsi"/>
          <w:szCs w:val="18"/>
        </w:rPr>
        <w:t>jsou</w:t>
      </w:r>
      <w:proofErr w:type="gramEnd"/>
      <w:r w:rsidRPr="006070EA">
        <w:rPr>
          <w:rFonts w:asciiTheme="majorHAnsi" w:hAnsiTheme="majorHAnsi" w:cstheme="majorHAnsi"/>
          <w:szCs w:val="18"/>
        </w:rPr>
        <w:t xml:space="preserve"> popřípadě upřesněny v příslušných technických podmínkách Ministerstva dopravy. V plochách s</w:t>
      </w:r>
      <w:r w:rsidR="00304DE8" w:rsidRPr="006070EA">
        <w:rPr>
          <w:rFonts w:asciiTheme="majorHAnsi" w:hAnsiTheme="majorHAnsi" w:cstheme="majorHAnsi"/>
          <w:szCs w:val="18"/>
        </w:rPr>
        <w:t> </w:t>
      </w:r>
      <w:r w:rsidRPr="006070EA">
        <w:rPr>
          <w:rFonts w:asciiTheme="majorHAnsi" w:hAnsiTheme="majorHAnsi" w:cstheme="majorHAnsi"/>
          <w:szCs w:val="18"/>
        </w:rPr>
        <w:t>rozdílným způsobem využití P</w:t>
      </w:r>
      <w:r w:rsidR="00304DE8" w:rsidRPr="006070EA">
        <w:rPr>
          <w:rFonts w:asciiTheme="majorHAnsi" w:hAnsiTheme="majorHAnsi" w:cstheme="majorHAnsi"/>
          <w:szCs w:val="18"/>
        </w:rPr>
        <w:t>U</w:t>
      </w:r>
      <w:r w:rsidRPr="006070EA">
        <w:rPr>
          <w:rFonts w:asciiTheme="majorHAnsi" w:hAnsiTheme="majorHAnsi" w:cstheme="majorHAnsi"/>
          <w:szCs w:val="18"/>
        </w:rPr>
        <w:t> se vždy jedná o místní komunikace s převažující funkcí pobytovou, a tudíž je vždy nezbytné upřednostňovat na nich nemotorou dopravu a obsluhu přilehlých nemovitostí motorovou dopravou. Z hlediska normy ČSN 73 6110 se tak jedná o místní komunikace funkčních skupin C a D. Technické i prostorové nároky na tyto místní komunikace jsou nižší než na komunikace, které tvoří plochy s rozdílným způsobem využití DS –</w:t>
      </w:r>
      <w:r w:rsidR="00304DE8" w:rsidRPr="006070EA">
        <w:rPr>
          <w:rFonts w:asciiTheme="majorHAnsi" w:hAnsiTheme="majorHAnsi" w:cstheme="majorHAnsi"/>
          <w:szCs w:val="18"/>
        </w:rPr>
        <w:t xml:space="preserve"> doprava</w:t>
      </w:r>
      <w:r w:rsidRPr="006070EA">
        <w:rPr>
          <w:rFonts w:asciiTheme="majorHAnsi" w:hAnsiTheme="majorHAnsi" w:cstheme="majorHAnsi"/>
          <w:szCs w:val="18"/>
        </w:rPr>
        <w:t xml:space="preserve"> silniční.</w:t>
      </w:r>
    </w:p>
    <w:p w14:paraId="012A6B9F" w14:textId="24C3138C" w:rsidR="00391002" w:rsidRPr="006070EA" w:rsidRDefault="00391002" w:rsidP="00391002">
      <w:pPr>
        <w:pStyle w:val="Atext"/>
        <w:keepNext/>
        <w:ind w:firstLine="0"/>
        <w:jc w:val="right"/>
        <w:rPr>
          <w:rFonts w:asciiTheme="majorHAnsi" w:hAnsiTheme="majorHAnsi" w:cstheme="majorHAnsi"/>
          <w:i/>
          <w:snapToGrid w:val="0"/>
          <w:szCs w:val="18"/>
          <w:u w:val="single"/>
        </w:rPr>
      </w:pPr>
      <w:r w:rsidRPr="006070EA">
        <w:rPr>
          <w:rFonts w:asciiTheme="majorHAnsi" w:hAnsiTheme="majorHAnsi" w:cstheme="majorHAnsi"/>
          <w:i/>
          <w:snapToGrid w:val="0"/>
          <w:szCs w:val="18"/>
          <w:u w:val="single"/>
        </w:rPr>
        <w:t xml:space="preserve">Odůvodnění odst. </w:t>
      </w:r>
      <w:r w:rsidRPr="006070EA">
        <w:rPr>
          <w:rFonts w:asciiTheme="majorHAnsi" w:hAnsiTheme="majorHAnsi" w:cstheme="majorHAnsi"/>
          <w:b/>
          <w:i/>
          <w:snapToGrid w:val="0"/>
          <w:szCs w:val="18"/>
          <w:u w:val="single"/>
        </w:rPr>
        <w:t xml:space="preserve">(19) </w:t>
      </w:r>
      <w:r w:rsidRPr="006070EA">
        <w:rPr>
          <w:rFonts w:asciiTheme="majorHAnsi" w:hAnsiTheme="majorHAnsi" w:cstheme="majorHAnsi"/>
          <w:i/>
          <w:snapToGrid w:val="0"/>
          <w:szCs w:val="18"/>
          <w:u w:val="single"/>
        </w:rPr>
        <w:t>výrokové části</w:t>
      </w:r>
    </w:p>
    <w:p w14:paraId="34D2D287" w14:textId="43D9B527" w:rsidR="00391002" w:rsidRPr="006070EA" w:rsidRDefault="00391002" w:rsidP="00276B14">
      <w:pPr>
        <w:spacing w:after="120" w:line="240" w:lineRule="auto"/>
        <w:ind w:firstLine="709"/>
        <w:jc w:val="both"/>
        <w:rPr>
          <w:rFonts w:asciiTheme="majorHAnsi" w:hAnsiTheme="majorHAnsi" w:cstheme="majorHAnsi"/>
          <w:color w:val="FF0000"/>
          <w:sz w:val="18"/>
          <w:szCs w:val="18"/>
        </w:rPr>
      </w:pPr>
      <w:r w:rsidRPr="006070EA">
        <w:rPr>
          <w:rFonts w:asciiTheme="majorHAnsi" w:hAnsiTheme="majorHAnsi" w:cstheme="majorHAnsi"/>
          <w:sz w:val="18"/>
          <w:szCs w:val="18"/>
        </w:rPr>
        <w:t>Principy udržitelné mobility definují dopravní systém, který sleduje cíle zvýšení prostorové a energetické efektivity, snížení (měrné) uhlíkové stopy, zvýšení výkonnosti a spolehlivosti, zvýšení bezpečnosti a odolností, zvýšení finanční udržitelnosti, zlepšení lidského zdraví a životního prostředí a zlepšení dostupnosti a přístupnosti (bezbariérovosti) dopravy a</w:t>
      </w:r>
      <w:r w:rsidR="00276B14" w:rsidRPr="006070EA">
        <w:rPr>
          <w:rFonts w:asciiTheme="majorHAnsi" w:hAnsiTheme="majorHAnsi" w:cstheme="majorHAnsi"/>
          <w:sz w:val="18"/>
          <w:szCs w:val="18"/>
        </w:rPr>
        <w:t> </w:t>
      </w:r>
      <w:r w:rsidRPr="006070EA">
        <w:rPr>
          <w:rFonts w:asciiTheme="majorHAnsi" w:hAnsiTheme="majorHAnsi" w:cstheme="majorHAnsi"/>
          <w:sz w:val="18"/>
          <w:szCs w:val="18"/>
        </w:rPr>
        <w:t>zároveň platné legislativní předpisy definují povinné zpracování Programů zlepšování kvality ovzduší a Akční plán snižování hluku a jejich plnění, které se však z většiny nemusí v územním plánu vůbec projevit. Vzhledem ke struktuře územně plánovací dané stavebním zákonem 183/2006 Sb. není možné dostatečně definovat v územním plánu odstraňování dopravních závad na současné infrastruktuře. Je proto nezbytné navázat na systém územně plánovací dokumentace i</w:t>
      </w:r>
      <w:r w:rsidR="00276B14" w:rsidRPr="006070EA">
        <w:rPr>
          <w:rFonts w:asciiTheme="majorHAnsi" w:hAnsiTheme="majorHAnsi" w:cstheme="majorHAnsi"/>
          <w:sz w:val="18"/>
          <w:szCs w:val="18"/>
        </w:rPr>
        <w:t> </w:t>
      </w:r>
      <w:r w:rsidRPr="006070EA">
        <w:rPr>
          <w:rFonts w:asciiTheme="majorHAnsi" w:hAnsiTheme="majorHAnsi" w:cstheme="majorHAnsi"/>
          <w:sz w:val="18"/>
          <w:szCs w:val="18"/>
        </w:rPr>
        <w:t>strategických dokumentů, které se zabývají strategií města, a tedy i řešením dopravních závad či překračováním hygienických limitů na současné infrastruktuře včetně dopravně-organizačních opatření.</w:t>
      </w:r>
    </w:p>
    <w:p w14:paraId="3C22936D" w14:textId="6DA19238" w:rsidR="00AB1F4C" w:rsidRPr="006070EA" w:rsidRDefault="00276B14" w:rsidP="00D430EF">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lastRenderedPageBreak/>
        <w:t>Doprava silniční</w:t>
      </w:r>
    </w:p>
    <w:p w14:paraId="157E9A09" w14:textId="77777777" w:rsidR="00121854" w:rsidRPr="006070EA" w:rsidRDefault="00121854" w:rsidP="00D430EF">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F860FB" w:rsidRPr="006070EA">
        <w:rPr>
          <w:rFonts w:asciiTheme="majorHAnsi" w:hAnsiTheme="majorHAnsi" w:cstheme="majorHAnsi"/>
          <w:b/>
          <w:i/>
          <w:snapToGrid w:val="0"/>
          <w:u w:val="single"/>
        </w:rPr>
        <w:t>20</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34E81227" w14:textId="77777777" w:rsidR="00E92BC7" w:rsidRPr="006070EA" w:rsidRDefault="00E92BC7" w:rsidP="00D430EF">
      <w:pPr>
        <w:keepNext/>
        <w:spacing w:before="120" w:after="120" w:line="240" w:lineRule="auto"/>
        <w:jc w:val="both"/>
        <w:rPr>
          <w:rFonts w:asciiTheme="majorHAnsi" w:hAnsiTheme="majorHAnsi" w:cstheme="majorHAnsi"/>
          <w:b/>
          <w:sz w:val="18"/>
          <w:szCs w:val="18"/>
        </w:rPr>
      </w:pPr>
      <w:r w:rsidRPr="006070EA">
        <w:rPr>
          <w:rFonts w:asciiTheme="majorHAnsi" w:hAnsiTheme="majorHAnsi" w:cstheme="majorHAnsi"/>
          <w:b/>
          <w:sz w:val="18"/>
          <w:szCs w:val="18"/>
        </w:rPr>
        <w:t>Popis stávající situace</w:t>
      </w:r>
    </w:p>
    <w:p w14:paraId="356F58B3" w14:textId="31BE2D8F" w:rsidR="00213A5E" w:rsidRPr="006070EA" w:rsidRDefault="00213A5E" w:rsidP="00D430EF">
      <w:pPr>
        <w:pStyle w:val="Atext"/>
        <w:keepNext/>
        <w:rPr>
          <w:rFonts w:asciiTheme="majorHAnsi" w:hAnsiTheme="majorHAnsi" w:cstheme="majorHAnsi"/>
        </w:rPr>
      </w:pPr>
      <w:r w:rsidRPr="006070EA">
        <w:rPr>
          <w:rFonts w:asciiTheme="majorHAnsi" w:hAnsiTheme="majorHAnsi" w:cstheme="majorHAnsi"/>
        </w:rPr>
        <w:t xml:space="preserve">Silniční doprava je v řešeném území </w:t>
      </w:r>
      <w:r w:rsidR="00276B14" w:rsidRPr="006070EA">
        <w:rPr>
          <w:rFonts w:asciiTheme="majorHAnsi" w:hAnsiTheme="majorHAnsi" w:cstheme="majorHAnsi"/>
          <w:szCs w:val="18"/>
        </w:rPr>
        <w:t>nejvyužívanějším</w:t>
      </w:r>
      <w:r w:rsidRPr="006070EA">
        <w:rPr>
          <w:rFonts w:asciiTheme="majorHAnsi" w:hAnsiTheme="majorHAnsi" w:cstheme="majorHAnsi"/>
          <w:szCs w:val="18"/>
        </w:rPr>
        <w:t xml:space="preserve"> </w:t>
      </w:r>
      <w:r w:rsidRPr="006070EA">
        <w:rPr>
          <w:rFonts w:asciiTheme="majorHAnsi" w:hAnsiTheme="majorHAnsi" w:cstheme="majorHAnsi"/>
        </w:rPr>
        <w:t>zprostředkovatelem přepravních objemů a je provozována prostřednictvím silniční sítě a navazující struktury místních a účelových komunikací. Jediná významnější komunikace v území je silnice II/331 spojující města Lysá nad Labem a Nymburk.</w:t>
      </w:r>
    </w:p>
    <w:p w14:paraId="0BAAA2ED" w14:textId="77777777" w:rsidR="00213A5E" w:rsidRPr="006070EA" w:rsidRDefault="00213A5E" w:rsidP="00D430EF">
      <w:pPr>
        <w:pStyle w:val="Atext"/>
        <w:keepNext/>
        <w:rPr>
          <w:rFonts w:asciiTheme="majorHAnsi" w:hAnsiTheme="majorHAnsi" w:cstheme="majorHAnsi"/>
          <w:color w:val="000000"/>
        </w:rPr>
      </w:pPr>
      <w:r w:rsidRPr="006070EA">
        <w:rPr>
          <w:rFonts w:asciiTheme="majorHAnsi" w:hAnsiTheme="majorHAnsi" w:cstheme="majorHAnsi"/>
          <w:color w:val="000000"/>
        </w:rPr>
        <w:t>Řešeným územím procházejí následující silnice:</w:t>
      </w:r>
    </w:p>
    <w:p w14:paraId="2C3904B0" w14:textId="77777777" w:rsidR="00213A5E" w:rsidRPr="006070EA" w:rsidRDefault="00213A5E" w:rsidP="00213A5E">
      <w:pPr>
        <w:pStyle w:val="Anadpispodtren"/>
        <w:rPr>
          <w:rFonts w:asciiTheme="majorHAnsi" w:hAnsiTheme="majorHAnsi" w:cstheme="majorHAnsi"/>
          <w:color w:val="000000"/>
        </w:rPr>
      </w:pPr>
      <w:r w:rsidRPr="006070EA">
        <w:rPr>
          <w:rFonts w:asciiTheme="majorHAnsi" w:hAnsiTheme="majorHAnsi" w:cstheme="majorHAnsi"/>
          <w:color w:val="000000"/>
        </w:rPr>
        <w:t>Silnice II. třídy</w:t>
      </w:r>
    </w:p>
    <w:p w14:paraId="22759C52" w14:textId="77777777" w:rsidR="00213A5E" w:rsidRPr="006070EA" w:rsidRDefault="00213A5E" w:rsidP="00213A5E">
      <w:pPr>
        <w:pStyle w:val="Atext"/>
        <w:ind w:left="1418" w:hanging="709"/>
        <w:rPr>
          <w:rFonts w:asciiTheme="majorHAnsi" w:hAnsiTheme="majorHAnsi" w:cstheme="majorHAnsi"/>
          <w:color w:val="000000"/>
        </w:rPr>
      </w:pPr>
      <w:r w:rsidRPr="006070EA">
        <w:rPr>
          <w:rFonts w:asciiTheme="majorHAnsi" w:hAnsiTheme="majorHAnsi" w:cstheme="majorHAnsi"/>
          <w:b/>
          <w:color w:val="000000"/>
        </w:rPr>
        <w:t xml:space="preserve">II/331     </w:t>
      </w:r>
      <w:r w:rsidRPr="006070EA">
        <w:rPr>
          <w:rFonts w:asciiTheme="majorHAnsi" w:hAnsiTheme="majorHAnsi" w:cstheme="majorHAnsi"/>
          <w:b/>
          <w:color w:val="000000"/>
        </w:rPr>
        <w:tab/>
      </w:r>
      <w:r w:rsidRPr="006070EA">
        <w:rPr>
          <w:rFonts w:asciiTheme="majorHAnsi" w:hAnsiTheme="majorHAnsi" w:cstheme="majorHAnsi"/>
          <w:b/>
          <w:color w:val="000000"/>
        </w:rPr>
        <w:tab/>
      </w:r>
      <w:r w:rsidRPr="006070EA">
        <w:rPr>
          <w:rFonts w:asciiTheme="majorHAnsi" w:hAnsiTheme="majorHAnsi" w:cstheme="majorHAnsi"/>
          <w:color w:val="000000"/>
        </w:rPr>
        <w:t>výjezd z II/272 – Lysá nad Labem – křížení s II/</w:t>
      </w:r>
      <w:proofErr w:type="gramStart"/>
      <w:r w:rsidRPr="006070EA">
        <w:rPr>
          <w:rFonts w:asciiTheme="majorHAnsi" w:hAnsiTheme="majorHAnsi" w:cstheme="majorHAnsi"/>
          <w:color w:val="000000"/>
        </w:rPr>
        <w:t>272H</w:t>
      </w:r>
      <w:proofErr w:type="gramEnd"/>
      <w:r w:rsidRPr="006070EA">
        <w:rPr>
          <w:rFonts w:asciiTheme="majorHAnsi" w:hAnsiTheme="majorHAnsi" w:cstheme="majorHAnsi"/>
          <w:color w:val="000000"/>
        </w:rPr>
        <w:t xml:space="preserve"> – Ostrá – křížení s III/3316 – Šnepov – Kostomlaty nad Labem – křížení s III/2725 – křížení s III/</w:t>
      </w:r>
      <w:proofErr w:type="gramStart"/>
      <w:r w:rsidRPr="006070EA">
        <w:rPr>
          <w:rFonts w:asciiTheme="majorHAnsi" w:hAnsiTheme="majorHAnsi" w:cstheme="majorHAnsi"/>
          <w:color w:val="000000"/>
        </w:rPr>
        <w:t>3319  –</w:t>
      </w:r>
      <w:proofErr w:type="gramEnd"/>
      <w:r w:rsidRPr="006070EA">
        <w:rPr>
          <w:rFonts w:asciiTheme="majorHAnsi" w:hAnsiTheme="majorHAnsi" w:cstheme="majorHAnsi"/>
          <w:color w:val="000000"/>
        </w:rPr>
        <w:t xml:space="preserve"> křížení s III/33110 (1) – křížení s 33110 (2) – Nymburk – napojení na II/503</w:t>
      </w:r>
    </w:p>
    <w:p w14:paraId="14FABB1A" w14:textId="77777777" w:rsidR="00213A5E" w:rsidRPr="006070EA" w:rsidRDefault="00213A5E" w:rsidP="00213A5E">
      <w:pPr>
        <w:pStyle w:val="Anadpispodtren"/>
        <w:rPr>
          <w:rFonts w:asciiTheme="majorHAnsi" w:hAnsiTheme="majorHAnsi" w:cstheme="majorHAnsi"/>
          <w:color w:val="000000"/>
        </w:rPr>
      </w:pPr>
      <w:r w:rsidRPr="006070EA">
        <w:rPr>
          <w:rFonts w:asciiTheme="majorHAnsi" w:hAnsiTheme="majorHAnsi" w:cstheme="majorHAnsi"/>
          <w:color w:val="000000"/>
        </w:rPr>
        <w:t>Silnice III. třídy</w:t>
      </w:r>
    </w:p>
    <w:p w14:paraId="71E88898" w14:textId="77777777" w:rsidR="00213A5E" w:rsidRPr="006070EA" w:rsidRDefault="00213A5E" w:rsidP="00213A5E">
      <w:pPr>
        <w:pStyle w:val="Atext"/>
        <w:ind w:left="2127" w:hanging="1418"/>
        <w:rPr>
          <w:rFonts w:asciiTheme="majorHAnsi" w:hAnsiTheme="majorHAnsi" w:cstheme="majorHAnsi"/>
          <w:color w:val="000000"/>
        </w:rPr>
      </w:pPr>
      <w:r w:rsidRPr="006070EA">
        <w:rPr>
          <w:rFonts w:asciiTheme="majorHAnsi" w:hAnsiTheme="majorHAnsi" w:cstheme="majorHAnsi"/>
          <w:b/>
          <w:color w:val="000000"/>
        </w:rPr>
        <w:t>III/3319</w:t>
      </w:r>
      <w:r w:rsidRPr="006070EA">
        <w:rPr>
          <w:rFonts w:asciiTheme="majorHAnsi" w:hAnsiTheme="majorHAnsi" w:cstheme="majorHAnsi"/>
          <w:b/>
          <w:color w:val="000000"/>
        </w:rPr>
        <w:tab/>
      </w:r>
      <w:r w:rsidRPr="006070EA">
        <w:rPr>
          <w:rFonts w:asciiTheme="majorHAnsi" w:hAnsiTheme="majorHAnsi" w:cstheme="majorHAnsi"/>
          <w:color w:val="000000"/>
        </w:rPr>
        <w:t>Doubrava – napojení na II/331</w:t>
      </w:r>
    </w:p>
    <w:p w14:paraId="00CD193F" w14:textId="77777777" w:rsidR="00213A5E" w:rsidRPr="006070EA" w:rsidRDefault="00213A5E" w:rsidP="00213A5E">
      <w:pPr>
        <w:pStyle w:val="Atext"/>
        <w:ind w:left="2127" w:hanging="1418"/>
        <w:rPr>
          <w:rFonts w:asciiTheme="majorHAnsi" w:hAnsiTheme="majorHAnsi" w:cstheme="majorHAnsi"/>
          <w:color w:val="000000"/>
        </w:rPr>
      </w:pPr>
      <w:r w:rsidRPr="006070EA">
        <w:rPr>
          <w:rFonts w:asciiTheme="majorHAnsi" w:hAnsiTheme="majorHAnsi" w:cstheme="majorHAnsi"/>
          <w:b/>
          <w:color w:val="000000"/>
        </w:rPr>
        <w:t>III/3319n</w:t>
      </w:r>
      <w:r w:rsidRPr="006070EA">
        <w:rPr>
          <w:rFonts w:asciiTheme="majorHAnsi" w:hAnsiTheme="majorHAnsi" w:cstheme="majorHAnsi"/>
          <w:b/>
          <w:color w:val="000000"/>
        </w:rPr>
        <w:tab/>
      </w:r>
      <w:r w:rsidRPr="006070EA">
        <w:rPr>
          <w:rFonts w:asciiTheme="majorHAnsi" w:hAnsiTheme="majorHAnsi" w:cstheme="majorHAnsi"/>
          <w:color w:val="000000"/>
        </w:rPr>
        <w:t>Železniční nádraží Kostomlaty nad Labem – napojení na II/331</w:t>
      </w:r>
    </w:p>
    <w:p w14:paraId="574E3A43" w14:textId="77777777" w:rsidR="00213A5E" w:rsidRPr="006070EA" w:rsidRDefault="00213A5E" w:rsidP="00213A5E">
      <w:pPr>
        <w:pStyle w:val="Atext"/>
        <w:ind w:left="2127" w:hanging="1418"/>
        <w:rPr>
          <w:rFonts w:asciiTheme="majorHAnsi" w:hAnsiTheme="majorHAnsi" w:cstheme="majorHAnsi"/>
          <w:color w:val="000000"/>
        </w:rPr>
      </w:pPr>
      <w:r w:rsidRPr="006070EA">
        <w:rPr>
          <w:rFonts w:asciiTheme="majorHAnsi" w:hAnsiTheme="majorHAnsi" w:cstheme="majorHAnsi"/>
          <w:b/>
          <w:color w:val="000000"/>
        </w:rPr>
        <w:t>III/2725</w:t>
      </w:r>
      <w:r w:rsidRPr="006070EA">
        <w:rPr>
          <w:rFonts w:asciiTheme="majorHAnsi" w:hAnsiTheme="majorHAnsi" w:cstheme="majorHAnsi"/>
          <w:b/>
          <w:color w:val="000000"/>
        </w:rPr>
        <w:tab/>
      </w:r>
      <w:r w:rsidRPr="006070EA">
        <w:rPr>
          <w:rFonts w:asciiTheme="majorHAnsi" w:hAnsiTheme="majorHAnsi" w:cstheme="majorHAnsi"/>
          <w:color w:val="000000"/>
        </w:rPr>
        <w:t>výjezd z II/331 – Lysá nad Labem – Stratov – Rozkoš – Kostomlaty nad Labem – křížení s III/3317 – napojení na II/331</w:t>
      </w:r>
    </w:p>
    <w:p w14:paraId="6F1DF4E7" w14:textId="77777777" w:rsidR="00213A5E" w:rsidRPr="006070EA" w:rsidRDefault="00213A5E" w:rsidP="00213A5E">
      <w:pPr>
        <w:pStyle w:val="Atext"/>
        <w:ind w:left="2127" w:hanging="1418"/>
        <w:rPr>
          <w:rFonts w:asciiTheme="majorHAnsi" w:hAnsiTheme="majorHAnsi" w:cstheme="majorHAnsi"/>
          <w:color w:val="000000"/>
        </w:rPr>
      </w:pPr>
      <w:r w:rsidRPr="006070EA">
        <w:rPr>
          <w:rFonts w:asciiTheme="majorHAnsi" w:hAnsiTheme="majorHAnsi" w:cstheme="majorHAnsi"/>
          <w:b/>
          <w:color w:val="000000"/>
        </w:rPr>
        <w:t>III/3317</w:t>
      </w:r>
      <w:r w:rsidRPr="006070EA">
        <w:rPr>
          <w:rFonts w:asciiTheme="majorHAnsi" w:hAnsiTheme="majorHAnsi" w:cstheme="majorHAnsi"/>
          <w:b/>
          <w:color w:val="000000"/>
        </w:rPr>
        <w:tab/>
      </w:r>
      <w:r w:rsidRPr="006070EA">
        <w:rPr>
          <w:rFonts w:asciiTheme="majorHAnsi" w:hAnsiTheme="majorHAnsi" w:cstheme="majorHAnsi"/>
          <w:color w:val="000000"/>
        </w:rPr>
        <w:t>výjezd z III/2725 – Kostomlaty nad Labem – Hronětice – křížení s III/3318 - Vápensko</w:t>
      </w:r>
    </w:p>
    <w:p w14:paraId="6B49420B" w14:textId="77777777" w:rsidR="00213A5E" w:rsidRPr="006070EA" w:rsidRDefault="00213A5E" w:rsidP="00213A5E">
      <w:pPr>
        <w:pStyle w:val="Atext"/>
        <w:ind w:left="2127" w:hanging="1418"/>
        <w:rPr>
          <w:rFonts w:asciiTheme="majorHAnsi" w:hAnsiTheme="majorHAnsi" w:cstheme="majorHAnsi"/>
          <w:color w:val="000000"/>
        </w:rPr>
      </w:pPr>
      <w:r w:rsidRPr="006070EA">
        <w:rPr>
          <w:rFonts w:asciiTheme="majorHAnsi" w:hAnsiTheme="majorHAnsi" w:cstheme="majorHAnsi"/>
          <w:b/>
          <w:color w:val="000000"/>
        </w:rPr>
        <w:t>III/3318</w:t>
      </w:r>
      <w:r w:rsidRPr="006070EA">
        <w:rPr>
          <w:rFonts w:asciiTheme="majorHAnsi" w:hAnsiTheme="majorHAnsi" w:cstheme="majorHAnsi"/>
          <w:b/>
          <w:color w:val="000000"/>
        </w:rPr>
        <w:tab/>
      </w:r>
      <w:r w:rsidRPr="006070EA">
        <w:rPr>
          <w:rFonts w:asciiTheme="majorHAnsi" w:hAnsiTheme="majorHAnsi" w:cstheme="majorHAnsi"/>
          <w:color w:val="000000"/>
        </w:rPr>
        <w:t>výjezd z III/3317 – Hronětice – Kamenné Zboží – Nymburk – napojení na II/331</w:t>
      </w:r>
    </w:p>
    <w:p w14:paraId="043A229A" w14:textId="77777777" w:rsidR="00213A5E" w:rsidRPr="006070EA" w:rsidRDefault="00213A5E" w:rsidP="00213A5E">
      <w:pPr>
        <w:pStyle w:val="Atext"/>
        <w:spacing w:after="60"/>
        <w:rPr>
          <w:rFonts w:asciiTheme="majorHAnsi" w:hAnsiTheme="majorHAnsi" w:cstheme="majorHAnsi"/>
          <w:color w:val="000000"/>
        </w:rPr>
      </w:pPr>
      <w:r w:rsidRPr="006070EA">
        <w:rPr>
          <w:rFonts w:asciiTheme="majorHAnsi" w:hAnsiTheme="majorHAnsi" w:cstheme="majorHAnsi"/>
          <w:color w:val="000000"/>
        </w:rPr>
        <w:t>Stávající silnice III. třídy doplňují silniční síť a zprostředkovávají přímou dopravní obsluhu jednotlivých sídel. Jejich dopravní zátěž je poměrně nízká. Významu těchto komunikací a konfiguraci terénu odpovídá i jejich trasování a parametry. Významnější je pouze silnice III/2725 spojující Lysou nad Labem a Kostomlaty nad Labem.</w:t>
      </w:r>
    </w:p>
    <w:p w14:paraId="15227483" w14:textId="77777777" w:rsidR="00E92BC7" w:rsidRPr="006070EA" w:rsidRDefault="00E92BC7" w:rsidP="009E07E1">
      <w:pPr>
        <w:pStyle w:val="Anadpispodtren"/>
        <w:rPr>
          <w:rFonts w:asciiTheme="majorHAnsi" w:hAnsiTheme="majorHAnsi" w:cstheme="majorHAnsi"/>
          <w:szCs w:val="18"/>
        </w:rPr>
      </w:pPr>
      <w:r w:rsidRPr="006070EA">
        <w:rPr>
          <w:rFonts w:asciiTheme="majorHAnsi" w:hAnsiTheme="majorHAnsi" w:cstheme="majorHAnsi"/>
          <w:szCs w:val="18"/>
        </w:rPr>
        <w:t>Intenzity dopravy</w:t>
      </w:r>
    </w:p>
    <w:p w14:paraId="65DC85E0" w14:textId="50FA5B4F" w:rsidR="0059411A" w:rsidRPr="006070EA" w:rsidRDefault="0059411A" w:rsidP="00BF1668">
      <w:pPr>
        <w:keepNext/>
        <w:keepLines/>
        <w:suppressAutoHyphens/>
        <w:spacing w:before="120" w:after="120" w:line="240" w:lineRule="auto"/>
        <w:ind w:firstLine="720"/>
        <w:jc w:val="both"/>
        <w:rPr>
          <w:rFonts w:asciiTheme="majorHAnsi" w:eastAsia="Times New Roman" w:hAnsiTheme="majorHAnsi" w:cstheme="majorHAnsi"/>
          <w:bCs/>
          <w:sz w:val="18"/>
          <w:szCs w:val="20"/>
        </w:rPr>
      </w:pPr>
      <w:r w:rsidRPr="006070EA">
        <w:rPr>
          <w:rFonts w:asciiTheme="majorHAnsi" w:eastAsia="Times New Roman" w:hAnsiTheme="majorHAnsi" w:cstheme="majorHAnsi"/>
          <w:bCs/>
          <w:sz w:val="18"/>
          <w:szCs w:val="20"/>
        </w:rPr>
        <w:t>Intenzity silniční dopravy jsou jedním z primárních vstupních údajů při posuzování a navrhování silniční sítě či jejích úseků. Sčítání dopravy je cyklicky prováděno Ředitelstvím silnic a dálnic ČR (dále též jen „ŘSD ČR“) pravidelně jednou za pět let. Zahrnuje dálnice, všechny silnice I. a II. třídy a vybrané úseky III. třídy a místních komunikací. V řešeném území bylo sčítání dopravy provedeno n</w:t>
      </w:r>
      <w:r w:rsidR="00B52F4E" w:rsidRPr="006070EA">
        <w:rPr>
          <w:rFonts w:asciiTheme="majorHAnsi" w:eastAsia="Times New Roman" w:hAnsiTheme="majorHAnsi" w:cstheme="majorHAnsi"/>
          <w:bCs/>
          <w:sz w:val="18"/>
          <w:szCs w:val="20"/>
        </w:rPr>
        <w:t>aposledy v r. 2016</w:t>
      </w:r>
      <w:r w:rsidR="0062147C" w:rsidRPr="006070EA">
        <w:rPr>
          <w:rFonts w:asciiTheme="majorHAnsi" w:eastAsia="Times New Roman" w:hAnsiTheme="majorHAnsi" w:cstheme="majorHAnsi"/>
          <w:bCs/>
          <w:sz w:val="18"/>
          <w:szCs w:val="20"/>
        </w:rPr>
        <w:t xml:space="preserve"> na úsecích silnice II/331 a III/3318</w:t>
      </w:r>
      <w:r w:rsidRPr="006070EA">
        <w:rPr>
          <w:rFonts w:asciiTheme="majorHAnsi" w:eastAsia="Times New Roman" w:hAnsiTheme="majorHAnsi" w:cstheme="majorHAnsi"/>
          <w:bCs/>
          <w:sz w:val="18"/>
          <w:szCs w:val="20"/>
        </w:rPr>
        <w:t xml:space="preserve">. Míru zatížení území dopravou poskytují údaje </w:t>
      </w:r>
      <w:r w:rsidR="00977854" w:rsidRPr="006070EA">
        <w:rPr>
          <w:rFonts w:asciiTheme="majorHAnsi" w:eastAsia="Times New Roman" w:hAnsiTheme="majorHAnsi" w:cstheme="majorHAnsi"/>
          <w:bCs/>
          <w:sz w:val="18"/>
          <w:szCs w:val="20"/>
        </w:rPr>
        <w:t xml:space="preserve">v následující tabulce dle dat Celostátního sčítání dopravy </w:t>
      </w:r>
      <w:r w:rsidR="00EC3C28" w:rsidRPr="006070EA">
        <w:rPr>
          <w:rFonts w:asciiTheme="majorHAnsi" w:eastAsia="Times New Roman" w:hAnsiTheme="majorHAnsi" w:cstheme="majorHAnsi"/>
          <w:bCs/>
          <w:sz w:val="18"/>
          <w:szCs w:val="20"/>
        </w:rPr>
        <w:t>v</w:t>
      </w:r>
      <w:r w:rsidR="0062147C" w:rsidRPr="006070EA">
        <w:rPr>
          <w:rFonts w:asciiTheme="majorHAnsi" w:eastAsia="Times New Roman" w:hAnsiTheme="majorHAnsi" w:cstheme="majorHAnsi"/>
          <w:bCs/>
          <w:sz w:val="18"/>
          <w:szCs w:val="20"/>
        </w:rPr>
        <w:t xml:space="preserve"> letech </w:t>
      </w:r>
      <w:r w:rsidR="00EC3C28" w:rsidRPr="006070EA">
        <w:rPr>
          <w:rFonts w:asciiTheme="majorHAnsi" w:eastAsia="Times New Roman" w:hAnsiTheme="majorHAnsi" w:cstheme="majorHAnsi"/>
          <w:bCs/>
          <w:sz w:val="18"/>
          <w:szCs w:val="20"/>
        </w:rPr>
        <w:t xml:space="preserve">2010 </w:t>
      </w:r>
      <w:r w:rsidR="0062147C" w:rsidRPr="006070EA">
        <w:rPr>
          <w:rFonts w:asciiTheme="majorHAnsi" w:eastAsia="Times New Roman" w:hAnsiTheme="majorHAnsi" w:cstheme="majorHAnsi"/>
          <w:bCs/>
          <w:sz w:val="18"/>
          <w:szCs w:val="20"/>
        </w:rPr>
        <w:t xml:space="preserve">a 2016 </w:t>
      </w:r>
      <w:r w:rsidR="00977854" w:rsidRPr="006070EA">
        <w:rPr>
          <w:rFonts w:asciiTheme="majorHAnsi" w:eastAsia="Times New Roman" w:hAnsiTheme="majorHAnsi" w:cstheme="majorHAnsi"/>
          <w:bCs/>
          <w:sz w:val="18"/>
          <w:szCs w:val="20"/>
        </w:rPr>
        <w:t>(tabulka uvádí údaje ročního průměru denních intenzit dopravy za všechny dny týdne)</w:t>
      </w:r>
      <w:r w:rsidRPr="006070EA">
        <w:rPr>
          <w:rFonts w:asciiTheme="majorHAnsi" w:eastAsia="Times New Roman" w:hAnsiTheme="majorHAnsi" w:cstheme="majorHAnsi"/>
          <w:bCs/>
          <w:sz w:val="18"/>
          <w:szCs w:val="20"/>
        </w:rPr>
        <w:t xml:space="preserve">: </w:t>
      </w:r>
    </w:p>
    <w:tbl>
      <w:tblPr>
        <w:tblW w:w="9103" w:type="dxa"/>
        <w:jc w:val="center"/>
        <w:tblBorders>
          <w:insideH w:val="single" w:sz="4" w:space="0" w:color="auto"/>
          <w:insideV w:val="single" w:sz="4" w:space="0" w:color="auto"/>
        </w:tblBorders>
        <w:tblLook w:val="04A0" w:firstRow="1" w:lastRow="0" w:firstColumn="1" w:lastColumn="0" w:noHBand="0" w:noVBand="1"/>
      </w:tblPr>
      <w:tblGrid>
        <w:gridCol w:w="737"/>
        <w:gridCol w:w="1020"/>
        <w:gridCol w:w="1456"/>
        <w:gridCol w:w="1135"/>
        <w:gridCol w:w="1187"/>
        <w:gridCol w:w="1217"/>
        <w:gridCol w:w="1228"/>
        <w:gridCol w:w="1123"/>
      </w:tblGrid>
      <w:tr w:rsidR="0062147C" w:rsidRPr="006070EA" w14:paraId="3406D02C" w14:textId="77777777" w:rsidTr="00DD69E4">
        <w:trPr>
          <w:cantSplit/>
          <w:trHeight w:val="283"/>
          <w:tblHeader/>
          <w:jc w:val="center"/>
        </w:trPr>
        <w:tc>
          <w:tcPr>
            <w:tcW w:w="737" w:type="dxa"/>
            <w:tcBorders>
              <w:top w:val="nil"/>
              <w:bottom w:val="single" w:sz="12" w:space="0" w:color="auto"/>
              <w:right w:val="single" w:sz="12" w:space="0" w:color="auto"/>
            </w:tcBorders>
            <w:vAlign w:val="center"/>
          </w:tcPr>
          <w:p w14:paraId="0A92CDEA" w14:textId="00383A8E"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Rok</w:t>
            </w:r>
          </w:p>
        </w:tc>
        <w:tc>
          <w:tcPr>
            <w:tcW w:w="1020" w:type="dxa"/>
            <w:tcBorders>
              <w:top w:val="nil"/>
              <w:bottom w:val="single" w:sz="12" w:space="0" w:color="auto"/>
            </w:tcBorders>
            <w:vAlign w:val="center"/>
          </w:tcPr>
          <w:p w14:paraId="22FD937A" w14:textId="35C1FC46"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sčítací úsek</w:t>
            </w:r>
          </w:p>
        </w:tc>
        <w:tc>
          <w:tcPr>
            <w:tcW w:w="1456" w:type="dxa"/>
            <w:tcBorders>
              <w:top w:val="nil"/>
              <w:left w:val="single" w:sz="12" w:space="0" w:color="auto"/>
              <w:bottom w:val="single" w:sz="12" w:space="0" w:color="auto"/>
              <w:right w:val="single" w:sz="12" w:space="0" w:color="auto"/>
            </w:tcBorders>
            <w:vAlign w:val="center"/>
          </w:tcPr>
          <w:p w14:paraId="3CF22F53" w14:textId="11DEA172"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sčítací úsek</w:t>
            </w:r>
          </w:p>
        </w:tc>
        <w:tc>
          <w:tcPr>
            <w:tcW w:w="1135" w:type="dxa"/>
            <w:tcBorders>
              <w:top w:val="nil"/>
              <w:left w:val="single" w:sz="12" w:space="0" w:color="auto"/>
              <w:bottom w:val="single" w:sz="12" w:space="0" w:color="auto"/>
              <w:right w:val="single" w:sz="12" w:space="0" w:color="auto"/>
            </w:tcBorders>
            <w:vAlign w:val="center"/>
          </w:tcPr>
          <w:p w14:paraId="320E482A"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komunikace</w:t>
            </w:r>
          </w:p>
        </w:tc>
        <w:tc>
          <w:tcPr>
            <w:tcW w:w="1187" w:type="dxa"/>
            <w:tcBorders>
              <w:top w:val="nil"/>
              <w:left w:val="single" w:sz="12" w:space="0" w:color="auto"/>
              <w:bottom w:val="single" w:sz="12" w:space="0" w:color="auto"/>
              <w:right w:val="single" w:sz="12" w:space="0" w:color="auto"/>
            </w:tcBorders>
            <w:vAlign w:val="center"/>
          </w:tcPr>
          <w:p w14:paraId="68F331E5"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těžká motorová vozidla</w:t>
            </w:r>
          </w:p>
          <w:p w14:paraId="54CE18B3"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[voz/24 hod]</w:t>
            </w:r>
          </w:p>
        </w:tc>
        <w:tc>
          <w:tcPr>
            <w:tcW w:w="1217" w:type="dxa"/>
            <w:tcBorders>
              <w:top w:val="nil"/>
              <w:left w:val="single" w:sz="12" w:space="0" w:color="auto"/>
              <w:bottom w:val="single" w:sz="12" w:space="0" w:color="auto"/>
              <w:right w:val="single" w:sz="12" w:space="0" w:color="auto"/>
            </w:tcBorders>
            <w:vAlign w:val="center"/>
          </w:tcPr>
          <w:p w14:paraId="01966432"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osobní a dodávková vozidla</w:t>
            </w:r>
          </w:p>
          <w:p w14:paraId="018E8B7D"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[voz/24 hod]</w:t>
            </w:r>
          </w:p>
        </w:tc>
        <w:tc>
          <w:tcPr>
            <w:tcW w:w="1228" w:type="dxa"/>
            <w:tcBorders>
              <w:top w:val="nil"/>
              <w:left w:val="single" w:sz="12" w:space="0" w:color="auto"/>
              <w:bottom w:val="single" w:sz="12" w:space="0" w:color="auto"/>
              <w:right w:val="single" w:sz="12" w:space="0" w:color="auto"/>
            </w:tcBorders>
            <w:vAlign w:val="center"/>
          </w:tcPr>
          <w:p w14:paraId="5489EC2A"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jednostopá motorová vozidla</w:t>
            </w:r>
          </w:p>
          <w:p w14:paraId="4A35DD9C"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[voz/24 hod]</w:t>
            </w:r>
          </w:p>
        </w:tc>
        <w:tc>
          <w:tcPr>
            <w:tcW w:w="1123" w:type="dxa"/>
            <w:tcBorders>
              <w:top w:val="nil"/>
              <w:left w:val="single" w:sz="12" w:space="0" w:color="auto"/>
              <w:bottom w:val="single" w:sz="12" w:space="0" w:color="auto"/>
            </w:tcBorders>
            <w:vAlign w:val="center"/>
          </w:tcPr>
          <w:p w14:paraId="0F838CCE"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součet všech vozidel</w:t>
            </w:r>
          </w:p>
          <w:p w14:paraId="44BD7A3A" w14:textId="77777777" w:rsidR="00712C59" w:rsidRPr="006070EA" w:rsidRDefault="00712C59" w:rsidP="00712C59">
            <w:pPr>
              <w:pStyle w:val="Bezmezer"/>
              <w:keepNext/>
              <w:jc w:val="center"/>
              <w:rPr>
                <w:rFonts w:asciiTheme="majorHAnsi" w:hAnsiTheme="majorHAnsi" w:cstheme="majorHAnsi"/>
                <w:b/>
                <w:lang w:val="cs-CZ"/>
              </w:rPr>
            </w:pPr>
            <w:r w:rsidRPr="006070EA">
              <w:rPr>
                <w:rFonts w:asciiTheme="majorHAnsi" w:hAnsiTheme="majorHAnsi" w:cstheme="majorHAnsi"/>
                <w:b/>
                <w:lang w:val="cs-CZ"/>
              </w:rPr>
              <w:t>[voz/24 hod]</w:t>
            </w:r>
          </w:p>
        </w:tc>
      </w:tr>
      <w:tr w:rsidR="0062147C" w:rsidRPr="006070EA" w14:paraId="4710B154" w14:textId="77777777" w:rsidTr="00DD69E4">
        <w:trPr>
          <w:trHeight w:val="283"/>
          <w:jc w:val="center"/>
        </w:trPr>
        <w:tc>
          <w:tcPr>
            <w:tcW w:w="737" w:type="dxa"/>
            <w:tcBorders>
              <w:top w:val="single" w:sz="12" w:space="0" w:color="auto"/>
              <w:bottom w:val="single" w:sz="4" w:space="0" w:color="auto"/>
            </w:tcBorders>
            <w:vAlign w:val="center"/>
          </w:tcPr>
          <w:p w14:paraId="046CFE4E" w14:textId="262767C7"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2010</w:t>
            </w:r>
          </w:p>
        </w:tc>
        <w:tc>
          <w:tcPr>
            <w:tcW w:w="1020" w:type="dxa"/>
            <w:tcBorders>
              <w:top w:val="single" w:sz="12" w:space="0" w:color="auto"/>
              <w:bottom w:val="single" w:sz="4" w:space="0" w:color="auto"/>
            </w:tcBorders>
            <w:vAlign w:val="center"/>
          </w:tcPr>
          <w:p w14:paraId="6CF17F63" w14:textId="369D89EF"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1-3320</w:t>
            </w:r>
          </w:p>
        </w:tc>
        <w:tc>
          <w:tcPr>
            <w:tcW w:w="1456" w:type="dxa"/>
            <w:tcBorders>
              <w:top w:val="single" w:sz="12" w:space="0" w:color="auto"/>
              <w:bottom w:val="single" w:sz="4" w:space="0" w:color="auto"/>
            </w:tcBorders>
            <w:vAlign w:val="center"/>
          </w:tcPr>
          <w:p w14:paraId="6464B367" w14:textId="7C5E972B"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Lysá nad Labem – Kostomlaty nad Labem</w:t>
            </w:r>
          </w:p>
        </w:tc>
        <w:tc>
          <w:tcPr>
            <w:tcW w:w="1135" w:type="dxa"/>
            <w:tcBorders>
              <w:top w:val="single" w:sz="12" w:space="0" w:color="auto"/>
              <w:bottom w:val="single" w:sz="4" w:space="0" w:color="auto"/>
            </w:tcBorders>
            <w:vAlign w:val="center"/>
          </w:tcPr>
          <w:p w14:paraId="064351AF" w14:textId="77777777"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II/331</w:t>
            </w:r>
          </w:p>
        </w:tc>
        <w:tc>
          <w:tcPr>
            <w:tcW w:w="1187" w:type="dxa"/>
            <w:tcBorders>
              <w:top w:val="single" w:sz="12" w:space="0" w:color="auto"/>
              <w:bottom w:val="single" w:sz="4" w:space="0" w:color="auto"/>
            </w:tcBorders>
            <w:vAlign w:val="center"/>
          </w:tcPr>
          <w:p w14:paraId="5FA16331" w14:textId="583EFFBB"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538</w:t>
            </w:r>
          </w:p>
        </w:tc>
        <w:tc>
          <w:tcPr>
            <w:tcW w:w="1217" w:type="dxa"/>
            <w:tcBorders>
              <w:top w:val="single" w:sz="12" w:space="0" w:color="auto"/>
              <w:bottom w:val="single" w:sz="4" w:space="0" w:color="auto"/>
            </w:tcBorders>
            <w:vAlign w:val="center"/>
          </w:tcPr>
          <w:p w14:paraId="4D67269E" w14:textId="420CA053"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3022</w:t>
            </w:r>
          </w:p>
        </w:tc>
        <w:tc>
          <w:tcPr>
            <w:tcW w:w="1228" w:type="dxa"/>
            <w:tcBorders>
              <w:top w:val="single" w:sz="12" w:space="0" w:color="auto"/>
              <w:bottom w:val="single" w:sz="4" w:space="0" w:color="auto"/>
            </w:tcBorders>
            <w:vAlign w:val="center"/>
          </w:tcPr>
          <w:p w14:paraId="094150BF" w14:textId="2500EABF"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31</w:t>
            </w:r>
          </w:p>
        </w:tc>
        <w:tc>
          <w:tcPr>
            <w:tcW w:w="1123" w:type="dxa"/>
            <w:tcBorders>
              <w:top w:val="single" w:sz="12" w:space="0" w:color="auto"/>
              <w:bottom w:val="single" w:sz="4" w:space="0" w:color="auto"/>
            </w:tcBorders>
            <w:vAlign w:val="center"/>
          </w:tcPr>
          <w:p w14:paraId="29C35E98" w14:textId="58E216F9" w:rsidR="00712C59" w:rsidRPr="006070EA" w:rsidRDefault="00712C59" w:rsidP="00712C59">
            <w:pPr>
              <w:pStyle w:val="Bezmezer"/>
              <w:jc w:val="center"/>
              <w:rPr>
                <w:rFonts w:asciiTheme="majorHAnsi" w:hAnsiTheme="majorHAnsi" w:cstheme="majorHAnsi"/>
                <w:b/>
                <w:lang w:val="cs-CZ"/>
              </w:rPr>
            </w:pPr>
            <w:r w:rsidRPr="006070EA">
              <w:rPr>
                <w:rFonts w:asciiTheme="majorHAnsi" w:hAnsiTheme="majorHAnsi" w:cstheme="majorHAnsi"/>
                <w:b/>
                <w:lang w:val="cs-CZ"/>
              </w:rPr>
              <w:t>3591</w:t>
            </w:r>
          </w:p>
        </w:tc>
      </w:tr>
      <w:tr w:rsidR="0062147C" w:rsidRPr="006070EA" w14:paraId="7125BA05" w14:textId="77777777" w:rsidTr="00DD69E4">
        <w:trPr>
          <w:trHeight w:val="283"/>
          <w:jc w:val="center"/>
        </w:trPr>
        <w:tc>
          <w:tcPr>
            <w:tcW w:w="737" w:type="dxa"/>
            <w:tcBorders>
              <w:top w:val="single" w:sz="4" w:space="0" w:color="auto"/>
              <w:bottom w:val="single" w:sz="4" w:space="0" w:color="auto"/>
            </w:tcBorders>
            <w:vAlign w:val="center"/>
          </w:tcPr>
          <w:p w14:paraId="223BB4C8" w14:textId="6D193863"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2010</w:t>
            </w:r>
          </w:p>
        </w:tc>
        <w:tc>
          <w:tcPr>
            <w:tcW w:w="1020" w:type="dxa"/>
            <w:vMerge w:val="restart"/>
            <w:tcBorders>
              <w:top w:val="single" w:sz="4" w:space="0" w:color="auto"/>
              <w:bottom w:val="single" w:sz="4" w:space="0" w:color="auto"/>
            </w:tcBorders>
            <w:vAlign w:val="center"/>
          </w:tcPr>
          <w:p w14:paraId="29DE092F" w14:textId="70A3092D"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1-3226</w:t>
            </w:r>
          </w:p>
        </w:tc>
        <w:tc>
          <w:tcPr>
            <w:tcW w:w="1456" w:type="dxa"/>
            <w:vMerge w:val="restart"/>
            <w:tcBorders>
              <w:top w:val="single" w:sz="4" w:space="0" w:color="auto"/>
              <w:bottom w:val="single" w:sz="4" w:space="0" w:color="auto"/>
            </w:tcBorders>
            <w:vAlign w:val="center"/>
          </w:tcPr>
          <w:p w14:paraId="67930F61" w14:textId="30CDCDA9"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 xml:space="preserve">Kostomlaty nad </w:t>
            </w:r>
            <w:proofErr w:type="gramStart"/>
            <w:r w:rsidRPr="006070EA">
              <w:rPr>
                <w:rFonts w:asciiTheme="majorHAnsi" w:hAnsiTheme="majorHAnsi" w:cstheme="majorHAnsi"/>
                <w:lang w:val="cs-CZ"/>
              </w:rPr>
              <w:t>Labem - Nymburk</w:t>
            </w:r>
            <w:proofErr w:type="gramEnd"/>
          </w:p>
        </w:tc>
        <w:tc>
          <w:tcPr>
            <w:tcW w:w="1135" w:type="dxa"/>
            <w:vMerge w:val="restart"/>
            <w:tcBorders>
              <w:top w:val="single" w:sz="4" w:space="0" w:color="auto"/>
              <w:bottom w:val="single" w:sz="4" w:space="0" w:color="auto"/>
            </w:tcBorders>
            <w:vAlign w:val="center"/>
          </w:tcPr>
          <w:p w14:paraId="0FC1FB52" w14:textId="6DE610B4"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II/331</w:t>
            </w:r>
          </w:p>
        </w:tc>
        <w:tc>
          <w:tcPr>
            <w:tcW w:w="1187" w:type="dxa"/>
            <w:tcBorders>
              <w:top w:val="single" w:sz="4" w:space="0" w:color="auto"/>
              <w:bottom w:val="single" w:sz="4" w:space="0" w:color="auto"/>
            </w:tcBorders>
            <w:vAlign w:val="center"/>
          </w:tcPr>
          <w:p w14:paraId="1FD32EAA" w14:textId="0539D4EF"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405</w:t>
            </w:r>
          </w:p>
        </w:tc>
        <w:tc>
          <w:tcPr>
            <w:tcW w:w="1217" w:type="dxa"/>
            <w:tcBorders>
              <w:top w:val="single" w:sz="4" w:space="0" w:color="auto"/>
              <w:bottom w:val="single" w:sz="4" w:space="0" w:color="auto"/>
            </w:tcBorders>
            <w:vAlign w:val="center"/>
          </w:tcPr>
          <w:p w14:paraId="03B1FA3E" w14:textId="6C051BBD"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3459</w:t>
            </w:r>
          </w:p>
        </w:tc>
        <w:tc>
          <w:tcPr>
            <w:tcW w:w="1228" w:type="dxa"/>
            <w:tcBorders>
              <w:top w:val="single" w:sz="4" w:space="0" w:color="auto"/>
              <w:bottom w:val="single" w:sz="4" w:space="0" w:color="auto"/>
            </w:tcBorders>
            <w:vAlign w:val="center"/>
          </w:tcPr>
          <w:p w14:paraId="5DD9BEC4" w14:textId="528ACCD8"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42</w:t>
            </w:r>
          </w:p>
        </w:tc>
        <w:tc>
          <w:tcPr>
            <w:tcW w:w="1123" w:type="dxa"/>
            <w:tcBorders>
              <w:top w:val="single" w:sz="4" w:space="0" w:color="auto"/>
              <w:bottom w:val="single" w:sz="4" w:space="0" w:color="auto"/>
            </w:tcBorders>
            <w:vAlign w:val="center"/>
          </w:tcPr>
          <w:p w14:paraId="05783F6C" w14:textId="787A26FC" w:rsidR="00712C59" w:rsidRPr="006070EA" w:rsidRDefault="00712C59" w:rsidP="00712C59">
            <w:pPr>
              <w:pStyle w:val="Bezmezer"/>
              <w:jc w:val="center"/>
              <w:rPr>
                <w:rFonts w:asciiTheme="majorHAnsi" w:hAnsiTheme="majorHAnsi" w:cstheme="majorHAnsi"/>
                <w:b/>
                <w:lang w:val="cs-CZ"/>
              </w:rPr>
            </w:pPr>
            <w:r w:rsidRPr="006070EA">
              <w:rPr>
                <w:rFonts w:asciiTheme="majorHAnsi" w:hAnsiTheme="majorHAnsi" w:cstheme="majorHAnsi"/>
                <w:b/>
                <w:lang w:val="cs-CZ"/>
              </w:rPr>
              <w:t>3906</w:t>
            </w:r>
          </w:p>
        </w:tc>
      </w:tr>
      <w:tr w:rsidR="0062147C" w:rsidRPr="006070EA" w14:paraId="359928BC" w14:textId="77777777" w:rsidTr="00DD69E4">
        <w:trPr>
          <w:trHeight w:val="283"/>
          <w:jc w:val="center"/>
        </w:trPr>
        <w:tc>
          <w:tcPr>
            <w:tcW w:w="737" w:type="dxa"/>
            <w:tcBorders>
              <w:top w:val="single" w:sz="4" w:space="0" w:color="auto"/>
              <w:bottom w:val="single" w:sz="4" w:space="0" w:color="auto"/>
            </w:tcBorders>
            <w:vAlign w:val="center"/>
          </w:tcPr>
          <w:p w14:paraId="0C8527E0" w14:textId="44CE5F1D"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2016</w:t>
            </w:r>
          </w:p>
        </w:tc>
        <w:tc>
          <w:tcPr>
            <w:tcW w:w="1020" w:type="dxa"/>
            <w:vMerge/>
            <w:tcBorders>
              <w:top w:val="single" w:sz="4" w:space="0" w:color="auto"/>
              <w:bottom w:val="single" w:sz="4" w:space="0" w:color="auto"/>
            </w:tcBorders>
            <w:vAlign w:val="center"/>
          </w:tcPr>
          <w:p w14:paraId="6B576F53" w14:textId="19CE75CF" w:rsidR="00712C59" w:rsidRPr="006070EA" w:rsidRDefault="00712C59" w:rsidP="00712C59">
            <w:pPr>
              <w:pStyle w:val="Bezmezer"/>
              <w:jc w:val="center"/>
              <w:rPr>
                <w:rFonts w:asciiTheme="majorHAnsi" w:hAnsiTheme="majorHAnsi" w:cstheme="majorHAnsi"/>
                <w:lang w:val="cs-CZ"/>
              </w:rPr>
            </w:pPr>
          </w:p>
        </w:tc>
        <w:tc>
          <w:tcPr>
            <w:tcW w:w="1456" w:type="dxa"/>
            <w:vMerge/>
            <w:tcBorders>
              <w:top w:val="single" w:sz="4" w:space="0" w:color="auto"/>
              <w:bottom w:val="single" w:sz="4" w:space="0" w:color="auto"/>
            </w:tcBorders>
            <w:vAlign w:val="center"/>
          </w:tcPr>
          <w:p w14:paraId="1456B0C7" w14:textId="77777777" w:rsidR="00712C59" w:rsidRPr="006070EA" w:rsidRDefault="00712C59" w:rsidP="00712C59">
            <w:pPr>
              <w:pStyle w:val="Bezmezer"/>
              <w:jc w:val="center"/>
              <w:rPr>
                <w:rFonts w:asciiTheme="majorHAnsi" w:hAnsiTheme="majorHAnsi" w:cstheme="majorHAnsi"/>
                <w:lang w:val="cs-CZ"/>
              </w:rPr>
            </w:pPr>
          </w:p>
        </w:tc>
        <w:tc>
          <w:tcPr>
            <w:tcW w:w="1135" w:type="dxa"/>
            <w:vMerge/>
            <w:tcBorders>
              <w:top w:val="single" w:sz="4" w:space="0" w:color="auto"/>
              <w:bottom w:val="single" w:sz="4" w:space="0" w:color="auto"/>
            </w:tcBorders>
            <w:vAlign w:val="center"/>
          </w:tcPr>
          <w:p w14:paraId="5CC86BE0" w14:textId="6F320B3D" w:rsidR="00712C59" w:rsidRPr="006070EA" w:rsidRDefault="00712C59" w:rsidP="00712C59">
            <w:pPr>
              <w:pStyle w:val="Bezmezer"/>
              <w:jc w:val="center"/>
              <w:rPr>
                <w:rFonts w:asciiTheme="majorHAnsi" w:hAnsiTheme="majorHAnsi" w:cstheme="majorHAnsi"/>
                <w:lang w:val="cs-CZ"/>
              </w:rPr>
            </w:pPr>
          </w:p>
        </w:tc>
        <w:tc>
          <w:tcPr>
            <w:tcW w:w="1187" w:type="dxa"/>
            <w:tcBorders>
              <w:top w:val="single" w:sz="4" w:space="0" w:color="auto"/>
              <w:bottom w:val="single" w:sz="4" w:space="0" w:color="auto"/>
            </w:tcBorders>
            <w:vAlign w:val="center"/>
          </w:tcPr>
          <w:p w14:paraId="0FDF6950" w14:textId="749FB65F"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464</w:t>
            </w:r>
          </w:p>
        </w:tc>
        <w:tc>
          <w:tcPr>
            <w:tcW w:w="1217" w:type="dxa"/>
            <w:tcBorders>
              <w:top w:val="single" w:sz="4" w:space="0" w:color="auto"/>
              <w:bottom w:val="single" w:sz="4" w:space="0" w:color="auto"/>
            </w:tcBorders>
            <w:vAlign w:val="center"/>
          </w:tcPr>
          <w:p w14:paraId="08D7DBFC" w14:textId="06AFF7E4"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3715</w:t>
            </w:r>
          </w:p>
        </w:tc>
        <w:tc>
          <w:tcPr>
            <w:tcW w:w="1228" w:type="dxa"/>
            <w:tcBorders>
              <w:top w:val="single" w:sz="4" w:space="0" w:color="auto"/>
              <w:bottom w:val="single" w:sz="4" w:space="0" w:color="auto"/>
            </w:tcBorders>
            <w:vAlign w:val="center"/>
          </w:tcPr>
          <w:p w14:paraId="5C1F15AE" w14:textId="62497A7F"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25</w:t>
            </w:r>
          </w:p>
        </w:tc>
        <w:tc>
          <w:tcPr>
            <w:tcW w:w="1123" w:type="dxa"/>
            <w:tcBorders>
              <w:top w:val="single" w:sz="4" w:space="0" w:color="auto"/>
              <w:bottom w:val="single" w:sz="4" w:space="0" w:color="auto"/>
            </w:tcBorders>
            <w:vAlign w:val="center"/>
          </w:tcPr>
          <w:p w14:paraId="2F8FAAD3" w14:textId="2A1B1BBE" w:rsidR="00712C59" w:rsidRPr="006070EA" w:rsidRDefault="00712C59" w:rsidP="00712C59">
            <w:pPr>
              <w:pStyle w:val="Bezmezer"/>
              <w:jc w:val="center"/>
              <w:rPr>
                <w:rFonts w:asciiTheme="majorHAnsi" w:hAnsiTheme="majorHAnsi" w:cstheme="majorHAnsi"/>
                <w:b/>
                <w:lang w:val="cs-CZ"/>
              </w:rPr>
            </w:pPr>
            <w:r w:rsidRPr="006070EA">
              <w:rPr>
                <w:rFonts w:asciiTheme="majorHAnsi" w:hAnsiTheme="majorHAnsi" w:cstheme="majorHAnsi"/>
                <w:b/>
                <w:lang w:val="cs-CZ"/>
              </w:rPr>
              <w:t>4204</w:t>
            </w:r>
          </w:p>
        </w:tc>
      </w:tr>
      <w:tr w:rsidR="0062147C" w:rsidRPr="006070EA" w14:paraId="646E1C3F" w14:textId="77777777" w:rsidTr="00DD69E4">
        <w:trPr>
          <w:trHeight w:val="283"/>
          <w:jc w:val="center"/>
        </w:trPr>
        <w:tc>
          <w:tcPr>
            <w:tcW w:w="737" w:type="dxa"/>
            <w:tcBorders>
              <w:top w:val="single" w:sz="4" w:space="0" w:color="auto"/>
              <w:bottom w:val="single" w:sz="4" w:space="0" w:color="auto"/>
            </w:tcBorders>
            <w:vAlign w:val="center"/>
          </w:tcPr>
          <w:p w14:paraId="5B83C26A" w14:textId="3DBC42A7"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2010</w:t>
            </w:r>
          </w:p>
        </w:tc>
        <w:tc>
          <w:tcPr>
            <w:tcW w:w="1020" w:type="dxa"/>
            <w:vMerge w:val="restart"/>
            <w:tcBorders>
              <w:top w:val="single" w:sz="4" w:space="0" w:color="auto"/>
              <w:bottom w:val="single" w:sz="4" w:space="0" w:color="auto"/>
            </w:tcBorders>
            <w:vAlign w:val="center"/>
          </w:tcPr>
          <w:p w14:paraId="68C6476E" w14:textId="2586E289"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1-5760</w:t>
            </w:r>
          </w:p>
        </w:tc>
        <w:tc>
          <w:tcPr>
            <w:tcW w:w="1456" w:type="dxa"/>
            <w:vMerge w:val="restart"/>
            <w:tcBorders>
              <w:top w:val="single" w:sz="4" w:space="0" w:color="auto"/>
              <w:bottom w:val="single" w:sz="4" w:space="0" w:color="auto"/>
            </w:tcBorders>
            <w:vAlign w:val="center"/>
          </w:tcPr>
          <w:p w14:paraId="19AF2885" w14:textId="71A81E07"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Hronětice – Kamenné Zboží</w:t>
            </w:r>
          </w:p>
        </w:tc>
        <w:tc>
          <w:tcPr>
            <w:tcW w:w="1135" w:type="dxa"/>
            <w:vMerge w:val="restart"/>
            <w:tcBorders>
              <w:top w:val="single" w:sz="4" w:space="0" w:color="auto"/>
              <w:bottom w:val="single" w:sz="4" w:space="0" w:color="auto"/>
            </w:tcBorders>
            <w:vAlign w:val="center"/>
          </w:tcPr>
          <w:p w14:paraId="6FB23CD2" w14:textId="5970743D"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III/3318</w:t>
            </w:r>
          </w:p>
        </w:tc>
        <w:tc>
          <w:tcPr>
            <w:tcW w:w="1187" w:type="dxa"/>
            <w:tcBorders>
              <w:top w:val="single" w:sz="4" w:space="0" w:color="auto"/>
              <w:bottom w:val="single" w:sz="4" w:space="0" w:color="auto"/>
            </w:tcBorders>
            <w:vAlign w:val="center"/>
          </w:tcPr>
          <w:p w14:paraId="23D44192" w14:textId="402ED235"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66</w:t>
            </w:r>
          </w:p>
        </w:tc>
        <w:tc>
          <w:tcPr>
            <w:tcW w:w="1217" w:type="dxa"/>
            <w:tcBorders>
              <w:top w:val="single" w:sz="4" w:space="0" w:color="auto"/>
              <w:bottom w:val="single" w:sz="4" w:space="0" w:color="auto"/>
            </w:tcBorders>
            <w:vAlign w:val="center"/>
          </w:tcPr>
          <w:p w14:paraId="20E44C7E" w14:textId="2D82BE95"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514</w:t>
            </w:r>
          </w:p>
        </w:tc>
        <w:tc>
          <w:tcPr>
            <w:tcW w:w="1228" w:type="dxa"/>
            <w:tcBorders>
              <w:top w:val="single" w:sz="4" w:space="0" w:color="auto"/>
              <w:bottom w:val="single" w:sz="4" w:space="0" w:color="auto"/>
            </w:tcBorders>
            <w:vAlign w:val="center"/>
          </w:tcPr>
          <w:p w14:paraId="71573811" w14:textId="32529140"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15</w:t>
            </w:r>
          </w:p>
        </w:tc>
        <w:tc>
          <w:tcPr>
            <w:tcW w:w="1123" w:type="dxa"/>
            <w:tcBorders>
              <w:top w:val="single" w:sz="4" w:space="0" w:color="auto"/>
              <w:bottom w:val="single" w:sz="4" w:space="0" w:color="auto"/>
            </w:tcBorders>
            <w:vAlign w:val="center"/>
          </w:tcPr>
          <w:p w14:paraId="3A0ECA27" w14:textId="4DBF4AD7" w:rsidR="00712C59" w:rsidRPr="006070EA" w:rsidRDefault="00712C59" w:rsidP="00712C59">
            <w:pPr>
              <w:pStyle w:val="Bezmezer"/>
              <w:jc w:val="center"/>
              <w:rPr>
                <w:rFonts w:asciiTheme="majorHAnsi" w:hAnsiTheme="majorHAnsi" w:cstheme="majorHAnsi"/>
                <w:b/>
                <w:lang w:val="cs-CZ"/>
              </w:rPr>
            </w:pPr>
            <w:r w:rsidRPr="006070EA">
              <w:rPr>
                <w:rFonts w:asciiTheme="majorHAnsi" w:hAnsiTheme="majorHAnsi" w:cstheme="majorHAnsi"/>
                <w:b/>
                <w:lang w:val="cs-CZ"/>
              </w:rPr>
              <w:t>595</w:t>
            </w:r>
          </w:p>
        </w:tc>
      </w:tr>
      <w:tr w:rsidR="0062147C" w:rsidRPr="006070EA" w14:paraId="143036F9" w14:textId="77777777" w:rsidTr="00DD69E4">
        <w:trPr>
          <w:trHeight w:val="283"/>
          <w:jc w:val="center"/>
        </w:trPr>
        <w:tc>
          <w:tcPr>
            <w:tcW w:w="737" w:type="dxa"/>
            <w:tcBorders>
              <w:top w:val="single" w:sz="4" w:space="0" w:color="auto"/>
              <w:bottom w:val="nil"/>
            </w:tcBorders>
            <w:vAlign w:val="center"/>
          </w:tcPr>
          <w:p w14:paraId="6A4304A5" w14:textId="5D5992BE"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2016</w:t>
            </w:r>
          </w:p>
        </w:tc>
        <w:tc>
          <w:tcPr>
            <w:tcW w:w="1020" w:type="dxa"/>
            <w:vMerge/>
            <w:tcBorders>
              <w:top w:val="single" w:sz="4" w:space="0" w:color="auto"/>
              <w:bottom w:val="nil"/>
            </w:tcBorders>
            <w:vAlign w:val="center"/>
          </w:tcPr>
          <w:p w14:paraId="28161066" w14:textId="77777777" w:rsidR="00712C59" w:rsidRPr="006070EA" w:rsidRDefault="00712C59" w:rsidP="00712C59">
            <w:pPr>
              <w:pStyle w:val="Bezmezer"/>
              <w:jc w:val="center"/>
              <w:rPr>
                <w:rFonts w:asciiTheme="majorHAnsi" w:hAnsiTheme="majorHAnsi" w:cstheme="majorHAnsi"/>
                <w:lang w:val="cs-CZ"/>
              </w:rPr>
            </w:pPr>
          </w:p>
        </w:tc>
        <w:tc>
          <w:tcPr>
            <w:tcW w:w="1456" w:type="dxa"/>
            <w:vMerge/>
            <w:tcBorders>
              <w:top w:val="single" w:sz="4" w:space="0" w:color="auto"/>
              <w:bottom w:val="nil"/>
            </w:tcBorders>
            <w:vAlign w:val="center"/>
          </w:tcPr>
          <w:p w14:paraId="717FE674" w14:textId="77777777" w:rsidR="00712C59" w:rsidRPr="006070EA" w:rsidRDefault="00712C59" w:rsidP="00712C59">
            <w:pPr>
              <w:pStyle w:val="Bezmezer"/>
              <w:jc w:val="center"/>
              <w:rPr>
                <w:rFonts w:asciiTheme="majorHAnsi" w:hAnsiTheme="majorHAnsi" w:cstheme="majorHAnsi"/>
                <w:lang w:val="cs-CZ"/>
              </w:rPr>
            </w:pPr>
          </w:p>
        </w:tc>
        <w:tc>
          <w:tcPr>
            <w:tcW w:w="1135" w:type="dxa"/>
            <w:vMerge/>
            <w:tcBorders>
              <w:top w:val="single" w:sz="4" w:space="0" w:color="auto"/>
              <w:bottom w:val="nil"/>
            </w:tcBorders>
            <w:vAlign w:val="center"/>
          </w:tcPr>
          <w:p w14:paraId="52B8E255" w14:textId="77777777" w:rsidR="00712C59" w:rsidRPr="006070EA" w:rsidRDefault="00712C59" w:rsidP="00712C59">
            <w:pPr>
              <w:pStyle w:val="Bezmezer"/>
              <w:jc w:val="center"/>
              <w:rPr>
                <w:rFonts w:asciiTheme="majorHAnsi" w:hAnsiTheme="majorHAnsi" w:cstheme="majorHAnsi"/>
                <w:lang w:val="cs-CZ"/>
              </w:rPr>
            </w:pPr>
          </w:p>
        </w:tc>
        <w:tc>
          <w:tcPr>
            <w:tcW w:w="1187" w:type="dxa"/>
            <w:tcBorders>
              <w:top w:val="single" w:sz="4" w:space="0" w:color="auto"/>
              <w:bottom w:val="nil"/>
            </w:tcBorders>
            <w:vAlign w:val="center"/>
          </w:tcPr>
          <w:p w14:paraId="19CFA9D4" w14:textId="72F46CC4"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110</w:t>
            </w:r>
          </w:p>
        </w:tc>
        <w:tc>
          <w:tcPr>
            <w:tcW w:w="1217" w:type="dxa"/>
            <w:tcBorders>
              <w:top w:val="single" w:sz="4" w:space="0" w:color="auto"/>
              <w:bottom w:val="nil"/>
            </w:tcBorders>
            <w:vAlign w:val="center"/>
          </w:tcPr>
          <w:p w14:paraId="4EB2E06A" w14:textId="2DBC29E9"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745</w:t>
            </w:r>
          </w:p>
        </w:tc>
        <w:tc>
          <w:tcPr>
            <w:tcW w:w="1228" w:type="dxa"/>
            <w:tcBorders>
              <w:top w:val="single" w:sz="4" w:space="0" w:color="auto"/>
              <w:bottom w:val="nil"/>
            </w:tcBorders>
            <w:vAlign w:val="center"/>
          </w:tcPr>
          <w:p w14:paraId="3F581767" w14:textId="26A08D76" w:rsidR="00712C59" w:rsidRPr="006070EA" w:rsidRDefault="00712C59" w:rsidP="00712C59">
            <w:pPr>
              <w:pStyle w:val="Bezmezer"/>
              <w:jc w:val="center"/>
              <w:rPr>
                <w:rFonts w:asciiTheme="majorHAnsi" w:hAnsiTheme="majorHAnsi" w:cstheme="majorHAnsi"/>
                <w:lang w:val="cs-CZ"/>
              </w:rPr>
            </w:pPr>
            <w:r w:rsidRPr="006070EA">
              <w:rPr>
                <w:rFonts w:asciiTheme="majorHAnsi" w:hAnsiTheme="majorHAnsi" w:cstheme="majorHAnsi"/>
                <w:lang w:val="cs-CZ"/>
              </w:rPr>
              <w:t>2</w:t>
            </w:r>
          </w:p>
        </w:tc>
        <w:tc>
          <w:tcPr>
            <w:tcW w:w="1123" w:type="dxa"/>
            <w:tcBorders>
              <w:top w:val="single" w:sz="4" w:space="0" w:color="auto"/>
              <w:bottom w:val="nil"/>
            </w:tcBorders>
            <w:vAlign w:val="center"/>
          </w:tcPr>
          <w:p w14:paraId="31869C8A" w14:textId="11258EB6" w:rsidR="00712C59" w:rsidRPr="006070EA" w:rsidRDefault="00712C59" w:rsidP="00712C59">
            <w:pPr>
              <w:pStyle w:val="Bezmezer"/>
              <w:jc w:val="center"/>
              <w:rPr>
                <w:rFonts w:asciiTheme="majorHAnsi" w:hAnsiTheme="majorHAnsi" w:cstheme="majorHAnsi"/>
                <w:b/>
                <w:lang w:val="cs-CZ"/>
              </w:rPr>
            </w:pPr>
            <w:r w:rsidRPr="006070EA">
              <w:rPr>
                <w:rFonts w:asciiTheme="majorHAnsi" w:hAnsiTheme="majorHAnsi" w:cstheme="majorHAnsi"/>
                <w:b/>
                <w:lang w:val="cs-CZ"/>
              </w:rPr>
              <w:t>857</w:t>
            </w:r>
          </w:p>
        </w:tc>
      </w:tr>
    </w:tbl>
    <w:p w14:paraId="666FC1A0" w14:textId="2A16A6C6" w:rsidR="00213A5E" w:rsidRPr="006070EA" w:rsidRDefault="00213A5E" w:rsidP="00213A5E">
      <w:pPr>
        <w:pStyle w:val="Atext"/>
        <w:rPr>
          <w:rFonts w:asciiTheme="majorHAnsi" w:hAnsiTheme="majorHAnsi" w:cstheme="majorHAnsi"/>
        </w:rPr>
      </w:pPr>
      <w:r w:rsidRPr="006070EA">
        <w:rPr>
          <w:rFonts w:asciiTheme="majorHAnsi" w:hAnsiTheme="majorHAnsi" w:cstheme="majorHAnsi"/>
        </w:rPr>
        <w:t xml:space="preserve">Na ostatních silnicích nebylo v řešeném území sčítání dopravy prováděno. </w:t>
      </w:r>
    </w:p>
    <w:p w14:paraId="23BB8714" w14:textId="013EA114" w:rsidR="00D83C88" w:rsidRPr="006070EA" w:rsidRDefault="0062147C" w:rsidP="00EC3C28">
      <w:pPr>
        <w:pStyle w:val="Atext"/>
        <w:keepNext/>
        <w:spacing w:after="0"/>
        <w:rPr>
          <w:rFonts w:asciiTheme="majorHAnsi" w:hAnsiTheme="majorHAnsi" w:cstheme="majorHAnsi"/>
        </w:rPr>
      </w:pPr>
      <w:r w:rsidRPr="006070EA">
        <w:rPr>
          <w:rFonts w:asciiTheme="majorHAnsi" w:hAnsiTheme="majorHAnsi" w:cstheme="majorHAnsi"/>
          <w:szCs w:val="24"/>
          <w:lang w:eastAsia="cs-CZ"/>
        </w:rPr>
        <w:t>Z výsledků posledních dvou sčítání dopravy je zřejmé, že v řešeném území dochází k zvýšení dopravní zátěže. Na části silnice II. třídy II/331 v úseku Kostomlaty nad Labem – Nymburk došlo ke zvýšení počtu projíždějících vozidel v průměru o 300 vozidel denně. Zvýšení intenzity dopravy je pozorováno také na měřeném úseku silnice III. třídy z Hronětic na Kamenné Zboží, kde mezi lety 2010 a 2016 vzrostla intenzita dopravy o cca 260 vozidel za den.</w:t>
      </w:r>
    </w:p>
    <w:p w14:paraId="6C39D5F1" w14:textId="23F21618" w:rsidR="00E92BC7" w:rsidRPr="006070EA" w:rsidRDefault="00E92BC7" w:rsidP="00730FDE">
      <w:pPr>
        <w:pStyle w:val="Atext"/>
        <w:spacing w:before="60" w:after="60"/>
        <w:rPr>
          <w:rFonts w:asciiTheme="majorHAnsi" w:hAnsiTheme="majorHAnsi" w:cstheme="majorHAnsi"/>
        </w:rPr>
      </w:pPr>
      <w:r w:rsidRPr="006070EA">
        <w:rPr>
          <w:rFonts w:asciiTheme="majorHAnsi" w:hAnsiTheme="majorHAnsi" w:cstheme="majorHAnsi"/>
        </w:rPr>
        <w:t xml:space="preserve">S ohledem na dopravní význam </w:t>
      </w:r>
      <w:r w:rsidR="0062147C" w:rsidRPr="006070EA">
        <w:rPr>
          <w:rFonts w:asciiTheme="majorHAnsi" w:hAnsiTheme="majorHAnsi" w:cstheme="majorHAnsi"/>
        </w:rPr>
        <w:t xml:space="preserve">ostatních </w:t>
      </w:r>
      <w:r w:rsidRPr="006070EA">
        <w:rPr>
          <w:rFonts w:asciiTheme="majorHAnsi" w:hAnsiTheme="majorHAnsi" w:cstheme="majorHAnsi"/>
        </w:rPr>
        <w:t xml:space="preserve">silnic III. třídy v řešeném území lze předpokládat, že intenzity dopravy </w:t>
      </w:r>
      <w:r w:rsidR="0062147C" w:rsidRPr="006070EA">
        <w:rPr>
          <w:rFonts w:asciiTheme="majorHAnsi" w:hAnsiTheme="majorHAnsi" w:cstheme="majorHAnsi"/>
        </w:rPr>
        <w:t xml:space="preserve">na nich </w:t>
      </w:r>
      <w:r w:rsidRPr="006070EA">
        <w:rPr>
          <w:rFonts w:asciiTheme="majorHAnsi" w:hAnsiTheme="majorHAnsi" w:cstheme="majorHAnsi"/>
        </w:rPr>
        <w:t xml:space="preserve">nepřesáhnou hodnotu </w:t>
      </w:r>
      <w:r w:rsidR="00EC3C28" w:rsidRPr="006070EA">
        <w:rPr>
          <w:rFonts w:asciiTheme="majorHAnsi" w:hAnsiTheme="majorHAnsi" w:cstheme="majorHAnsi"/>
        </w:rPr>
        <w:t>500</w:t>
      </w:r>
      <w:r w:rsidRPr="006070EA">
        <w:rPr>
          <w:rFonts w:asciiTheme="majorHAnsi" w:hAnsiTheme="majorHAnsi" w:cstheme="majorHAnsi"/>
        </w:rPr>
        <w:t xml:space="preserve"> vozidel za 24 hodin průměrného dne v roce.</w:t>
      </w:r>
    </w:p>
    <w:p w14:paraId="01D169ED" w14:textId="77777777" w:rsidR="00E92BC7" w:rsidRPr="006070EA" w:rsidRDefault="00E92BC7" w:rsidP="009E07E1">
      <w:pPr>
        <w:pStyle w:val="Anadpispodtren"/>
        <w:rPr>
          <w:rFonts w:asciiTheme="majorHAnsi" w:hAnsiTheme="majorHAnsi" w:cstheme="majorHAnsi"/>
        </w:rPr>
      </w:pPr>
      <w:r w:rsidRPr="006070EA">
        <w:rPr>
          <w:rFonts w:asciiTheme="majorHAnsi" w:hAnsiTheme="majorHAnsi" w:cstheme="majorHAnsi"/>
        </w:rPr>
        <w:t>Místní komunikace</w:t>
      </w:r>
    </w:p>
    <w:p w14:paraId="59D967D0" w14:textId="3EFA6DA1" w:rsidR="00E92BC7" w:rsidRPr="006070EA" w:rsidRDefault="00E92BC7" w:rsidP="009E07E1">
      <w:pPr>
        <w:pStyle w:val="Atext"/>
        <w:spacing w:before="60" w:after="60"/>
        <w:rPr>
          <w:rFonts w:asciiTheme="majorHAnsi" w:hAnsiTheme="majorHAnsi" w:cstheme="majorHAnsi"/>
        </w:rPr>
      </w:pPr>
      <w:r w:rsidRPr="006070EA">
        <w:rPr>
          <w:rFonts w:asciiTheme="majorHAnsi" w:hAnsiTheme="majorHAnsi" w:cstheme="majorHAnsi"/>
        </w:rPr>
        <w:t xml:space="preserve">Pro místní dopravu </w:t>
      </w:r>
      <w:r w:rsidR="00F30640" w:rsidRPr="006070EA">
        <w:rPr>
          <w:rFonts w:asciiTheme="majorHAnsi" w:hAnsiTheme="majorHAnsi" w:cstheme="majorHAnsi"/>
        </w:rPr>
        <w:t xml:space="preserve">v obci </w:t>
      </w:r>
      <w:r w:rsidRPr="006070EA">
        <w:rPr>
          <w:rFonts w:asciiTheme="majorHAnsi" w:hAnsiTheme="majorHAnsi" w:cstheme="majorHAnsi"/>
        </w:rPr>
        <w:t xml:space="preserve">jsou využívány úseky silnic III. třídy, které rovněž umožňují obsluhu jednotlivých objektů. Na tyto silnice navazují místní komunikace různé délky a proměnlivých parametrů. Stávající rozsah sítě místních komunikací je </w:t>
      </w:r>
      <w:r w:rsidRPr="006070EA">
        <w:rPr>
          <w:rFonts w:asciiTheme="majorHAnsi" w:hAnsiTheme="majorHAnsi" w:cstheme="majorHAnsi"/>
        </w:rPr>
        <w:lastRenderedPageBreak/>
        <w:t xml:space="preserve">územním plánem stabilizován. Komunikace mají většinou charakter cest se zpevněným nebo částečně zpevněným povrchem a vycházejí z terénních podmínek a uspořádání zástavby. </w:t>
      </w:r>
    </w:p>
    <w:p w14:paraId="047071AE" w14:textId="6BA338AC" w:rsidR="00E92BC7" w:rsidRPr="006070EA" w:rsidRDefault="00E92BC7" w:rsidP="009E07E1">
      <w:pPr>
        <w:pStyle w:val="Atext"/>
        <w:spacing w:before="60" w:after="60"/>
        <w:rPr>
          <w:rFonts w:asciiTheme="majorHAnsi" w:hAnsiTheme="majorHAnsi" w:cstheme="majorHAnsi"/>
        </w:rPr>
      </w:pPr>
      <w:r w:rsidRPr="006070EA">
        <w:rPr>
          <w:rFonts w:asciiTheme="majorHAnsi" w:hAnsiTheme="majorHAnsi" w:cstheme="majorHAnsi"/>
        </w:rPr>
        <w:t xml:space="preserve">Místní komunikace mimo zastavěná území jsou v územním plánu vymezeny jako plochy veřejných prostranství </w:t>
      </w:r>
      <w:r w:rsidR="00304DE8" w:rsidRPr="006070EA">
        <w:rPr>
          <w:rFonts w:asciiTheme="majorHAnsi" w:hAnsiTheme="majorHAnsi" w:cstheme="majorHAnsi"/>
        </w:rPr>
        <w:t xml:space="preserve">všeobecných </w:t>
      </w:r>
      <w:r w:rsidRPr="006070EA">
        <w:rPr>
          <w:rFonts w:asciiTheme="majorHAnsi" w:hAnsiTheme="majorHAnsi" w:cstheme="majorHAnsi"/>
        </w:rPr>
        <w:t>(P</w:t>
      </w:r>
      <w:r w:rsidR="00304DE8" w:rsidRPr="006070EA">
        <w:rPr>
          <w:rFonts w:asciiTheme="majorHAnsi" w:hAnsiTheme="majorHAnsi" w:cstheme="majorHAnsi"/>
        </w:rPr>
        <w:t>U</w:t>
      </w:r>
      <w:r w:rsidRPr="006070EA">
        <w:rPr>
          <w:rFonts w:asciiTheme="majorHAnsi" w:hAnsiTheme="majorHAnsi" w:cstheme="majorHAnsi"/>
        </w:rPr>
        <w:t xml:space="preserve">) nebo jsou zahrnuty v rámci dalších ploch s rozdílným způsobem využití. </w:t>
      </w:r>
      <w:r w:rsidR="00812AAD" w:rsidRPr="006070EA">
        <w:rPr>
          <w:rFonts w:asciiTheme="majorHAnsi" w:hAnsiTheme="majorHAnsi" w:cstheme="majorHAnsi"/>
        </w:rPr>
        <w:t>Pro jejich rozvoj je vymezena zastavitelná plocha Z</w:t>
      </w:r>
      <w:r w:rsidR="00304DE8" w:rsidRPr="006070EA">
        <w:rPr>
          <w:rFonts w:asciiTheme="majorHAnsi" w:hAnsiTheme="majorHAnsi" w:cstheme="majorHAnsi"/>
        </w:rPr>
        <w:t>.</w:t>
      </w:r>
      <w:r w:rsidR="00812AAD" w:rsidRPr="006070EA">
        <w:rPr>
          <w:rFonts w:asciiTheme="majorHAnsi" w:hAnsiTheme="majorHAnsi" w:cstheme="majorHAnsi"/>
        </w:rPr>
        <w:t>2</w:t>
      </w:r>
      <w:r w:rsidR="0079659D" w:rsidRPr="006070EA">
        <w:rPr>
          <w:rFonts w:asciiTheme="majorHAnsi" w:hAnsiTheme="majorHAnsi" w:cstheme="majorHAnsi"/>
        </w:rPr>
        <w:t>2</w:t>
      </w:r>
      <w:r w:rsidR="00812AAD" w:rsidRPr="006070EA">
        <w:rPr>
          <w:rFonts w:asciiTheme="majorHAnsi" w:hAnsiTheme="majorHAnsi" w:cstheme="majorHAnsi"/>
        </w:rPr>
        <w:t xml:space="preserve"> ve Vápensku. </w:t>
      </w:r>
      <w:r w:rsidRPr="006070EA">
        <w:rPr>
          <w:rFonts w:asciiTheme="majorHAnsi" w:hAnsiTheme="majorHAnsi" w:cstheme="majorHAnsi"/>
        </w:rPr>
        <w:t xml:space="preserve">Síť místních komunikací doplňují místní účelové komunikace, které umožňují obsluhu celého území obce. </w:t>
      </w:r>
    </w:p>
    <w:p w14:paraId="68C5E5E4" w14:textId="77777777" w:rsidR="00E92BC7" w:rsidRPr="006070EA" w:rsidRDefault="00E92BC7" w:rsidP="009E07E1">
      <w:pPr>
        <w:pStyle w:val="Anadpiskurzva"/>
        <w:rPr>
          <w:rFonts w:asciiTheme="majorHAnsi" w:hAnsiTheme="majorHAnsi" w:cstheme="majorHAnsi"/>
          <w:i w:val="0"/>
          <w:u w:val="single"/>
        </w:rPr>
      </w:pPr>
      <w:r w:rsidRPr="006070EA">
        <w:rPr>
          <w:rFonts w:asciiTheme="majorHAnsi" w:hAnsiTheme="majorHAnsi" w:cstheme="majorHAnsi"/>
          <w:i w:val="0"/>
          <w:u w:val="single"/>
        </w:rPr>
        <w:t>Silniční ochranná pásma</w:t>
      </w:r>
    </w:p>
    <w:p w14:paraId="0B115930" w14:textId="00AAEB1B" w:rsidR="00E92BC7" w:rsidRPr="006070EA" w:rsidRDefault="00E92BC7" w:rsidP="009E07E1">
      <w:pPr>
        <w:pStyle w:val="Atext"/>
        <w:spacing w:before="60" w:after="60"/>
        <w:rPr>
          <w:rFonts w:asciiTheme="majorHAnsi" w:hAnsiTheme="majorHAnsi" w:cstheme="majorHAnsi"/>
        </w:rPr>
      </w:pPr>
      <w:r w:rsidRPr="006070EA">
        <w:rPr>
          <w:rFonts w:asciiTheme="majorHAnsi" w:hAnsiTheme="majorHAnsi" w:cstheme="majorHAnsi"/>
        </w:rPr>
        <w:t>Problematiku silničního ochranného pásma upravuje zákon č. 13/1997 Sb., o pozemních komunikacích, ve znění pozdějších předpisů. Silniční ochranná pásma slouží k ochraně silnice a provozu na ní mimo souvisle zastavěné území obcí. Je</w:t>
      </w:r>
      <w:r w:rsidR="00447D82" w:rsidRPr="006070EA">
        <w:rPr>
          <w:rFonts w:asciiTheme="majorHAnsi" w:hAnsiTheme="majorHAnsi" w:cstheme="majorHAnsi"/>
        </w:rPr>
        <w:t> </w:t>
      </w:r>
      <w:r w:rsidRPr="006070EA">
        <w:rPr>
          <w:rFonts w:asciiTheme="majorHAnsi" w:hAnsiTheme="majorHAnsi" w:cstheme="majorHAnsi"/>
        </w:rPr>
        <w:t>v</w:t>
      </w:r>
      <w:r w:rsidR="00304DE8" w:rsidRPr="006070EA">
        <w:rPr>
          <w:rFonts w:asciiTheme="majorHAnsi" w:hAnsiTheme="majorHAnsi" w:cstheme="majorHAnsi"/>
        </w:rPr>
        <w:t> </w:t>
      </w:r>
      <w:r w:rsidRPr="006070EA">
        <w:rPr>
          <w:rFonts w:asciiTheme="majorHAnsi" w:hAnsiTheme="majorHAnsi" w:cstheme="majorHAnsi"/>
        </w:rPr>
        <w:t>nich zakázána nebo omezena stavební činnost, která by mohla ohrozit vlastní komunikaci nebo provoz na ní. Výjimky uděluje v odůvodněných případech příslušný silniční správní orgán.</w:t>
      </w:r>
    </w:p>
    <w:p w14:paraId="3397357E" w14:textId="77777777" w:rsidR="00E92BC7" w:rsidRPr="006070EA" w:rsidRDefault="00E92BC7" w:rsidP="009E07E1">
      <w:pPr>
        <w:pStyle w:val="Atext"/>
        <w:spacing w:before="60" w:after="60"/>
        <w:rPr>
          <w:rFonts w:asciiTheme="majorHAnsi" w:hAnsiTheme="majorHAnsi" w:cstheme="majorHAnsi"/>
        </w:rPr>
      </w:pPr>
      <w:r w:rsidRPr="006070EA">
        <w:rPr>
          <w:rFonts w:asciiTheme="majorHAnsi" w:hAnsiTheme="majorHAnsi" w:cstheme="majorHAnsi"/>
        </w:rPr>
        <w:t>Silničním ochranným pásmem se rozumí prostor ohraničený svislými plochami vedenými do výšky 50</w:t>
      </w:r>
      <w:r w:rsidR="00795F2C" w:rsidRPr="006070EA">
        <w:rPr>
          <w:rFonts w:asciiTheme="majorHAnsi" w:hAnsiTheme="majorHAnsi" w:cstheme="majorHAnsi"/>
        </w:rPr>
        <w:t> </w:t>
      </w:r>
      <w:r w:rsidRPr="006070EA">
        <w:rPr>
          <w:rFonts w:asciiTheme="majorHAnsi" w:hAnsiTheme="majorHAnsi" w:cstheme="majorHAnsi"/>
        </w:rPr>
        <w:t>m a ve vzdálenosti:</w:t>
      </w:r>
    </w:p>
    <w:p w14:paraId="4AEBFF4F" w14:textId="77777777" w:rsidR="00E92BC7" w:rsidRPr="006070EA" w:rsidRDefault="00E92BC7" w:rsidP="009E07E1">
      <w:pPr>
        <w:pStyle w:val="Atext"/>
        <w:spacing w:before="60" w:after="60"/>
        <w:rPr>
          <w:rFonts w:asciiTheme="majorHAnsi" w:hAnsiTheme="majorHAnsi" w:cstheme="majorHAnsi"/>
        </w:rPr>
      </w:pPr>
      <w:r w:rsidRPr="006070EA">
        <w:rPr>
          <w:rFonts w:asciiTheme="majorHAnsi" w:hAnsiTheme="majorHAnsi" w:cstheme="majorHAnsi"/>
        </w:rPr>
        <w:t xml:space="preserve">silnice </w:t>
      </w:r>
      <w:r w:rsidR="0065127D" w:rsidRPr="006070EA">
        <w:rPr>
          <w:rFonts w:asciiTheme="majorHAnsi" w:hAnsiTheme="majorHAnsi" w:cstheme="majorHAnsi"/>
        </w:rPr>
        <w:t xml:space="preserve">II. a </w:t>
      </w:r>
      <w:r w:rsidRPr="006070EA">
        <w:rPr>
          <w:rFonts w:asciiTheme="majorHAnsi" w:hAnsiTheme="majorHAnsi" w:cstheme="majorHAnsi"/>
        </w:rPr>
        <w:t>III. třídy</w:t>
      </w:r>
      <w:r w:rsidRPr="006070EA">
        <w:rPr>
          <w:rFonts w:asciiTheme="majorHAnsi" w:hAnsiTheme="majorHAnsi" w:cstheme="majorHAnsi"/>
        </w:rPr>
        <w:tab/>
      </w:r>
      <w:r w:rsidRPr="006070EA">
        <w:rPr>
          <w:rFonts w:asciiTheme="majorHAnsi" w:hAnsiTheme="majorHAnsi" w:cstheme="majorHAnsi"/>
        </w:rPr>
        <w:tab/>
        <w:t xml:space="preserve">15 m od osy </w:t>
      </w:r>
      <w:r w:rsidR="00795F2C" w:rsidRPr="006070EA">
        <w:rPr>
          <w:rFonts w:asciiTheme="majorHAnsi" w:hAnsiTheme="majorHAnsi" w:cstheme="majorHAnsi"/>
        </w:rPr>
        <w:t>komunikace</w:t>
      </w:r>
    </w:p>
    <w:p w14:paraId="5AAE600D" w14:textId="7738A831" w:rsidR="0065127D" w:rsidRPr="006070EA" w:rsidRDefault="0065127D" w:rsidP="0065127D">
      <w:pPr>
        <w:pStyle w:val="Atext"/>
        <w:spacing w:after="60"/>
        <w:ind w:left="567" w:hanging="567"/>
        <w:rPr>
          <w:rFonts w:asciiTheme="majorHAnsi" w:hAnsiTheme="majorHAnsi" w:cstheme="majorHAnsi"/>
          <w:i/>
        </w:rPr>
      </w:pPr>
      <w:r w:rsidRPr="006070EA">
        <w:rPr>
          <w:rFonts w:asciiTheme="majorHAnsi" w:hAnsiTheme="majorHAnsi" w:cstheme="majorHAnsi"/>
          <w:i/>
        </w:rPr>
        <w:t>Pozn.:</w:t>
      </w:r>
      <w:r w:rsidRPr="006070EA">
        <w:rPr>
          <w:rFonts w:asciiTheme="majorHAnsi" w:hAnsiTheme="majorHAnsi" w:cstheme="majorHAnsi"/>
          <w:i/>
        </w:rPr>
        <w:tab/>
        <w:t xml:space="preserve">Ochranná pásma silnic v řešeném území jsou graficky znázorněna ve Výkresu č. </w:t>
      </w:r>
      <w:r w:rsidR="00304DE8" w:rsidRPr="006070EA">
        <w:rPr>
          <w:rFonts w:asciiTheme="majorHAnsi" w:hAnsiTheme="majorHAnsi" w:cstheme="majorHAnsi"/>
          <w:i/>
        </w:rPr>
        <w:t>4</w:t>
      </w:r>
      <w:r w:rsidRPr="006070EA">
        <w:rPr>
          <w:rFonts w:asciiTheme="majorHAnsi" w:hAnsiTheme="majorHAnsi" w:cstheme="majorHAnsi"/>
          <w:i/>
        </w:rPr>
        <w:t xml:space="preserve"> grafické části Odůvodnění ÚP </w:t>
      </w:r>
      <w:r w:rsidR="0062147C" w:rsidRPr="006070EA">
        <w:rPr>
          <w:rFonts w:asciiTheme="majorHAnsi" w:hAnsiTheme="majorHAnsi" w:cstheme="majorHAnsi"/>
          <w:i/>
        </w:rPr>
        <w:t>Kostomlaty nad Labem</w:t>
      </w:r>
      <w:r w:rsidRPr="006070EA">
        <w:rPr>
          <w:rFonts w:asciiTheme="majorHAnsi" w:hAnsiTheme="majorHAnsi" w:cstheme="majorHAnsi"/>
          <w:i/>
        </w:rPr>
        <w:t xml:space="preserve"> (Koordinační výkres).</w:t>
      </w:r>
    </w:p>
    <w:p w14:paraId="6EA7B134" w14:textId="77777777" w:rsidR="00F23F27" w:rsidRPr="006070EA" w:rsidRDefault="00F23F27" w:rsidP="009E07E1">
      <w:pPr>
        <w:keepNext/>
        <w:shd w:val="clear" w:color="auto" w:fill="FFFFFF" w:themeFill="background1"/>
        <w:spacing w:before="120" w:after="120" w:line="240" w:lineRule="auto"/>
        <w:rPr>
          <w:rFonts w:asciiTheme="majorHAnsi" w:hAnsiTheme="majorHAnsi" w:cstheme="majorHAnsi"/>
          <w:b/>
          <w:sz w:val="18"/>
          <w:szCs w:val="18"/>
        </w:rPr>
      </w:pPr>
      <w:r w:rsidRPr="006070EA">
        <w:rPr>
          <w:rFonts w:asciiTheme="majorHAnsi" w:hAnsiTheme="majorHAnsi" w:cstheme="majorHAnsi"/>
          <w:b/>
          <w:sz w:val="18"/>
          <w:szCs w:val="18"/>
        </w:rPr>
        <w:t>Vliv na životní prostředí</w:t>
      </w:r>
    </w:p>
    <w:p w14:paraId="324619F8" w14:textId="77777777" w:rsidR="00F23F27" w:rsidRPr="006070EA" w:rsidRDefault="00F23F27" w:rsidP="009E07E1">
      <w:pPr>
        <w:spacing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Hluková zátěž z dopravy na pozemních komunikacích se stanoví dle Nařízení vlády č. 272/2011 Sb., o ochraně zdraví před nepříznivými účinky hluku a vibrací (dále také jen „nařízení vlády č. 272/2011 Sb.“). Dle uvedeného nařízení jsou stanoveny limitní hodnoty hluku stanovené pro jednotlivé druhy chráněného venkovního prostoru.</w:t>
      </w:r>
    </w:p>
    <w:p w14:paraId="465EFF28" w14:textId="39EBA764" w:rsidR="00F23F27" w:rsidRPr="006070EA" w:rsidRDefault="00F23F27" w:rsidP="009E07E1">
      <w:pPr>
        <w:spacing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Hygienický limit v ekvivalentní hladině akustického tlaku A je stanoven součtem základní hladiny akustického tlaku A </w:t>
      </w:r>
      <w:proofErr w:type="gramStart"/>
      <w:r w:rsidRPr="006070EA">
        <w:rPr>
          <w:rFonts w:asciiTheme="majorHAnsi" w:hAnsiTheme="majorHAnsi" w:cstheme="majorHAnsi"/>
          <w:sz w:val="18"/>
          <w:szCs w:val="18"/>
        </w:rPr>
        <w:t>L</w:t>
      </w:r>
      <w:r w:rsidRPr="006070EA">
        <w:rPr>
          <w:rFonts w:asciiTheme="majorHAnsi" w:hAnsiTheme="majorHAnsi" w:cstheme="majorHAnsi"/>
          <w:sz w:val="18"/>
          <w:szCs w:val="18"/>
          <w:vertAlign w:val="subscript"/>
        </w:rPr>
        <w:t>Aeq,T</w:t>
      </w:r>
      <w:proofErr w:type="gramEnd"/>
      <w:r w:rsidRPr="006070EA">
        <w:rPr>
          <w:rFonts w:asciiTheme="majorHAnsi" w:hAnsiTheme="majorHAnsi" w:cstheme="majorHAnsi"/>
          <w:sz w:val="18"/>
          <w:szCs w:val="18"/>
        </w:rPr>
        <w:t xml:space="preserve"> = 50 dB a korekcí přihlížejících ke druhu chráněného prostoru a denní a noční době podle přílohy č. 3 k nařízení vlády č.</w:t>
      </w:r>
      <w:r w:rsidR="00304DE8" w:rsidRPr="006070EA">
        <w:rPr>
          <w:rFonts w:asciiTheme="majorHAnsi" w:hAnsiTheme="majorHAnsi" w:cstheme="majorHAnsi"/>
          <w:sz w:val="18"/>
          <w:szCs w:val="18"/>
        </w:rPr>
        <w:t> </w:t>
      </w:r>
      <w:r w:rsidRPr="006070EA">
        <w:rPr>
          <w:rFonts w:asciiTheme="majorHAnsi" w:hAnsiTheme="majorHAnsi" w:cstheme="majorHAnsi"/>
          <w:sz w:val="18"/>
          <w:szCs w:val="18"/>
        </w:rPr>
        <w:t xml:space="preserve">272/2011 Sb. Dle uvedeného předpisu se pro hluk z dopravy na pozemních komunikacích ekvivalentní hladina akustického tlaku A </w:t>
      </w:r>
      <w:proofErr w:type="gramStart"/>
      <w:r w:rsidRPr="006070EA">
        <w:rPr>
          <w:rFonts w:asciiTheme="majorHAnsi" w:hAnsiTheme="majorHAnsi" w:cstheme="majorHAnsi"/>
          <w:sz w:val="18"/>
          <w:szCs w:val="18"/>
        </w:rPr>
        <w:t>L</w:t>
      </w:r>
      <w:r w:rsidRPr="006070EA">
        <w:rPr>
          <w:rFonts w:asciiTheme="majorHAnsi" w:hAnsiTheme="majorHAnsi" w:cstheme="majorHAnsi"/>
          <w:sz w:val="18"/>
          <w:szCs w:val="18"/>
          <w:vertAlign w:val="subscript"/>
        </w:rPr>
        <w:t>Aeq,T</w:t>
      </w:r>
      <w:proofErr w:type="gramEnd"/>
      <w:r w:rsidRPr="006070EA">
        <w:rPr>
          <w:rFonts w:asciiTheme="majorHAnsi" w:hAnsiTheme="majorHAnsi" w:cstheme="majorHAnsi"/>
          <w:sz w:val="18"/>
          <w:szCs w:val="18"/>
        </w:rPr>
        <w:t xml:space="preserve"> stanoví pro celou denní (L</w:t>
      </w:r>
      <w:r w:rsidRPr="006070EA">
        <w:rPr>
          <w:rFonts w:asciiTheme="majorHAnsi" w:hAnsiTheme="majorHAnsi" w:cstheme="majorHAnsi"/>
          <w:sz w:val="18"/>
          <w:szCs w:val="18"/>
          <w:vertAlign w:val="subscript"/>
        </w:rPr>
        <w:t>Aeq,</w:t>
      </w:r>
      <w:proofErr w:type="gramStart"/>
      <w:r w:rsidRPr="006070EA">
        <w:rPr>
          <w:rFonts w:asciiTheme="majorHAnsi" w:hAnsiTheme="majorHAnsi" w:cstheme="majorHAnsi"/>
          <w:sz w:val="18"/>
          <w:szCs w:val="18"/>
          <w:vertAlign w:val="subscript"/>
        </w:rPr>
        <w:t>16h</w:t>
      </w:r>
      <w:proofErr w:type="gramEnd"/>
      <w:r w:rsidRPr="006070EA">
        <w:rPr>
          <w:rFonts w:asciiTheme="majorHAnsi" w:hAnsiTheme="majorHAnsi" w:cstheme="majorHAnsi"/>
          <w:sz w:val="18"/>
          <w:szCs w:val="18"/>
        </w:rPr>
        <w:t>) a celou noční dobu (L</w:t>
      </w:r>
      <w:r w:rsidRPr="006070EA">
        <w:rPr>
          <w:rFonts w:asciiTheme="majorHAnsi" w:hAnsiTheme="majorHAnsi" w:cstheme="majorHAnsi"/>
          <w:sz w:val="18"/>
          <w:szCs w:val="18"/>
          <w:vertAlign w:val="subscript"/>
        </w:rPr>
        <w:t>Aeq,</w:t>
      </w:r>
      <w:proofErr w:type="gramStart"/>
      <w:r w:rsidRPr="006070EA">
        <w:rPr>
          <w:rFonts w:asciiTheme="majorHAnsi" w:hAnsiTheme="majorHAnsi" w:cstheme="majorHAnsi"/>
          <w:sz w:val="18"/>
          <w:szCs w:val="18"/>
          <w:vertAlign w:val="subscript"/>
        </w:rPr>
        <w:t>8h</w:t>
      </w:r>
      <w:proofErr w:type="gramEnd"/>
      <w:r w:rsidRPr="006070EA">
        <w:rPr>
          <w:rFonts w:asciiTheme="majorHAnsi" w:hAnsiTheme="majorHAnsi" w:cstheme="majorHAnsi"/>
          <w:sz w:val="18"/>
          <w:szCs w:val="18"/>
        </w:rPr>
        <w:t>).</w:t>
      </w:r>
    </w:p>
    <w:p w14:paraId="456F86FC" w14:textId="77777777" w:rsidR="00F23F27" w:rsidRPr="006070EA" w:rsidRDefault="00F23F27" w:rsidP="009E07E1">
      <w:pPr>
        <w:spacing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V následující tabulce jsou uvedeny nejvyšší přípustné hodnoty hluku v chráněném venkovním prostoru u pozemních komunikací (doplněná tabulka z přílohy č. 3 k nařízení vlády č. 272/2011 Sb.) pro denní a noční dobu.</w:t>
      </w:r>
    </w:p>
    <w:tbl>
      <w:tblPr>
        <w:tblStyle w:val="Mkatabulky"/>
        <w:tblW w:w="9071" w:type="dxa"/>
        <w:jc w:val="center"/>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5102"/>
        <w:gridCol w:w="1701"/>
        <w:gridCol w:w="567"/>
        <w:gridCol w:w="567"/>
        <w:gridCol w:w="567"/>
        <w:gridCol w:w="567"/>
      </w:tblGrid>
      <w:tr w:rsidR="0062147C" w:rsidRPr="006070EA" w14:paraId="31BDA674" w14:textId="77777777" w:rsidTr="00AD6D48">
        <w:trPr>
          <w:trHeight w:val="255"/>
          <w:tblHeader/>
          <w:jc w:val="center"/>
        </w:trPr>
        <w:tc>
          <w:tcPr>
            <w:tcW w:w="5102" w:type="dxa"/>
            <w:vMerge w:val="restart"/>
            <w:tcBorders>
              <w:top w:val="nil"/>
              <w:bottom w:val="single" w:sz="12" w:space="0" w:color="auto"/>
              <w:right w:val="single" w:sz="12" w:space="0" w:color="auto"/>
            </w:tcBorders>
            <w:vAlign w:val="center"/>
          </w:tcPr>
          <w:p w14:paraId="629A4923" w14:textId="77777777" w:rsidR="00F23F27" w:rsidRPr="006070EA" w:rsidRDefault="00F23F2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způsob využití území</w:t>
            </w:r>
          </w:p>
        </w:tc>
        <w:tc>
          <w:tcPr>
            <w:tcW w:w="1701" w:type="dxa"/>
            <w:vMerge w:val="restart"/>
            <w:tcBorders>
              <w:top w:val="nil"/>
              <w:left w:val="single" w:sz="12" w:space="0" w:color="auto"/>
              <w:bottom w:val="single" w:sz="12" w:space="0" w:color="auto"/>
              <w:right w:val="single" w:sz="12" w:space="0" w:color="auto"/>
            </w:tcBorders>
            <w:vAlign w:val="center"/>
          </w:tcPr>
          <w:p w14:paraId="53F4AA84" w14:textId="77777777" w:rsidR="00F23F27" w:rsidRPr="006070EA" w:rsidRDefault="00F23F2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denní doba</w:t>
            </w:r>
          </w:p>
        </w:tc>
        <w:tc>
          <w:tcPr>
            <w:tcW w:w="2268" w:type="dxa"/>
            <w:gridSpan w:val="4"/>
            <w:tcBorders>
              <w:top w:val="nil"/>
              <w:left w:val="single" w:sz="12" w:space="0" w:color="auto"/>
              <w:bottom w:val="single" w:sz="12" w:space="0" w:color="auto"/>
            </w:tcBorders>
            <w:vAlign w:val="center"/>
          </w:tcPr>
          <w:p w14:paraId="6C3E6BE2" w14:textId="77777777" w:rsidR="00F23F27" w:rsidRPr="006070EA" w:rsidRDefault="00F23F2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korekce (dB)</w:t>
            </w:r>
          </w:p>
        </w:tc>
      </w:tr>
      <w:tr w:rsidR="0062147C" w:rsidRPr="006070EA" w14:paraId="29684192" w14:textId="77777777" w:rsidTr="00AD6D48">
        <w:trPr>
          <w:tblHeader/>
          <w:jc w:val="center"/>
        </w:trPr>
        <w:tc>
          <w:tcPr>
            <w:tcW w:w="5102" w:type="dxa"/>
            <w:vMerge/>
            <w:tcBorders>
              <w:top w:val="single" w:sz="12" w:space="0" w:color="auto"/>
              <w:bottom w:val="single" w:sz="12" w:space="0" w:color="auto"/>
              <w:right w:val="single" w:sz="12" w:space="0" w:color="auto"/>
            </w:tcBorders>
            <w:vAlign w:val="center"/>
          </w:tcPr>
          <w:p w14:paraId="53A7729A" w14:textId="77777777" w:rsidR="00F23F27" w:rsidRPr="006070EA" w:rsidRDefault="00F23F27" w:rsidP="009E07E1">
            <w:pPr>
              <w:jc w:val="center"/>
              <w:rPr>
                <w:rFonts w:asciiTheme="majorHAnsi" w:hAnsiTheme="majorHAnsi" w:cstheme="majorHAnsi"/>
                <w:b/>
                <w:sz w:val="18"/>
                <w:szCs w:val="18"/>
              </w:rPr>
            </w:pPr>
          </w:p>
        </w:tc>
        <w:tc>
          <w:tcPr>
            <w:tcW w:w="1701" w:type="dxa"/>
            <w:vMerge/>
            <w:tcBorders>
              <w:top w:val="single" w:sz="12" w:space="0" w:color="auto"/>
              <w:left w:val="single" w:sz="12" w:space="0" w:color="auto"/>
              <w:bottom w:val="single" w:sz="12" w:space="0" w:color="auto"/>
              <w:right w:val="single" w:sz="12" w:space="0" w:color="auto"/>
            </w:tcBorders>
            <w:vAlign w:val="center"/>
          </w:tcPr>
          <w:p w14:paraId="59E45C34" w14:textId="77777777" w:rsidR="00F23F27" w:rsidRPr="006070EA" w:rsidRDefault="00F23F27" w:rsidP="009E07E1">
            <w:pPr>
              <w:jc w:val="center"/>
              <w:rPr>
                <w:rFonts w:asciiTheme="majorHAnsi" w:hAnsiTheme="majorHAnsi" w:cstheme="majorHAnsi"/>
                <w:b/>
                <w:sz w:val="18"/>
                <w:szCs w:val="18"/>
              </w:rPr>
            </w:pPr>
          </w:p>
        </w:tc>
        <w:tc>
          <w:tcPr>
            <w:tcW w:w="567" w:type="dxa"/>
            <w:tcBorders>
              <w:top w:val="single" w:sz="12" w:space="0" w:color="auto"/>
              <w:left w:val="single" w:sz="12" w:space="0" w:color="auto"/>
              <w:bottom w:val="single" w:sz="12" w:space="0" w:color="auto"/>
              <w:right w:val="single" w:sz="12" w:space="0" w:color="auto"/>
            </w:tcBorders>
            <w:vAlign w:val="center"/>
          </w:tcPr>
          <w:p w14:paraId="28B22410" w14:textId="77777777" w:rsidR="00F23F27" w:rsidRPr="006070EA" w:rsidRDefault="00F23F2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1</w:t>
            </w:r>
          </w:p>
        </w:tc>
        <w:tc>
          <w:tcPr>
            <w:tcW w:w="567" w:type="dxa"/>
            <w:tcBorders>
              <w:top w:val="single" w:sz="12" w:space="0" w:color="auto"/>
              <w:left w:val="single" w:sz="12" w:space="0" w:color="auto"/>
              <w:bottom w:val="single" w:sz="12" w:space="0" w:color="auto"/>
              <w:right w:val="single" w:sz="12" w:space="0" w:color="auto"/>
            </w:tcBorders>
            <w:vAlign w:val="center"/>
          </w:tcPr>
          <w:p w14:paraId="551E463D" w14:textId="77777777" w:rsidR="00F23F27" w:rsidRPr="006070EA" w:rsidRDefault="00F23F2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2</w:t>
            </w:r>
          </w:p>
        </w:tc>
        <w:tc>
          <w:tcPr>
            <w:tcW w:w="567" w:type="dxa"/>
            <w:tcBorders>
              <w:top w:val="single" w:sz="12" w:space="0" w:color="auto"/>
              <w:left w:val="single" w:sz="12" w:space="0" w:color="auto"/>
              <w:bottom w:val="single" w:sz="12" w:space="0" w:color="auto"/>
              <w:right w:val="single" w:sz="12" w:space="0" w:color="auto"/>
            </w:tcBorders>
            <w:vAlign w:val="center"/>
          </w:tcPr>
          <w:p w14:paraId="0579767E" w14:textId="77777777" w:rsidR="00F23F27" w:rsidRPr="006070EA" w:rsidRDefault="00F23F2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3</w:t>
            </w:r>
          </w:p>
        </w:tc>
        <w:tc>
          <w:tcPr>
            <w:tcW w:w="567" w:type="dxa"/>
            <w:tcBorders>
              <w:top w:val="single" w:sz="12" w:space="0" w:color="auto"/>
              <w:left w:val="single" w:sz="12" w:space="0" w:color="auto"/>
              <w:bottom w:val="single" w:sz="12" w:space="0" w:color="auto"/>
            </w:tcBorders>
            <w:vAlign w:val="center"/>
          </w:tcPr>
          <w:p w14:paraId="1FC37B92" w14:textId="77777777" w:rsidR="00F23F27" w:rsidRPr="006070EA" w:rsidRDefault="00F23F27" w:rsidP="009E07E1">
            <w:pPr>
              <w:jc w:val="center"/>
              <w:rPr>
                <w:rFonts w:asciiTheme="majorHAnsi" w:hAnsiTheme="majorHAnsi" w:cstheme="majorHAnsi"/>
                <w:b/>
                <w:sz w:val="18"/>
                <w:szCs w:val="18"/>
              </w:rPr>
            </w:pPr>
            <w:r w:rsidRPr="006070EA">
              <w:rPr>
                <w:rFonts w:asciiTheme="majorHAnsi" w:hAnsiTheme="majorHAnsi" w:cstheme="majorHAnsi"/>
                <w:b/>
                <w:sz w:val="18"/>
                <w:szCs w:val="18"/>
              </w:rPr>
              <w:t>4</w:t>
            </w:r>
          </w:p>
        </w:tc>
      </w:tr>
      <w:tr w:rsidR="0062147C" w:rsidRPr="006070EA" w14:paraId="32BBE33C" w14:textId="77777777" w:rsidTr="00AD6D48">
        <w:trPr>
          <w:jc w:val="center"/>
        </w:trPr>
        <w:tc>
          <w:tcPr>
            <w:tcW w:w="5102" w:type="dxa"/>
            <w:vMerge w:val="restart"/>
            <w:tcBorders>
              <w:top w:val="single" w:sz="12" w:space="0" w:color="auto"/>
            </w:tcBorders>
            <w:vAlign w:val="center"/>
          </w:tcPr>
          <w:p w14:paraId="1FA833FD" w14:textId="77777777" w:rsidR="00F23F27" w:rsidRPr="006070EA" w:rsidRDefault="00F23F27" w:rsidP="009E07E1">
            <w:pPr>
              <w:rPr>
                <w:rFonts w:asciiTheme="majorHAnsi" w:hAnsiTheme="majorHAnsi" w:cstheme="majorHAnsi"/>
                <w:sz w:val="18"/>
                <w:szCs w:val="18"/>
              </w:rPr>
            </w:pPr>
            <w:r w:rsidRPr="006070EA">
              <w:rPr>
                <w:rFonts w:asciiTheme="majorHAnsi" w:hAnsiTheme="majorHAnsi" w:cstheme="majorHAnsi"/>
                <w:sz w:val="18"/>
                <w:szCs w:val="18"/>
              </w:rPr>
              <w:t>chráněný venkovní prostor staveb lůžkových zdravotnických zařízení včetně lázní</w:t>
            </w:r>
          </w:p>
        </w:tc>
        <w:tc>
          <w:tcPr>
            <w:tcW w:w="1701" w:type="dxa"/>
            <w:tcBorders>
              <w:top w:val="single" w:sz="12" w:space="0" w:color="auto"/>
            </w:tcBorders>
            <w:vAlign w:val="center"/>
          </w:tcPr>
          <w:p w14:paraId="12DF425C"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6:00 – 22:00</w:t>
            </w:r>
          </w:p>
        </w:tc>
        <w:tc>
          <w:tcPr>
            <w:tcW w:w="567" w:type="dxa"/>
            <w:tcBorders>
              <w:top w:val="single" w:sz="12" w:space="0" w:color="auto"/>
            </w:tcBorders>
            <w:vAlign w:val="center"/>
          </w:tcPr>
          <w:p w14:paraId="1A0187E9"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45</w:t>
            </w:r>
          </w:p>
        </w:tc>
        <w:tc>
          <w:tcPr>
            <w:tcW w:w="567" w:type="dxa"/>
            <w:tcBorders>
              <w:top w:val="single" w:sz="12" w:space="0" w:color="auto"/>
            </w:tcBorders>
            <w:vAlign w:val="center"/>
          </w:tcPr>
          <w:p w14:paraId="47C7A9DF"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50</w:t>
            </w:r>
          </w:p>
        </w:tc>
        <w:tc>
          <w:tcPr>
            <w:tcW w:w="567" w:type="dxa"/>
            <w:tcBorders>
              <w:top w:val="single" w:sz="12" w:space="0" w:color="auto"/>
            </w:tcBorders>
            <w:vAlign w:val="center"/>
          </w:tcPr>
          <w:p w14:paraId="51CC9AA4"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55</w:t>
            </w:r>
          </w:p>
        </w:tc>
        <w:tc>
          <w:tcPr>
            <w:tcW w:w="567" w:type="dxa"/>
            <w:tcBorders>
              <w:top w:val="single" w:sz="12" w:space="0" w:color="auto"/>
            </w:tcBorders>
            <w:vAlign w:val="center"/>
          </w:tcPr>
          <w:p w14:paraId="31555C1F"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65</w:t>
            </w:r>
          </w:p>
        </w:tc>
      </w:tr>
      <w:tr w:rsidR="0062147C" w:rsidRPr="006070EA" w14:paraId="6E798F9C" w14:textId="77777777" w:rsidTr="000C01C1">
        <w:trPr>
          <w:jc w:val="center"/>
        </w:trPr>
        <w:tc>
          <w:tcPr>
            <w:tcW w:w="5102" w:type="dxa"/>
            <w:vMerge/>
            <w:vAlign w:val="center"/>
          </w:tcPr>
          <w:p w14:paraId="6D0943B2" w14:textId="77777777" w:rsidR="00F23F27" w:rsidRPr="006070EA" w:rsidRDefault="00F23F27" w:rsidP="009E07E1">
            <w:pPr>
              <w:rPr>
                <w:rFonts w:asciiTheme="majorHAnsi" w:hAnsiTheme="majorHAnsi" w:cstheme="majorHAnsi"/>
                <w:sz w:val="18"/>
                <w:szCs w:val="18"/>
              </w:rPr>
            </w:pPr>
          </w:p>
        </w:tc>
        <w:tc>
          <w:tcPr>
            <w:tcW w:w="1701" w:type="dxa"/>
            <w:vAlign w:val="center"/>
          </w:tcPr>
          <w:p w14:paraId="1776E7C5"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22:00 – 6:00</w:t>
            </w:r>
          </w:p>
        </w:tc>
        <w:tc>
          <w:tcPr>
            <w:tcW w:w="567" w:type="dxa"/>
            <w:vAlign w:val="center"/>
          </w:tcPr>
          <w:p w14:paraId="47A63DD1"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35</w:t>
            </w:r>
          </w:p>
        </w:tc>
        <w:tc>
          <w:tcPr>
            <w:tcW w:w="567" w:type="dxa"/>
            <w:vAlign w:val="center"/>
          </w:tcPr>
          <w:p w14:paraId="4F9E5F2E"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40</w:t>
            </w:r>
          </w:p>
        </w:tc>
        <w:tc>
          <w:tcPr>
            <w:tcW w:w="567" w:type="dxa"/>
            <w:vAlign w:val="center"/>
          </w:tcPr>
          <w:p w14:paraId="09B642E7"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45</w:t>
            </w:r>
          </w:p>
        </w:tc>
        <w:tc>
          <w:tcPr>
            <w:tcW w:w="567" w:type="dxa"/>
            <w:vAlign w:val="center"/>
          </w:tcPr>
          <w:p w14:paraId="30314D91"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55</w:t>
            </w:r>
          </w:p>
        </w:tc>
      </w:tr>
      <w:tr w:rsidR="0062147C" w:rsidRPr="006070EA" w14:paraId="1917F4E5" w14:textId="77777777" w:rsidTr="000C01C1">
        <w:trPr>
          <w:jc w:val="center"/>
        </w:trPr>
        <w:tc>
          <w:tcPr>
            <w:tcW w:w="5102" w:type="dxa"/>
            <w:vMerge w:val="restart"/>
            <w:vAlign w:val="center"/>
          </w:tcPr>
          <w:p w14:paraId="48874F01" w14:textId="77777777" w:rsidR="00F23F27" w:rsidRPr="006070EA" w:rsidRDefault="00F23F27" w:rsidP="009E07E1">
            <w:pPr>
              <w:rPr>
                <w:rFonts w:asciiTheme="majorHAnsi" w:hAnsiTheme="majorHAnsi" w:cstheme="majorHAnsi"/>
                <w:sz w:val="18"/>
                <w:szCs w:val="18"/>
              </w:rPr>
            </w:pPr>
            <w:r w:rsidRPr="006070EA">
              <w:rPr>
                <w:rFonts w:asciiTheme="majorHAnsi" w:hAnsiTheme="majorHAnsi" w:cstheme="majorHAnsi"/>
                <w:sz w:val="18"/>
                <w:szCs w:val="18"/>
              </w:rPr>
              <w:t>chráněný venkovní prostor lůžkových zdravotnických zařízení včetně lázní</w:t>
            </w:r>
          </w:p>
        </w:tc>
        <w:tc>
          <w:tcPr>
            <w:tcW w:w="1701" w:type="dxa"/>
            <w:vAlign w:val="center"/>
          </w:tcPr>
          <w:p w14:paraId="09EEB29B"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6:00 – 22:00</w:t>
            </w:r>
          </w:p>
        </w:tc>
        <w:tc>
          <w:tcPr>
            <w:tcW w:w="567" w:type="dxa"/>
            <w:vAlign w:val="center"/>
          </w:tcPr>
          <w:p w14:paraId="2546A499"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50</w:t>
            </w:r>
          </w:p>
        </w:tc>
        <w:tc>
          <w:tcPr>
            <w:tcW w:w="567" w:type="dxa"/>
            <w:vAlign w:val="center"/>
          </w:tcPr>
          <w:p w14:paraId="22255594"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50</w:t>
            </w:r>
          </w:p>
        </w:tc>
        <w:tc>
          <w:tcPr>
            <w:tcW w:w="567" w:type="dxa"/>
            <w:vAlign w:val="center"/>
          </w:tcPr>
          <w:p w14:paraId="0D50D9FF"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55</w:t>
            </w:r>
          </w:p>
        </w:tc>
        <w:tc>
          <w:tcPr>
            <w:tcW w:w="567" w:type="dxa"/>
            <w:vAlign w:val="center"/>
          </w:tcPr>
          <w:p w14:paraId="71C7CD32"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65</w:t>
            </w:r>
          </w:p>
        </w:tc>
      </w:tr>
      <w:tr w:rsidR="0062147C" w:rsidRPr="006070EA" w14:paraId="5461AFF6" w14:textId="77777777" w:rsidTr="000C01C1">
        <w:trPr>
          <w:jc w:val="center"/>
        </w:trPr>
        <w:tc>
          <w:tcPr>
            <w:tcW w:w="5102" w:type="dxa"/>
            <w:vMerge/>
            <w:vAlign w:val="center"/>
          </w:tcPr>
          <w:p w14:paraId="471AC73D" w14:textId="77777777" w:rsidR="00F23F27" w:rsidRPr="006070EA" w:rsidRDefault="00F23F27" w:rsidP="009E07E1">
            <w:pPr>
              <w:rPr>
                <w:rFonts w:asciiTheme="majorHAnsi" w:hAnsiTheme="majorHAnsi" w:cstheme="majorHAnsi"/>
                <w:sz w:val="18"/>
                <w:szCs w:val="18"/>
              </w:rPr>
            </w:pPr>
          </w:p>
        </w:tc>
        <w:tc>
          <w:tcPr>
            <w:tcW w:w="1701" w:type="dxa"/>
            <w:vAlign w:val="center"/>
          </w:tcPr>
          <w:p w14:paraId="695A4507"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22:00 – 6:00</w:t>
            </w:r>
          </w:p>
        </w:tc>
        <w:tc>
          <w:tcPr>
            <w:tcW w:w="567" w:type="dxa"/>
            <w:vAlign w:val="center"/>
          </w:tcPr>
          <w:p w14:paraId="4716FD87"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40</w:t>
            </w:r>
          </w:p>
        </w:tc>
        <w:tc>
          <w:tcPr>
            <w:tcW w:w="567" w:type="dxa"/>
            <w:vAlign w:val="center"/>
          </w:tcPr>
          <w:p w14:paraId="5808F1AB"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40</w:t>
            </w:r>
          </w:p>
        </w:tc>
        <w:tc>
          <w:tcPr>
            <w:tcW w:w="567" w:type="dxa"/>
            <w:vAlign w:val="center"/>
          </w:tcPr>
          <w:p w14:paraId="6A2C0DDA"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45</w:t>
            </w:r>
          </w:p>
        </w:tc>
        <w:tc>
          <w:tcPr>
            <w:tcW w:w="567" w:type="dxa"/>
            <w:vAlign w:val="center"/>
          </w:tcPr>
          <w:p w14:paraId="371C5124"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55</w:t>
            </w:r>
          </w:p>
        </w:tc>
      </w:tr>
      <w:tr w:rsidR="0062147C" w:rsidRPr="006070EA" w14:paraId="57CF4688" w14:textId="77777777" w:rsidTr="000C01C1">
        <w:trPr>
          <w:jc w:val="center"/>
        </w:trPr>
        <w:tc>
          <w:tcPr>
            <w:tcW w:w="5102" w:type="dxa"/>
            <w:vMerge w:val="restart"/>
            <w:vAlign w:val="center"/>
          </w:tcPr>
          <w:p w14:paraId="42A8610F" w14:textId="77777777" w:rsidR="00F23F27" w:rsidRPr="006070EA" w:rsidRDefault="00F23F27" w:rsidP="009E07E1">
            <w:pPr>
              <w:rPr>
                <w:rFonts w:asciiTheme="majorHAnsi" w:hAnsiTheme="majorHAnsi" w:cstheme="majorHAnsi"/>
                <w:sz w:val="18"/>
                <w:szCs w:val="18"/>
              </w:rPr>
            </w:pPr>
            <w:r w:rsidRPr="006070EA">
              <w:rPr>
                <w:rFonts w:asciiTheme="majorHAnsi" w:hAnsiTheme="majorHAnsi" w:cstheme="majorHAnsi"/>
                <w:sz w:val="18"/>
                <w:szCs w:val="18"/>
              </w:rPr>
              <w:t>chráněný venkovní prostor ostatních staveb a chráněný ostatní venkovní prostor</w:t>
            </w:r>
          </w:p>
        </w:tc>
        <w:tc>
          <w:tcPr>
            <w:tcW w:w="1701" w:type="dxa"/>
            <w:vAlign w:val="center"/>
          </w:tcPr>
          <w:p w14:paraId="50A05D7B"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6:00 – 22:00</w:t>
            </w:r>
          </w:p>
        </w:tc>
        <w:tc>
          <w:tcPr>
            <w:tcW w:w="567" w:type="dxa"/>
            <w:vAlign w:val="center"/>
          </w:tcPr>
          <w:p w14:paraId="332F1A24"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50</w:t>
            </w:r>
          </w:p>
        </w:tc>
        <w:tc>
          <w:tcPr>
            <w:tcW w:w="567" w:type="dxa"/>
            <w:vAlign w:val="center"/>
          </w:tcPr>
          <w:p w14:paraId="310AA47B"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55</w:t>
            </w:r>
          </w:p>
        </w:tc>
        <w:tc>
          <w:tcPr>
            <w:tcW w:w="567" w:type="dxa"/>
            <w:vAlign w:val="center"/>
          </w:tcPr>
          <w:p w14:paraId="0054CE84"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60</w:t>
            </w:r>
          </w:p>
        </w:tc>
        <w:tc>
          <w:tcPr>
            <w:tcW w:w="567" w:type="dxa"/>
            <w:vAlign w:val="center"/>
          </w:tcPr>
          <w:p w14:paraId="50834A89"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70</w:t>
            </w:r>
          </w:p>
        </w:tc>
      </w:tr>
      <w:tr w:rsidR="0062147C" w:rsidRPr="006070EA" w14:paraId="0CC152DD" w14:textId="77777777" w:rsidTr="000C01C1">
        <w:trPr>
          <w:jc w:val="center"/>
        </w:trPr>
        <w:tc>
          <w:tcPr>
            <w:tcW w:w="5102" w:type="dxa"/>
            <w:vMerge/>
            <w:vAlign w:val="center"/>
          </w:tcPr>
          <w:p w14:paraId="45D1B2B0" w14:textId="77777777" w:rsidR="00F23F27" w:rsidRPr="006070EA" w:rsidRDefault="00F23F27" w:rsidP="009E07E1">
            <w:pPr>
              <w:rPr>
                <w:rFonts w:asciiTheme="majorHAnsi" w:hAnsiTheme="majorHAnsi" w:cstheme="majorHAnsi"/>
                <w:sz w:val="18"/>
                <w:szCs w:val="18"/>
              </w:rPr>
            </w:pPr>
          </w:p>
        </w:tc>
        <w:tc>
          <w:tcPr>
            <w:tcW w:w="1701" w:type="dxa"/>
            <w:vAlign w:val="center"/>
          </w:tcPr>
          <w:p w14:paraId="18C0D744"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22:00 – 6:00</w:t>
            </w:r>
          </w:p>
        </w:tc>
        <w:tc>
          <w:tcPr>
            <w:tcW w:w="567" w:type="dxa"/>
            <w:vAlign w:val="center"/>
          </w:tcPr>
          <w:p w14:paraId="390F1090"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40</w:t>
            </w:r>
          </w:p>
        </w:tc>
        <w:tc>
          <w:tcPr>
            <w:tcW w:w="567" w:type="dxa"/>
            <w:vAlign w:val="center"/>
          </w:tcPr>
          <w:p w14:paraId="11FB3B62"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45</w:t>
            </w:r>
          </w:p>
        </w:tc>
        <w:tc>
          <w:tcPr>
            <w:tcW w:w="567" w:type="dxa"/>
            <w:vAlign w:val="center"/>
          </w:tcPr>
          <w:p w14:paraId="6E21D49F"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50</w:t>
            </w:r>
          </w:p>
        </w:tc>
        <w:tc>
          <w:tcPr>
            <w:tcW w:w="567" w:type="dxa"/>
            <w:vAlign w:val="center"/>
          </w:tcPr>
          <w:p w14:paraId="22E6D68B" w14:textId="77777777" w:rsidR="00F23F27" w:rsidRPr="006070EA" w:rsidRDefault="00F23F27" w:rsidP="009E07E1">
            <w:pPr>
              <w:jc w:val="center"/>
              <w:rPr>
                <w:rFonts w:asciiTheme="majorHAnsi" w:hAnsiTheme="majorHAnsi" w:cstheme="majorHAnsi"/>
                <w:sz w:val="18"/>
                <w:szCs w:val="18"/>
              </w:rPr>
            </w:pPr>
            <w:r w:rsidRPr="006070EA">
              <w:rPr>
                <w:rFonts w:asciiTheme="majorHAnsi" w:hAnsiTheme="majorHAnsi" w:cstheme="majorHAnsi"/>
                <w:sz w:val="18"/>
                <w:szCs w:val="18"/>
              </w:rPr>
              <w:t>60</w:t>
            </w:r>
          </w:p>
        </w:tc>
      </w:tr>
    </w:tbl>
    <w:p w14:paraId="6F949CE2" w14:textId="77777777" w:rsidR="00F23F27" w:rsidRPr="006070EA" w:rsidRDefault="00F23F27" w:rsidP="00DF1BB0">
      <w:pPr>
        <w:keepNext/>
        <w:spacing w:before="120" w:after="60" w:line="240" w:lineRule="auto"/>
        <w:ind w:firstLine="709"/>
        <w:jc w:val="both"/>
        <w:rPr>
          <w:rFonts w:asciiTheme="majorHAnsi" w:hAnsiTheme="majorHAnsi" w:cstheme="majorHAnsi"/>
          <w:sz w:val="18"/>
          <w:szCs w:val="18"/>
        </w:rPr>
      </w:pPr>
      <w:r w:rsidRPr="006070EA">
        <w:rPr>
          <w:rFonts w:asciiTheme="majorHAnsi" w:hAnsiTheme="majorHAnsi" w:cstheme="majorHAnsi"/>
          <w:i/>
          <w:sz w:val="18"/>
          <w:szCs w:val="18"/>
        </w:rPr>
        <w:t>Body limitních hladin hluku</w:t>
      </w:r>
      <w:r w:rsidRPr="006070EA">
        <w:rPr>
          <w:rFonts w:asciiTheme="majorHAnsi" w:hAnsiTheme="majorHAnsi" w:cstheme="majorHAnsi"/>
          <w:sz w:val="18"/>
          <w:szCs w:val="18"/>
        </w:rPr>
        <w:t>:</w:t>
      </w:r>
    </w:p>
    <w:p w14:paraId="33537793" w14:textId="77777777" w:rsidR="00F23F27" w:rsidRPr="006070EA" w:rsidRDefault="00F23F27" w:rsidP="0036779E">
      <w:pPr>
        <w:pStyle w:val="Odstavecseseznamem"/>
        <w:numPr>
          <w:ilvl w:val="2"/>
          <w:numId w:val="6"/>
        </w:numPr>
        <w:spacing w:after="60" w:line="240" w:lineRule="auto"/>
        <w:ind w:left="993" w:hanging="284"/>
        <w:jc w:val="both"/>
        <w:rPr>
          <w:rFonts w:asciiTheme="majorHAnsi" w:hAnsiTheme="majorHAnsi" w:cstheme="majorHAnsi"/>
          <w:sz w:val="18"/>
          <w:szCs w:val="18"/>
        </w:rPr>
      </w:pPr>
      <w:r w:rsidRPr="006070EA">
        <w:rPr>
          <w:rFonts w:asciiTheme="majorHAnsi" w:hAnsiTheme="majorHAnsi" w:cstheme="majorHAnsi"/>
          <w:sz w:val="18"/>
          <w:szCs w:val="18"/>
        </w:rPr>
        <w:t>Použije se pro hluk z provozu stacionárních zdrojů, z veřejné produkce hudby, pro hluk na účelových komunikacích a hluk ze železničních stanic zajišťujících vlakotvorné práce, zejm. rozřaďování a sestava nákladních vlaků, prohlídky vlaků a opravy vozů.</w:t>
      </w:r>
    </w:p>
    <w:p w14:paraId="241F046B" w14:textId="77777777" w:rsidR="00F23F27" w:rsidRPr="006070EA" w:rsidRDefault="00F23F27" w:rsidP="0036779E">
      <w:pPr>
        <w:pStyle w:val="Odstavecseseznamem"/>
        <w:numPr>
          <w:ilvl w:val="2"/>
          <w:numId w:val="6"/>
        </w:numPr>
        <w:spacing w:before="120" w:after="60" w:line="240" w:lineRule="auto"/>
        <w:ind w:left="993" w:hanging="284"/>
        <w:jc w:val="both"/>
        <w:rPr>
          <w:rFonts w:asciiTheme="majorHAnsi" w:hAnsiTheme="majorHAnsi" w:cstheme="majorHAnsi"/>
          <w:sz w:val="18"/>
          <w:szCs w:val="18"/>
        </w:rPr>
      </w:pPr>
      <w:r w:rsidRPr="006070EA">
        <w:rPr>
          <w:rFonts w:asciiTheme="majorHAnsi" w:hAnsiTheme="majorHAnsi" w:cstheme="majorHAnsi"/>
          <w:sz w:val="18"/>
          <w:szCs w:val="18"/>
        </w:rPr>
        <w:t>Použije se pro hluk z dopravy na silnicích III. třídy a místních komunikacích III. třídy a drah.</w:t>
      </w:r>
    </w:p>
    <w:p w14:paraId="54F93152" w14:textId="77777777" w:rsidR="00F23F27" w:rsidRPr="006070EA" w:rsidRDefault="00F23F27" w:rsidP="0036779E">
      <w:pPr>
        <w:pStyle w:val="Odstavecseseznamem"/>
        <w:numPr>
          <w:ilvl w:val="2"/>
          <w:numId w:val="6"/>
        </w:numPr>
        <w:spacing w:before="120" w:after="60" w:line="240" w:lineRule="auto"/>
        <w:ind w:left="993" w:hanging="284"/>
        <w:jc w:val="both"/>
        <w:rPr>
          <w:rFonts w:asciiTheme="majorHAnsi" w:hAnsiTheme="majorHAnsi" w:cstheme="majorHAnsi"/>
          <w:sz w:val="18"/>
          <w:szCs w:val="18"/>
        </w:rPr>
      </w:pPr>
      <w:r w:rsidRPr="006070EA">
        <w:rPr>
          <w:rFonts w:asciiTheme="majorHAnsi" w:hAnsiTheme="majorHAnsi" w:cstheme="majorHAnsi"/>
          <w:sz w:val="18"/>
          <w:szCs w:val="18"/>
        </w:rPr>
        <w:t>Použije se pro hluk z dopravy na dálnicích, silnicích I. a II. třídy a místních komunikacích I. a II. třídy v území, kde je hluk z dopravy na těchto komunikací převažující nad hlukem z dopravy na ostatních pozemních komunikacích. Použije se pro hluk z dopravy na drahách v ochranném pásmu dráhy.</w:t>
      </w:r>
    </w:p>
    <w:p w14:paraId="76E5F652" w14:textId="77777777" w:rsidR="00F23F27" w:rsidRPr="006070EA" w:rsidRDefault="00F23F27" w:rsidP="0036779E">
      <w:pPr>
        <w:pStyle w:val="Odstavecseseznamem"/>
        <w:numPr>
          <w:ilvl w:val="2"/>
          <w:numId w:val="6"/>
        </w:numPr>
        <w:spacing w:before="120" w:after="60" w:line="240" w:lineRule="auto"/>
        <w:ind w:left="993" w:hanging="284"/>
        <w:jc w:val="both"/>
        <w:rPr>
          <w:rFonts w:asciiTheme="majorHAnsi" w:hAnsiTheme="majorHAnsi" w:cstheme="majorHAnsi"/>
          <w:sz w:val="18"/>
          <w:szCs w:val="18"/>
        </w:rPr>
      </w:pPr>
      <w:r w:rsidRPr="006070EA">
        <w:rPr>
          <w:rFonts w:asciiTheme="majorHAnsi" w:hAnsiTheme="majorHAnsi" w:cstheme="majorHAnsi"/>
          <w:sz w:val="18"/>
          <w:szCs w:val="18"/>
        </w:rPr>
        <w:t>Použije se v případě staré hlukové zátěže z dopravy na pozemních komunikacích s výjimkou účelových komunikací a drahách uvedených v bodu 3. Tato korekce zůstává zachována i po položení nového povrchu vozovky, prováděné údržbě a rekonstrukci železničních drah nebo rozšíření vozovek při zachování směrového nebo výškového vedení pozemní komunikace nebo dráhy, při kterém nesmí dojít ke zhoršení stávající hlučnosti v chráněném venkovním prostoru a pro krátkodobé objízdné trasy. Tato korekce se dále použije i v chráněných venkovních prostorech staveb při umístění bytu v přístavbě nebo nástavbě stávajícího obytného objektu nebo víceúčelového objektu nebo v případě výstavby ojedinělého obytného nebo víceúčelového objektu v rámci dostavby proluk.</w:t>
      </w:r>
    </w:p>
    <w:p w14:paraId="6F279854" w14:textId="46270F56" w:rsidR="00F23F27" w:rsidRPr="006070EA" w:rsidRDefault="00F23F27" w:rsidP="009E07E1">
      <w:pPr>
        <w:spacing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Nebudou-li splněny limity hlukové zátěže podle § 12 nařízení vlády č. 272/2011 Sb. v zastavitelných plochách v blízkosti silnic III. třídy, bude zřejmé, že překročení limitů hlukové zátěže pochází z provozu na těchto silnicích a stavebník bude následně povinen v rámci stavby provést taková opatření, která povedou k odstranění negativních vlivů z provozu po silnicích, učiní tak na vlastní náklady. Tato podmínka se vztahuje na všechny případné stavby na zastavitelných plochách, které by mohly být ohroženy hlukem ze silnice III. třídy, nikoli jen na ty, které se vyskytují v jejich ochranném pásmu. Podmínka provedení výše uvedených opatření na náklady stavebníka se vztahuje i na případy, kdy by výstavba na zastavitelných plochách </w:t>
      </w:r>
      <w:r w:rsidRPr="006070EA">
        <w:rPr>
          <w:rFonts w:asciiTheme="majorHAnsi" w:hAnsiTheme="majorHAnsi" w:cstheme="majorHAnsi"/>
          <w:sz w:val="18"/>
          <w:szCs w:val="18"/>
        </w:rPr>
        <w:lastRenderedPageBreak/>
        <w:t>způsobila ve spojení s dopravou na předmětných silnicích (např. odrazem) ohrožení nepříznivými účinky hluku v zastavěném území.</w:t>
      </w:r>
    </w:p>
    <w:p w14:paraId="53080DB9" w14:textId="419F5758" w:rsidR="00A6707D" w:rsidRPr="006070EA" w:rsidRDefault="00A6707D" w:rsidP="00A6707D">
      <w:pPr>
        <w:spacing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Podmínka prokázání plnění hygienických limitů hluku v chráněném venkovním prostoru staveb platí zároveň pro další zdroje hluku v území, zejména železniční trať č. 023 a stacionární zdroje hluku (např. zemědělská výroba). </w:t>
      </w:r>
    </w:p>
    <w:p w14:paraId="5D0BC81F" w14:textId="77777777" w:rsidR="00E92BC7" w:rsidRPr="006070EA" w:rsidRDefault="00E92BC7" w:rsidP="009E07E1">
      <w:pPr>
        <w:pStyle w:val="Anadpispodtren"/>
        <w:rPr>
          <w:rFonts w:asciiTheme="majorHAnsi" w:hAnsiTheme="majorHAnsi" w:cstheme="majorHAnsi"/>
          <w:b/>
          <w:sz w:val="20"/>
          <w:u w:val="none"/>
        </w:rPr>
      </w:pPr>
      <w:r w:rsidRPr="006070EA">
        <w:rPr>
          <w:rFonts w:asciiTheme="majorHAnsi" w:hAnsiTheme="majorHAnsi" w:cstheme="majorHAnsi"/>
          <w:b/>
          <w:sz w:val="20"/>
          <w:u w:val="none"/>
        </w:rPr>
        <w:t xml:space="preserve">Odůvodnění navrhovaného řešení </w:t>
      </w:r>
    </w:p>
    <w:p w14:paraId="57ADA08D" w14:textId="71364C2B" w:rsidR="00D448B0" w:rsidRPr="006070EA" w:rsidRDefault="00D448B0" w:rsidP="00D448B0">
      <w:pPr>
        <w:keepNext/>
        <w:suppressAutoHyphens/>
        <w:spacing w:before="120" w:after="120" w:line="240" w:lineRule="auto"/>
        <w:jc w:val="right"/>
        <w:rPr>
          <w:rFonts w:asciiTheme="majorHAnsi" w:eastAsia="Times New Roman" w:hAnsiTheme="majorHAnsi" w:cstheme="majorHAnsi"/>
          <w:bCs/>
          <w:i/>
          <w:iCs/>
          <w:snapToGrid w:val="0"/>
          <w:sz w:val="18"/>
          <w:szCs w:val="20"/>
          <w:u w:val="single"/>
          <w:lang w:eastAsia="ar-SA"/>
        </w:rPr>
      </w:pPr>
      <w:r w:rsidRPr="006070EA">
        <w:rPr>
          <w:rFonts w:asciiTheme="majorHAnsi" w:eastAsia="Times New Roman" w:hAnsiTheme="majorHAnsi" w:cstheme="majorHAnsi"/>
          <w:bCs/>
          <w:i/>
          <w:iCs/>
          <w:snapToGrid w:val="0"/>
          <w:sz w:val="18"/>
          <w:szCs w:val="20"/>
          <w:u w:val="single"/>
          <w:lang w:eastAsia="ar-SA"/>
        </w:rPr>
        <w:t xml:space="preserve">Odůvodnění odst. </w:t>
      </w:r>
      <w:r w:rsidRPr="006070EA">
        <w:rPr>
          <w:rFonts w:asciiTheme="majorHAnsi" w:eastAsia="Times New Roman" w:hAnsiTheme="majorHAnsi" w:cstheme="majorHAnsi"/>
          <w:b/>
          <w:bCs/>
          <w:i/>
          <w:iCs/>
          <w:snapToGrid w:val="0"/>
          <w:sz w:val="18"/>
          <w:szCs w:val="20"/>
          <w:u w:val="single"/>
          <w:lang w:eastAsia="ar-SA"/>
        </w:rPr>
        <w:t xml:space="preserve">(20) </w:t>
      </w:r>
      <w:r w:rsidRPr="006070EA">
        <w:rPr>
          <w:rFonts w:asciiTheme="majorHAnsi" w:eastAsia="Times New Roman" w:hAnsiTheme="majorHAnsi" w:cstheme="majorHAnsi"/>
          <w:bCs/>
          <w:i/>
          <w:iCs/>
          <w:snapToGrid w:val="0"/>
          <w:sz w:val="18"/>
          <w:szCs w:val="20"/>
          <w:u w:val="single"/>
          <w:lang w:eastAsia="ar-SA"/>
        </w:rPr>
        <w:t>výrokové části</w:t>
      </w:r>
    </w:p>
    <w:p w14:paraId="35FFECB9" w14:textId="298610D3" w:rsidR="000D5AA5" w:rsidRPr="006070EA" w:rsidRDefault="000D5AA5" w:rsidP="000D5AA5">
      <w:pPr>
        <w:pStyle w:val="Atext"/>
        <w:rPr>
          <w:rFonts w:asciiTheme="majorHAnsi" w:hAnsiTheme="majorHAnsi" w:cstheme="majorHAnsi"/>
        </w:rPr>
      </w:pPr>
      <w:r w:rsidRPr="006070EA">
        <w:rPr>
          <w:rFonts w:asciiTheme="majorHAnsi" w:hAnsiTheme="majorHAnsi" w:cstheme="majorHAnsi"/>
        </w:rPr>
        <w:t xml:space="preserve">Systém silniční dopravy představuje síť pozemních komunikací ve smyslu zákona č. 13/1997 Sb., kde jsou pozemní komunikace dle § 2 definovány jako dopravní cesta určená k užití silničními a jinými vozidly a chodci, včetně pevných zařízení nutných pro zajištění tohoto užití a jeho bezpečnosti. Pozemní komunikace se dělí na kategorie dálnice, silnice, místní komunikace a účelové komunikace. Z hlediska základní komunikační sítě Územní plán hovoří tedy o silnicích a vybraných koridorech místních komunikací. </w:t>
      </w:r>
    </w:p>
    <w:p w14:paraId="280945F9" w14:textId="60B32672" w:rsidR="00E92BC7" w:rsidRPr="006070EA" w:rsidRDefault="00E92BC7" w:rsidP="000D5AA5">
      <w:pPr>
        <w:pStyle w:val="Atext"/>
        <w:rPr>
          <w:rFonts w:asciiTheme="majorHAnsi" w:hAnsiTheme="majorHAnsi" w:cstheme="majorHAnsi"/>
        </w:rPr>
      </w:pPr>
      <w:r w:rsidRPr="006070EA">
        <w:rPr>
          <w:rFonts w:asciiTheme="majorHAnsi" w:hAnsiTheme="majorHAnsi" w:cstheme="majorHAnsi"/>
        </w:rPr>
        <w:t>V souladu s § 9, odst. 2 a 3 vyhl. č. 501/2006 Sb., ve znění pozdějších předpisů, jsou pozemky silnic</w:t>
      </w:r>
      <w:r w:rsidR="000A790B" w:rsidRPr="006070EA">
        <w:rPr>
          <w:rFonts w:asciiTheme="majorHAnsi" w:hAnsiTheme="majorHAnsi" w:cstheme="majorHAnsi"/>
        </w:rPr>
        <w:t xml:space="preserve"> II.</w:t>
      </w:r>
      <w:r w:rsidR="00460AE5" w:rsidRPr="006070EA">
        <w:rPr>
          <w:rFonts w:asciiTheme="majorHAnsi" w:hAnsiTheme="majorHAnsi" w:cstheme="majorHAnsi"/>
        </w:rPr>
        <w:t> </w:t>
      </w:r>
      <w:r w:rsidR="000A790B" w:rsidRPr="006070EA">
        <w:rPr>
          <w:rFonts w:asciiTheme="majorHAnsi" w:hAnsiTheme="majorHAnsi" w:cstheme="majorHAnsi"/>
        </w:rPr>
        <w:t>a </w:t>
      </w:r>
      <w:r w:rsidRPr="006070EA">
        <w:rPr>
          <w:rFonts w:asciiTheme="majorHAnsi" w:hAnsiTheme="majorHAnsi" w:cstheme="majorHAnsi"/>
        </w:rPr>
        <w:t>III.</w:t>
      </w:r>
      <w:r w:rsidR="00460AE5" w:rsidRPr="006070EA">
        <w:rPr>
          <w:rFonts w:asciiTheme="majorHAnsi" w:hAnsiTheme="majorHAnsi" w:cstheme="majorHAnsi"/>
        </w:rPr>
        <w:t> </w:t>
      </w:r>
      <w:r w:rsidRPr="006070EA">
        <w:rPr>
          <w:rFonts w:asciiTheme="majorHAnsi" w:hAnsiTheme="majorHAnsi" w:cstheme="majorHAnsi"/>
        </w:rPr>
        <w:t xml:space="preserve">třídy zahrnuty do ploch </w:t>
      </w:r>
      <w:r w:rsidR="00892475" w:rsidRPr="006070EA">
        <w:rPr>
          <w:rFonts w:asciiTheme="majorHAnsi" w:hAnsiTheme="majorHAnsi" w:cstheme="majorHAnsi"/>
          <w:i/>
        </w:rPr>
        <w:t>doprava</w:t>
      </w:r>
      <w:r w:rsidRPr="006070EA">
        <w:rPr>
          <w:rFonts w:asciiTheme="majorHAnsi" w:hAnsiTheme="majorHAnsi" w:cstheme="majorHAnsi"/>
          <w:i/>
        </w:rPr>
        <w:t xml:space="preserve"> silniční</w:t>
      </w:r>
      <w:r w:rsidRPr="006070EA">
        <w:rPr>
          <w:rFonts w:asciiTheme="majorHAnsi" w:hAnsiTheme="majorHAnsi" w:cstheme="majorHAnsi"/>
        </w:rPr>
        <w:t xml:space="preserve"> (DS). Důvodem je zejména intenzita dopravy a</w:t>
      </w:r>
      <w:r w:rsidR="00BD33CF" w:rsidRPr="006070EA">
        <w:rPr>
          <w:rFonts w:asciiTheme="majorHAnsi" w:hAnsiTheme="majorHAnsi" w:cstheme="majorHAnsi"/>
        </w:rPr>
        <w:t> </w:t>
      </w:r>
      <w:r w:rsidRPr="006070EA">
        <w:rPr>
          <w:rFonts w:asciiTheme="majorHAnsi" w:hAnsiTheme="majorHAnsi" w:cstheme="majorHAnsi"/>
        </w:rPr>
        <w:t xml:space="preserve">její negativní vlivy, které vylučují začlenění těchto pozemků do ploch jiného způsobu využití. Vymezení ploch </w:t>
      </w:r>
      <w:r w:rsidR="00892475" w:rsidRPr="006070EA">
        <w:rPr>
          <w:rFonts w:asciiTheme="majorHAnsi" w:hAnsiTheme="majorHAnsi" w:cstheme="majorHAnsi"/>
          <w:i/>
        </w:rPr>
        <w:t>dopravy</w:t>
      </w:r>
      <w:r w:rsidRPr="006070EA">
        <w:rPr>
          <w:rFonts w:asciiTheme="majorHAnsi" w:hAnsiTheme="majorHAnsi" w:cstheme="majorHAnsi"/>
          <w:i/>
        </w:rPr>
        <w:t xml:space="preserve"> silniční</w:t>
      </w:r>
      <w:r w:rsidRPr="006070EA">
        <w:rPr>
          <w:rFonts w:asciiTheme="majorHAnsi" w:hAnsiTheme="majorHAnsi" w:cstheme="majorHAnsi"/>
        </w:rPr>
        <w:t xml:space="preserve"> (DS) je také nezbytné k zajištění dopravní přístupnosti ostatních ploch (např.</w:t>
      </w:r>
      <w:r w:rsidR="00BD33CF" w:rsidRPr="006070EA">
        <w:rPr>
          <w:rFonts w:asciiTheme="majorHAnsi" w:hAnsiTheme="majorHAnsi" w:cstheme="majorHAnsi"/>
        </w:rPr>
        <w:t> </w:t>
      </w:r>
      <w:r w:rsidRPr="006070EA">
        <w:rPr>
          <w:rFonts w:asciiTheme="majorHAnsi" w:hAnsiTheme="majorHAnsi" w:cstheme="majorHAnsi"/>
        </w:rPr>
        <w:t xml:space="preserve">ploch bydlení, </w:t>
      </w:r>
      <w:r w:rsidR="00460AE5" w:rsidRPr="006070EA">
        <w:rPr>
          <w:rFonts w:asciiTheme="majorHAnsi" w:hAnsiTheme="majorHAnsi" w:cstheme="majorHAnsi"/>
        </w:rPr>
        <w:t xml:space="preserve">smíšených venkovských, </w:t>
      </w:r>
      <w:r w:rsidRPr="006070EA">
        <w:rPr>
          <w:rFonts w:asciiTheme="majorHAnsi" w:hAnsiTheme="majorHAnsi" w:cstheme="majorHAnsi"/>
        </w:rPr>
        <w:t>výroby, občanského vybavení atd.).</w:t>
      </w:r>
    </w:p>
    <w:p w14:paraId="06CE2CD7" w14:textId="7129ECA5" w:rsidR="00E92BC7" w:rsidRPr="006070EA" w:rsidRDefault="00E92BC7" w:rsidP="000D5AA5">
      <w:pPr>
        <w:pStyle w:val="Atext"/>
        <w:rPr>
          <w:rFonts w:asciiTheme="majorHAnsi" w:hAnsiTheme="majorHAnsi" w:cstheme="majorHAnsi"/>
        </w:rPr>
      </w:pPr>
      <w:r w:rsidRPr="006070EA">
        <w:rPr>
          <w:rFonts w:asciiTheme="majorHAnsi" w:hAnsiTheme="majorHAnsi" w:cstheme="majorHAnsi"/>
        </w:rPr>
        <w:t>Místní komunikace jsou v územním plánu zařazeny převážně do ploch veřejných prostranství (P</w:t>
      </w:r>
      <w:r w:rsidR="00892475" w:rsidRPr="006070EA">
        <w:rPr>
          <w:rFonts w:asciiTheme="majorHAnsi" w:hAnsiTheme="majorHAnsi" w:cstheme="majorHAnsi"/>
        </w:rPr>
        <w:t>U</w:t>
      </w:r>
      <w:r w:rsidRPr="006070EA">
        <w:rPr>
          <w:rFonts w:asciiTheme="majorHAnsi" w:hAnsiTheme="majorHAnsi" w:cstheme="majorHAnsi"/>
        </w:rPr>
        <w:t xml:space="preserve">). Jejich dopravní funkce je zejména v zastavěném území doplněna ostatními funkcemi (pobytovou, rekreační, společenskou apod.). Součástí veřejných prostranství jsou vegetační plochy, liniové výsadby apod. </w:t>
      </w:r>
    </w:p>
    <w:p w14:paraId="2E9ADD3E" w14:textId="77777777" w:rsidR="00E92BC7" w:rsidRPr="006070EA" w:rsidRDefault="00E92BC7" w:rsidP="000D5AA5">
      <w:pPr>
        <w:pStyle w:val="Atext"/>
        <w:rPr>
          <w:rFonts w:asciiTheme="majorHAnsi" w:hAnsiTheme="majorHAnsi" w:cstheme="majorHAnsi"/>
        </w:rPr>
      </w:pPr>
      <w:r w:rsidRPr="006070EA">
        <w:rPr>
          <w:rFonts w:asciiTheme="majorHAnsi" w:hAnsiTheme="majorHAnsi" w:cstheme="majorHAnsi"/>
        </w:rPr>
        <w:t xml:space="preserve">Účelové komunikace jsou s ohledem na jejich dopravní význam </w:t>
      </w:r>
      <w:r w:rsidR="000A790B" w:rsidRPr="006070EA">
        <w:rPr>
          <w:rFonts w:asciiTheme="majorHAnsi" w:hAnsiTheme="majorHAnsi" w:cstheme="majorHAnsi"/>
        </w:rPr>
        <w:t xml:space="preserve">zpravidla </w:t>
      </w:r>
      <w:r w:rsidRPr="006070EA">
        <w:rPr>
          <w:rFonts w:asciiTheme="majorHAnsi" w:hAnsiTheme="majorHAnsi" w:cstheme="majorHAnsi"/>
        </w:rPr>
        <w:t xml:space="preserve">součástí navazujících ploch s rozdílným způsobem využití. Jejich začlenění do ostatních ploch s rozdílným způsobem využití </w:t>
      </w:r>
      <w:r w:rsidR="000A790B" w:rsidRPr="006070EA">
        <w:rPr>
          <w:rFonts w:asciiTheme="majorHAnsi" w:hAnsiTheme="majorHAnsi" w:cstheme="majorHAnsi"/>
        </w:rPr>
        <w:t>nevylučuje</w:t>
      </w:r>
      <w:r w:rsidRPr="006070EA">
        <w:rPr>
          <w:rFonts w:asciiTheme="majorHAnsi" w:hAnsiTheme="majorHAnsi" w:cstheme="majorHAnsi"/>
        </w:rPr>
        <w:t xml:space="preserve"> využívání pro dopravní účely.</w:t>
      </w:r>
    </w:p>
    <w:p w14:paraId="69150B4E" w14:textId="0F4412A2" w:rsidR="00460AE5" w:rsidRPr="006070EA" w:rsidRDefault="00460AE5" w:rsidP="000D5AA5">
      <w:pPr>
        <w:pStyle w:val="Atext"/>
        <w:rPr>
          <w:rFonts w:asciiTheme="majorHAnsi" w:hAnsiTheme="majorHAnsi" w:cstheme="majorHAnsi"/>
          <w:i/>
        </w:rPr>
      </w:pPr>
      <w:r w:rsidRPr="006070EA">
        <w:rPr>
          <w:rFonts w:asciiTheme="majorHAnsi" w:hAnsiTheme="majorHAnsi" w:cstheme="majorHAnsi"/>
        </w:rPr>
        <w:t xml:space="preserve">Záměry na opravu a modernizaci dílčích úseků silnic v řešeném území jsou územním plánem podpořeny stanovenými podmínkami využití v rámci ploch </w:t>
      </w:r>
      <w:r w:rsidR="00892475" w:rsidRPr="006070EA">
        <w:rPr>
          <w:rFonts w:asciiTheme="majorHAnsi" w:hAnsiTheme="majorHAnsi" w:cstheme="majorHAnsi"/>
          <w:i/>
        </w:rPr>
        <w:t>dopravy</w:t>
      </w:r>
      <w:r w:rsidRPr="006070EA">
        <w:rPr>
          <w:rFonts w:asciiTheme="majorHAnsi" w:hAnsiTheme="majorHAnsi" w:cstheme="majorHAnsi"/>
          <w:i/>
        </w:rPr>
        <w:t xml:space="preserve"> silniční</w:t>
      </w:r>
      <w:r w:rsidRPr="006070EA">
        <w:rPr>
          <w:rFonts w:asciiTheme="majorHAnsi" w:hAnsiTheme="majorHAnsi" w:cstheme="majorHAnsi"/>
        </w:rPr>
        <w:t xml:space="preserve"> (DS). </w:t>
      </w:r>
    </w:p>
    <w:p w14:paraId="675F8C78" w14:textId="77777777" w:rsidR="00E92BC7" w:rsidRPr="006070EA" w:rsidRDefault="00E92BC7" w:rsidP="000D5AA5">
      <w:pPr>
        <w:pStyle w:val="Atext"/>
        <w:rPr>
          <w:rFonts w:asciiTheme="majorHAnsi" w:hAnsiTheme="majorHAnsi" w:cstheme="majorHAnsi"/>
        </w:rPr>
      </w:pPr>
      <w:r w:rsidRPr="006070EA">
        <w:rPr>
          <w:rFonts w:asciiTheme="majorHAnsi" w:hAnsiTheme="majorHAnsi" w:cstheme="majorHAnsi"/>
        </w:rPr>
        <w:t xml:space="preserve">Veškeré zastavitelné plochy jsou vymezeny ve vazbě na stávající komunikační skelet v území. Pro jednotlivé zastavitelné plochy budou zřízeny, resp. prodlouženy místní komunikace, které naváží na stávající dopravní systém území. Způsob napojení je nutno řešit v souvislosti se způsobem zástavby jednotlivých, zejména rozsáhlejších zastavitelných ploch. Dopravní řešení v rámci zastavitelných ploch bude navrženo s ohledem na způsob jejich zastavění a bude řešeno v navazujících řízeních. </w:t>
      </w:r>
    </w:p>
    <w:p w14:paraId="579CCF54" w14:textId="77777777" w:rsidR="00E92BC7" w:rsidRPr="006070EA" w:rsidRDefault="00E92BC7" w:rsidP="000D5AA5">
      <w:pPr>
        <w:pStyle w:val="Atext"/>
        <w:rPr>
          <w:rFonts w:asciiTheme="majorHAnsi" w:hAnsiTheme="majorHAnsi" w:cstheme="majorHAnsi"/>
        </w:rPr>
      </w:pPr>
      <w:r w:rsidRPr="006070EA">
        <w:rPr>
          <w:rFonts w:asciiTheme="majorHAnsi" w:hAnsiTheme="majorHAnsi" w:cstheme="majorHAnsi"/>
        </w:rPr>
        <w:t>Při návrhu parcelace zastavitelných ploch je nutné stanovit dostatečný prostor pro vedení komunikací, chodníků a</w:t>
      </w:r>
      <w:r w:rsidR="000A790B" w:rsidRPr="006070EA">
        <w:rPr>
          <w:rFonts w:asciiTheme="majorHAnsi" w:hAnsiTheme="majorHAnsi" w:cstheme="majorHAnsi"/>
        </w:rPr>
        <w:t> </w:t>
      </w:r>
      <w:r w:rsidRPr="006070EA">
        <w:rPr>
          <w:rFonts w:asciiTheme="majorHAnsi" w:hAnsiTheme="majorHAnsi" w:cstheme="majorHAnsi"/>
        </w:rPr>
        <w:t>inženýrských sítí o minimální šířce 9 m mezi oploceními. Je též nutno respektovat požadavky na plochy pro výstavbu křižovatek (napojení) a potřebných rozhledových polí. Ke každé stavbě rodinného domu nebo stavbě pro rodinnou rekreaci nebo souvislé skupině těchto staveb musí vést zpevněná pozemní komunikace šířky nejméně 2,5 m a končící nejdále 50 m od stavby. Dopravní připojení staveb musí splňovat požadavky na dopravní obslužnost, parkování a přístup požární techniky. Úpravy dopravní sítě je nutno realizovat s ohledem na zajištění řádného příjezdu a průjezdu mobilní techniky hasičských záchranných sborů.</w:t>
      </w:r>
    </w:p>
    <w:p w14:paraId="35CAAD65" w14:textId="1FB89C0B" w:rsidR="00E92BC7" w:rsidRPr="006070EA" w:rsidRDefault="00E92BC7" w:rsidP="000D5AA5">
      <w:pPr>
        <w:pStyle w:val="Atext"/>
        <w:rPr>
          <w:rFonts w:asciiTheme="majorHAnsi" w:hAnsiTheme="majorHAnsi" w:cstheme="majorHAnsi"/>
        </w:rPr>
      </w:pPr>
      <w:r w:rsidRPr="006070EA">
        <w:rPr>
          <w:rFonts w:asciiTheme="majorHAnsi" w:hAnsiTheme="majorHAnsi" w:cstheme="majorHAnsi"/>
        </w:rPr>
        <w:t xml:space="preserve">Při navrhování a realizaci všech dopravních staveb je nutno dodržet požadované parametry a ustanovení příslušných platných ČSN </w:t>
      </w:r>
      <w:r w:rsidR="000A790B" w:rsidRPr="006070EA">
        <w:rPr>
          <w:rFonts w:asciiTheme="majorHAnsi" w:hAnsiTheme="majorHAnsi" w:cstheme="majorHAnsi"/>
        </w:rPr>
        <w:t xml:space="preserve">a souvisejících předpisů. Šířka </w:t>
      </w:r>
      <w:r w:rsidRPr="006070EA">
        <w:rPr>
          <w:rFonts w:asciiTheme="majorHAnsi" w:hAnsiTheme="majorHAnsi" w:cstheme="majorHAnsi"/>
        </w:rPr>
        <w:t>veřejných prostranstv</w:t>
      </w:r>
      <w:r w:rsidR="00DE2ABD" w:rsidRPr="006070EA">
        <w:rPr>
          <w:rFonts w:asciiTheme="majorHAnsi" w:hAnsiTheme="majorHAnsi" w:cstheme="majorHAnsi"/>
        </w:rPr>
        <w:t>í, jejichž součástí je komunikace,</w:t>
      </w:r>
      <w:r w:rsidRPr="006070EA">
        <w:rPr>
          <w:rFonts w:asciiTheme="majorHAnsi" w:hAnsiTheme="majorHAnsi" w:cstheme="majorHAnsi"/>
        </w:rPr>
        <w:t xml:space="preserve"> musí být v</w:t>
      </w:r>
      <w:r w:rsidR="000A790B" w:rsidRPr="006070EA">
        <w:rPr>
          <w:rFonts w:asciiTheme="majorHAnsi" w:hAnsiTheme="majorHAnsi" w:cstheme="majorHAnsi"/>
        </w:rPr>
        <w:t> </w:t>
      </w:r>
      <w:r w:rsidRPr="006070EA">
        <w:rPr>
          <w:rFonts w:asciiTheme="majorHAnsi" w:hAnsiTheme="majorHAnsi" w:cstheme="majorHAnsi"/>
        </w:rPr>
        <w:t>souladu s § 22 vyhlášky č. 501/2006 Sb. Nejmenší šířka veřejného prostranství, jehož součástí je pozemní komunikace zpřístupňující pozemek bytového domu, je 12 m. Při jednosměrném provozu lze tuto šířku snížit až na 10,5 m. Nejmenší šířka veřejného prostranství, jehož součástí je pozemní komunikace zpřístupňující pozemek rodinného domu, je 8 m. Při</w:t>
      </w:r>
      <w:r w:rsidR="000A790B" w:rsidRPr="006070EA">
        <w:rPr>
          <w:rFonts w:asciiTheme="majorHAnsi" w:hAnsiTheme="majorHAnsi" w:cstheme="majorHAnsi"/>
        </w:rPr>
        <w:t> </w:t>
      </w:r>
      <w:r w:rsidRPr="006070EA">
        <w:rPr>
          <w:rFonts w:asciiTheme="majorHAnsi" w:hAnsiTheme="majorHAnsi" w:cstheme="majorHAnsi"/>
        </w:rPr>
        <w:t xml:space="preserve">jednosměrném provozu lze tuto šířku snížit až na 6,5 m. </w:t>
      </w:r>
    </w:p>
    <w:p w14:paraId="27DAA26F" w14:textId="5FDCCC34" w:rsidR="00D448B0" w:rsidRPr="006070EA" w:rsidRDefault="00D448B0" w:rsidP="00D448B0">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F75A32" w:rsidRPr="006070EA">
        <w:rPr>
          <w:rFonts w:asciiTheme="majorHAnsi" w:hAnsiTheme="majorHAnsi" w:cstheme="majorHAnsi"/>
          <w:b/>
          <w:i/>
          <w:snapToGrid w:val="0"/>
          <w:u w:val="single"/>
        </w:rPr>
        <w:t>21</w:t>
      </w:r>
      <w:r w:rsidRPr="006070EA">
        <w:rPr>
          <w:rFonts w:asciiTheme="majorHAnsi" w:hAnsiTheme="majorHAnsi" w:cstheme="majorHAnsi"/>
          <w:b/>
          <w:i/>
          <w:snapToGrid w:val="0"/>
          <w:u w:val="single"/>
        </w:rPr>
        <w:t>)</w:t>
      </w:r>
      <w:r w:rsidR="00F75A32"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040903E6" w14:textId="1B86B203" w:rsidR="000D5AA5" w:rsidRPr="00A76411" w:rsidRDefault="000D5AA5" w:rsidP="000D5AA5">
      <w:pPr>
        <w:pStyle w:val="Atext"/>
        <w:rPr>
          <w:rFonts w:asciiTheme="majorHAnsi" w:hAnsiTheme="majorHAnsi" w:cstheme="majorHAnsi"/>
        </w:rPr>
      </w:pPr>
      <w:r w:rsidRPr="00A76411">
        <w:rPr>
          <w:rFonts w:asciiTheme="majorHAnsi" w:hAnsiTheme="majorHAnsi" w:cstheme="majorHAnsi"/>
        </w:rPr>
        <w:t>Podrobné odůvodnění vymezení zastaviteln</w:t>
      </w:r>
      <w:r w:rsidR="00244BC2" w:rsidRPr="00A76411">
        <w:rPr>
          <w:rFonts w:asciiTheme="majorHAnsi" w:hAnsiTheme="majorHAnsi" w:cstheme="majorHAnsi"/>
        </w:rPr>
        <w:t>ých</w:t>
      </w:r>
      <w:r w:rsidRPr="00A76411">
        <w:rPr>
          <w:rFonts w:asciiTheme="majorHAnsi" w:hAnsiTheme="majorHAnsi" w:cstheme="majorHAnsi"/>
        </w:rPr>
        <w:t xml:space="preserve"> ploch pro rozvoj silniční dopravy je součástí komplexního zdůvodnění přijatého řešení a podrobně je uvedeno v kapitole 11.3.3. Odůvodnění vymezení směrů zajištění prostupnosti území veřejným prostranstvím je uvedeno v kapitole 11.4.2.</w:t>
      </w:r>
    </w:p>
    <w:p w14:paraId="1C0CBBD4" w14:textId="2C08E9DF" w:rsidR="00F75A32" w:rsidRPr="006070EA" w:rsidRDefault="00F75A32" w:rsidP="00F75A32">
      <w:pPr>
        <w:pStyle w:val="Atext"/>
        <w:rPr>
          <w:rFonts w:asciiTheme="majorHAnsi" w:hAnsiTheme="majorHAnsi" w:cstheme="majorHAnsi"/>
        </w:rPr>
      </w:pPr>
      <w:r w:rsidRPr="00A76411">
        <w:rPr>
          <w:rFonts w:asciiTheme="majorHAnsi" w:hAnsiTheme="majorHAnsi" w:cstheme="majorHAnsi"/>
        </w:rPr>
        <w:t xml:space="preserve">Dalším dopravním záměrem, řešeným v ÚP Kostomlaty nad Labem, je přeložka silnice III. třídy III/3317 a její mimoúrovňové křížení se železniční tratí. Tento záměr je řešen v rámci koridoru </w:t>
      </w:r>
      <w:r w:rsidR="00244BC2" w:rsidRPr="00A76411">
        <w:rPr>
          <w:rFonts w:asciiTheme="majorHAnsi" w:hAnsiTheme="majorHAnsi" w:cstheme="majorHAnsi"/>
        </w:rPr>
        <w:t xml:space="preserve">dopravní infrastruktury pro </w:t>
      </w:r>
      <w:r w:rsidR="00E82842" w:rsidRPr="00A76411">
        <w:rPr>
          <w:rFonts w:asciiTheme="majorHAnsi" w:hAnsiTheme="majorHAnsi" w:cstheme="majorHAnsi"/>
        </w:rPr>
        <w:t>doprav</w:t>
      </w:r>
      <w:r w:rsidR="00244BC2" w:rsidRPr="00A76411">
        <w:rPr>
          <w:rFonts w:asciiTheme="majorHAnsi" w:hAnsiTheme="majorHAnsi" w:cstheme="majorHAnsi"/>
        </w:rPr>
        <w:t>u</w:t>
      </w:r>
      <w:r w:rsidR="00E82842" w:rsidRPr="00A76411">
        <w:rPr>
          <w:rFonts w:asciiTheme="majorHAnsi" w:hAnsiTheme="majorHAnsi" w:cstheme="majorHAnsi"/>
        </w:rPr>
        <w:t xml:space="preserve"> drážní</w:t>
      </w:r>
      <w:r w:rsidRPr="00A76411">
        <w:rPr>
          <w:rFonts w:asciiTheme="majorHAnsi" w:hAnsiTheme="majorHAnsi" w:cstheme="majorHAnsi"/>
        </w:rPr>
        <w:t xml:space="preserve"> </w:t>
      </w:r>
      <w:r w:rsidR="00E82842" w:rsidRPr="00A76411">
        <w:rPr>
          <w:rFonts w:asciiTheme="majorHAnsi" w:hAnsiTheme="majorHAnsi" w:cstheme="majorHAnsi"/>
        </w:rPr>
        <w:t>CN</w:t>
      </w:r>
      <w:r w:rsidR="00244BC2" w:rsidRPr="00A76411">
        <w:rPr>
          <w:rFonts w:asciiTheme="majorHAnsi" w:hAnsiTheme="majorHAnsi" w:cstheme="majorHAnsi"/>
        </w:rPr>
        <w:t>Z</w:t>
      </w:r>
      <w:r w:rsidR="00E82842" w:rsidRPr="00A76411">
        <w:rPr>
          <w:rFonts w:asciiTheme="majorHAnsi" w:hAnsiTheme="majorHAnsi" w:cstheme="majorHAnsi"/>
        </w:rPr>
        <w:t>.</w:t>
      </w:r>
      <w:r w:rsidR="00244BC2" w:rsidRPr="00A76411">
        <w:rPr>
          <w:rFonts w:asciiTheme="majorHAnsi" w:hAnsiTheme="majorHAnsi" w:cstheme="majorHAnsi"/>
        </w:rPr>
        <w:t xml:space="preserve">D322, vymezeném v souladu se ZÚR SK, </w:t>
      </w:r>
      <w:r w:rsidRPr="00A76411">
        <w:rPr>
          <w:rFonts w:asciiTheme="majorHAnsi" w:hAnsiTheme="majorHAnsi" w:cstheme="majorHAnsi"/>
        </w:rPr>
        <w:t>pro modernizaci železniční trati Lysá nad Labem – Nymbur</w:t>
      </w:r>
      <w:r w:rsidR="00244BC2" w:rsidRPr="00A76411">
        <w:rPr>
          <w:rFonts w:asciiTheme="majorHAnsi" w:hAnsiTheme="majorHAnsi" w:cstheme="majorHAnsi"/>
        </w:rPr>
        <w:t>k a v rámci koridorů dopravní infrastruktury CNU.KD1</w:t>
      </w:r>
      <w:r w:rsidR="00C208DE" w:rsidRPr="00A76411">
        <w:rPr>
          <w:rFonts w:asciiTheme="majorHAnsi" w:hAnsiTheme="majorHAnsi" w:cstheme="majorHAnsi"/>
        </w:rPr>
        <w:t>,</w:t>
      </w:r>
      <w:r w:rsidR="00244BC2" w:rsidRPr="00A76411">
        <w:rPr>
          <w:rFonts w:asciiTheme="majorHAnsi" w:hAnsiTheme="majorHAnsi" w:cstheme="majorHAnsi"/>
        </w:rPr>
        <w:t xml:space="preserve"> CNU.KD2</w:t>
      </w:r>
      <w:r w:rsidR="00C208DE" w:rsidRPr="00A76411">
        <w:rPr>
          <w:rFonts w:asciiTheme="majorHAnsi" w:hAnsiTheme="majorHAnsi" w:cstheme="majorHAnsi"/>
        </w:rPr>
        <w:t>, CNU.KD3</w:t>
      </w:r>
      <w:r w:rsidR="00244BC2" w:rsidRPr="00A76411">
        <w:rPr>
          <w:rFonts w:asciiTheme="majorHAnsi" w:hAnsiTheme="majorHAnsi" w:cstheme="majorHAnsi"/>
        </w:rPr>
        <w:t xml:space="preserve"> vymezených pro stavby související s modernizací železniční trati v koridoru CNZ.D322</w:t>
      </w:r>
      <w:r w:rsidRPr="00A76411">
        <w:rPr>
          <w:rFonts w:asciiTheme="majorHAnsi" w:hAnsiTheme="majorHAnsi" w:cstheme="majorHAnsi"/>
        </w:rPr>
        <w:t xml:space="preserve">, blíže viz oddíl Železniční doprava této kapitoly Odůvodnění, resp. také kapitola 4 </w:t>
      </w:r>
      <w:r w:rsidRPr="00A76411">
        <w:rPr>
          <w:rFonts w:asciiTheme="majorHAnsi" w:hAnsiTheme="majorHAnsi" w:cstheme="majorHAnsi"/>
          <w:i/>
          <w:iCs w:val="0"/>
        </w:rPr>
        <w:t>Výčet záležitostí nadmístního významu, které nejsou řešeny v zásadách územního rozvoje</w:t>
      </w:r>
      <w:r w:rsidRPr="00A76411">
        <w:rPr>
          <w:rFonts w:asciiTheme="majorHAnsi" w:hAnsiTheme="majorHAnsi" w:cstheme="majorHAnsi"/>
        </w:rPr>
        <w:t>.</w:t>
      </w:r>
    </w:p>
    <w:p w14:paraId="4280AD0B" w14:textId="5BBCDD42" w:rsidR="00D448B0" w:rsidRPr="006070EA" w:rsidRDefault="00D448B0" w:rsidP="00D448B0">
      <w:pPr>
        <w:pStyle w:val="Atext"/>
        <w:rPr>
          <w:rFonts w:asciiTheme="majorHAnsi" w:hAnsiTheme="majorHAnsi" w:cstheme="majorHAnsi"/>
        </w:rPr>
      </w:pPr>
      <w:r w:rsidRPr="006070EA">
        <w:rPr>
          <w:rFonts w:asciiTheme="majorHAnsi" w:hAnsiTheme="majorHAnsi" w:cstheme="majorHAnsi"/>
        </w:rPr>
        <w:t>Koridory dopravní infrastruktury jsou vymezeny v případech, kdy přesné umístění dopravní stavby není známo a je nutné jej prověřit a zpřesnit v rámci podrobnějších podkladů a dokumentací, případně pro zajištění dostatečného prostoru pro realizaci souvisejících staveb a opatření. Vymezení překryvného koridoru nad odlišnými plochami s</w:t>
      </w:r>
      <w:r w:rsidR="00E82842" w:rsidRPr="006070EA">
        <w:rPr>
          <w:rFonts w:asciiTheme="majorHAnsi" w:hAnsiTheme="majorHAnsi" w:cstheme="majorHAnsi"/>
        </w:rPr>
        <w:t> </w:t>
      </w:r>
      <w:r w:rsidRPr="006070EA">
        <w:rPr>
          <w:rFonts w:asciiTheme="majorHAnsi" w:hAnsiTheme="majorHAnsi" w:cstheme="majorHAnsi"/>
        </w:rPr>
        <w:t>rozdílným způsobem využití představuje způsob, jak vytvořit předpoklady pro umístění dopravní stavby v</w:t>
      </w:r>
      <w:r w:rsidR="00F75A32" w:rsidRPr="006070EA">
        <w:rPr>
          <w:rFonts w:asciiTheme="majorHAnsi" w:hAnsiTheme="majorHAnsi" w:cstheme="majorHAnsi"/>
        </w:rPr>
        <w:t> </w:t>
      </w:r>
      <w:r w:rsidRPr="006070EA">
        <w:rPr>
          <w:rFonts w:asciiTheme="majorHAnsi" w:hAnsiTheme="majorHAnsi" w:cstheme="majorHAnsi"/>
        </w:rPr>
        <w:t xml:space="preserve">optimální poloze bez nutnosti změny ÚP; jedná se </w:t>
      </w:r>
      <w:r w:rsidRPr="006070EA">
        <w:rPr>
          <w:rFonts w:asciiTheme="majorHAnsi" w:hAnsiTheme="majorHAnsi" w:cstheme="majorHAnsi"/>
        </w:rPr>
        <w:lastRenderedPageBreak/>
        <w:t>o výhodnější variantu</w:t>
      </w:r>
      <w:r w:rsidR="00106C28" w:rsidRPr="006070EA">
        <w:rPr>
          <w:rFonts w:asciiTheme="majorHAnsi" w:hAnsiTheme="majorHAnsi" w:cstheme="majorHAnsi"/>
        </w:rPr>
        <w:t>,</w:t>
      </w:r>
      <w:r w:rsidRPr="006070EA">
        <w:rPr>
          <w:rFonts w:asciiTheme="majorHAnsi" w:hAnsiTheme="majorHAnsi" w:cstheme="majorHAnsi"/>
        </w:rPr>
        <w:t xml:space="preserve"> než je varianta vymezení konkrétní užší zastavitelné plochy či plochy přestavby, která se uplatní v</w:t>
      </w:r>
      <w:r w:rsidR="00244BC2">
        <w:rPr>
          <w:rFonts w:asciiTheme="majorHAnsi" w:hAnsiTheme="majorHAnsi" w:cstheme="majorHAnsi"/>
        </w:rPr>
        <w:t> </w:t>
      </w:r>
      <w:r w:rsidRPr="006070EA">
        <w:rPr>
          <w:rFonts w:asciiTheme="majorHAnsi" w:hAnsiTheme="majorHAnsi" w:cstheme="majorHAnsi"/>
        </w:rPr>
        <w:t xml:space="preserve">případě, kdy je trasa dopravní stavby již podrobněji prověřena. </w:t>
      </w:r>
    </w:p>
    <w:p w14:paraId="5D7B4859" w14:textId="77777777" w:rsidR="00D448B0" w:rsidRPr="006070EA" w:rsidRDefault="00D448B0" w:rsidP="00D448B0">
      <w:pPr>
        <w:pStyle w:val="Atext"/>
        <w:rPr>
          <w:rFonts w:asciiTheme="majorHAnsi" w:hAnsiTheme="majorHAnsi" w:cstheme="majorHAnsi"/>
        </w:rPr>
      </w:pPr>
      <w:r w:rsidRPr="006070EA">
        <w:rPr>
          <w:rFonts w:asciiTheme="majorHAnsi" w:hAnsiTheme="majorHAnsi" w:cstheme="majorHAnsi"/>
        </w:rPr>
        <w:t xml:space="preserve">Pro rozhodování o změnách v území v rozsahu jednotlivých vymezených koridorů jsou stanoveny podmínky využití koridorů, zajišťující ochranu území pro účely realizace staveb, pro něž jsou koridory vymezeny. </w:t>
      </w:r>
    </w:p>
    <w:p w14:paraId="3B6ADA67" w14:textId="77777777" w:rsidR="00AC1557" w:rsidRPr="006070EA" w:rsidRDefault="0059411A" w:rsidP="00795EBA">
      <w:pPr>
        <w:keepNext/>
        <w:shd w:val="clear" w:color="auto" w:fill="F2F2F2" w:themeFill="background1" w:themeFillShade="F2"/>
        <w:spacing w:before="120" w:after="60" w:line="240" w:lineRule="auto"/>
        <w:jc w:val="both"/>
        <w:rPr>
          <w:rFonts w:asciiTheme="majorHAnsi" w:hAnsiTheme="majorHAnsi" w:cstheme="majorHAnsi"/>
          <w:b/>
          <w:sz w:val="20"/>
        </w:rPr>
      </w:pPr>
      <w:r w:rsidRPr="006070EA">
        <w:rPr>
          <w:rFonts w:asciiTheme="majorHAnsi" w:hAnsiTheme="majorHAnsi" w:cstheme="majorHAnsi"/>
          <w:b/>
          <w:sz w:val="20"/>
        </w:rPr>
        <w:t>Doprava v klidu</w:t>
      </w:r>
    </w:p>
    <w:p w14:paraId="0D496BAD" w14:textId="6D8F807E" w:rsidR="00AC1557" w:rsidRPr="006070EA" w:rsidRDefault="00AC1557"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936D5A" w:rsidRPr="006070EA">
        <w:rPr>
          <w:rFonts w:asciiTheme="majorHAnsi" w:hAnsiTheme="majorHAnsi" w:cstheme="majorHAnsi"/>
          <w:b/>
          <w:i/>
          <w:snapToGrid w:val="0"/>
          <w:u w:val="single"/>
        </w:rPr>
        <w:t>2</w:t>
      </w:r>
      <w:r w:rsidR="00244BC2">
        <w:rPr>
          <w:rFonts w:asciiTheme="majorHAnsi" w:hAnsiTheme="majorHAnsi" w:cstheme="majorHAnsi"/>
          <w:b/>
          <w:i/>
          <w:snapToGrid w:val="0"/>
          <w:u w:val="single"/>
        </w:rPr>
        <w:t>2)</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54B47F8C" w14:textId="41B6D139" w:rsidR="001A2008" w:rsidRPr="006070EA" w:rsidRDefault="001A2008" w:rsidP="00D430EF">
      <w:pPr>
        <w:keepNext/>
        <w:keepLines/>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Parkování a odstavování vozidel je v řešeném území uskutečňováno převážně na soukromých pozemcích, případně v profilu místních komunikací, tedy zejména v rámci ploch </w:t>
      </w:r>
      <w:r w:rsidRPr="006070EA">
        <w:rPr>
          <w:rFonts w:asciiTheme="majorHAnsi" w:hAnsiTheme="majorHAnsi" w:cstheme="majorHAnsi"/>
          <w:i/>
          <w:sz w:val="18"/>
        </w:rPr>
        <w:t>veřejných prostranství</w:t>
      </w:r>
      <w:r w:rsidR="00E82842" w:rsidRPr="006070EA">
        <w:rPr>
          <w:rFonts w:asciiTheme="majorHAnsi" w:hAnsiTheme="majorHAnsi" w:cstheme="majorHAnsi"/>
          <w:i/>
          <w:sz w:val="18"/>
        </w:rPr>
        <w:t xml:space="preserve"> všeobecných</w:t>
      </w:r>
      <w:r w:rsidRPr="006070EA">
        <w:rPr>
          <w:rFonts w:asciiTheme="majorHAnsi" w:hAnsiTheme="majorHAnsi" w:cstheme="majorHAnsi"/>
          <w:sz w:val="18"/>
        </w:rPr>
        <w:t xml:space="preserve"> (P</w:t>
      </w:r>
      <w:r w:rsidR="00E82842" w:rsidRPr="006070EA">
        <w:rPr>
          <w:rFonts w:asciiTheme="majorHAnsi" w:hAnsiTheme="majorHAnsi" w:cstheme="majorHAnsi"/>
          <w:sz w:val="18"/>
        </w:rPr>
        <w:t>U</w:t>
      </w:r>
      <w:r w:rsidRPr="006070EA">
        <w:rPr>
          <w:rFonts w:asciiTheme="majorHAnsi" w:hAnsiTheme="majorHAnsi" w:cstheme="majorHAnsi"/>
          <w:sz w:val="18"/>
        </w:rPr>
        <w:t xml:space="preserve">) a ploch </w:t>
      </w:r>
      <w:r w:rsidR="00E82842" w:rsidRPr="006070EA">
        <w:rPr>
          <w:rFonts w:asciiTheme="majorHAnsi" w:hAnsiTheme="majorHAnsi" w:cstheme="majorHAnsi"/>
          <w:i/>
          <w:sz w:val="18"/>
        </w:rPr>
        <w:t xml:space="preserve">dopravy </w:t>
      </w:r>
      <w:r w:rsidRPr="006070EA">
        <w:rPr>
          <w:rFonts w:asciiTheme="majorHAnsi" w:hAnsiTheme="majorHAnsi" w:cstheme="majorHAnsi"/>
          <w:i/>
          <w:sz w:val="18"/>
        </w:rPr>
        <w:t xml:space="preserve">silniční </w:t>
      </w:r>
      <w:r w:rsidRPr="006070EA">
        <w:rPr>
          <w:rFonts w:asciiTheme="majorHAnsi" w:hAnsiTheme="majorHAnsi" w:cstheme="majorHAnsi"/>
          <w:sz w:val="18"/>
        </w:rPr>
        <w:t xml:space="preserve">(DS). Individuální odstavování vozidel lze v rámci přípustného využití realizovat </w:t>
      </w:r>
      <w:r w:rsidR="00C13E46" w:rsidRPr="006070EA">
        <w:rPr>
          <w:rFonts w:asciiTheme="majorHAnsi" w:hAnsiTheme="majorHAnsi" w:cstheme="majorHAnsi"/>
          <w:sz w:val="18"/>
        </w:rPr>
        <w:t xml:space="preserve">také </w:t>
      </w:r>
      <w:r w:rsidRPr="006070EA">
        <w:rPr>
          <w:rFonts w:asciiTheme="majorHAnsi" w:hAnsiTheme="majorHAnsi" w:cstheme="majorHAnsi"/>
          <w:sz w:val="18"/>
        </w:rPr>
        <w:t>v </w:t>
      </w:r>
      <w:r w:rsidR="00C13E46" w:rsidRPr="006070EA">
        <w:rPr>
          <w:rFonts w:asciiTheme="majorHAnsi" w:hAnsiTheme="majorHAnsi" w:cstheme="majorHAnsi"/>
          <w:sz w:val="18"/>
        </w:rPr>
        <w:t>rámci ploch</w:t>
      </w:r>
      <w:r w:rsidRPr="006070EA">
        <w:rPr>
          <w:rFonts w:asciiTheme="majorHAnsi" w:hAnsiTheme="majorHAnsi" w:cstheme="majorHAnsi"/>
          <w:sz w:val="18"/>
        </w:rPr>
        <w:t xml:space="preserve"> s rozdílným způsobem využití, zejména v plochách bydlení (B</w:t>
      </w:r>
      <w:r w:rsidR="00936D5A" w:rsidRPr="006070EA">
        <w:rPr>
          <w:rFonts w:asciiTheme="majorHAnsi" w:hAnsiTheme="majorHAnsi" w:cstheme="majorHAnsi"/>
          <w:sz w:val="18"/>
        </w:rPr>
        <w:t>I</w:t>
      </w:r>
      <w:r w:rsidR="00E82842" w:rsidRPr="006070EA">
        <w:rPr>
          <w:rFonts w:asciiTheme="majorHAnsi" w:hAnsiTheme="majorHAnsi" w:cstheme="majorHAnsi"/>
          <w:sz w:val="18"/>
        </w:rPr>
        <w:t>, BH</w:t>
      </w:r>
      <w:r w:rsidRPr="006070EA">
        <w:rPr>
          <w:rFonts w:asciiTheme="majorHAnsi" w:hAnsiTheme="majorHAnsi" w:cstheme="majorHAnsi"/>
          <w:sz w:val="18"/>
        </w:rPr>
        <w:t xml:space="preserve">), </w:t>
      </w:r>
      <w:r w:rsidR="00CE5114" w:rsidRPr="006070EA">
        <w:rPr>
          <w:rFonts w:asciiTheme="majorHAnsi" w:hAnsiTheme="majorHAnsi" w:cstheme="majorHAnsi"/>
          <w:sz w:val="18"/>
        </w:rPr>
        <w:t>plochách smíšených obytných (SV</w:t>
      </w:r>
      <w:r w:rsidR="00936D5A" w:rsidRPr="006070EA">
        <w:rPr>
          <w:rFonts w:asciiTheme="majorHAnsi" w:hAnsiTheme="majorHAnsi" w:cstheme="majorHAnsi"/>
          <w:sz w:val="18"/>
        </w:rPr>
        <w:t>, SM</w:t>
      </w:r>
      <w:r w:rsidR="00CE5114" w:rsidRPr="006070EA">
        <w:rPr>
          <w:rFonts w:asciiTheme="majorHAnsi" w:hAnsiTheme="majorHAnsi" w:cstheme="majorHAnsi"/>
          <w:sz w:val="18"/>
        </w:rPr>
        <w:t xml:space="preserve">), </w:t>
      </w:r>
      <w:r w:rsidRPr="006070EA">
        <w:rPr>
          <w:rFonts w:asciiTheme="majorHAnsi" w:hAnsiTheme="majorHAnsi" w:cstheme="majorHAnsi"/>
          <w:sz w:val="18"/>
        </w:rPr>
        <w:t>plochách výroby (V</w:t>
      </w:r>
      <w:r w:rsidR="00C13E46" w:rsidRPr="006070EA">
        <w:rPr>
          <w:rFonts w:asciiTheme="majorHAnsi" w:hAnsiTheme="majorHAnsi" w:cstheme="majorHAnsi"/>
          <w:sz w:val="18"/>
        </w:rPr>
        <w:t>Z</w:t>
      </w:r>
      <w:r w:rsidR="00936D5A" w:rsidRPr="006070EA">
        <w:rPr>
          <w:rFonts w:asciiTheme="majorHAnsi" w:hAnsiTheme="majorHAnsi" w:cstheme="majorHAnsi"/>
          <w:sz w:val="18"/>
        </w:rPr>
        <w:t>, VL</w:t>
      </w:r>
      <w:r w:rsidRPr="006070EA">
        <w:rPr>
          <w:rFonts w:asciiTheme="majorHAnsi" w:hAnsiTheme="majorHAnsi" w:cstheme="majorHAnsi"/>
          <w:sz w:val="18"/>
        </w:rPr>
        <w:t>) a občanského vybavení</w:t>
      </w:r>
      <w:r w:rsidR="00C13E46" w:rsidRPr="006070EA">
        <w:rPr>
          <w:rFonts w:asciiTheme="majorHAnsi" w:hAnsiTheme="majorHAnsi" w:cstheme="majorHAnsi"/>
          <w:sz w:val="18"/>
        </w:rPr>
        <w:t> </w:t>
      </w:r>
      <w:r w:rsidRPr="006070EA">
        <w:rPr>
          <w:rFonts w:asciiTheme="majorHAnsi" w:hAnsiTheme="majorHAnsi" w:cstheme="majorHAnsi"/>
          <w:sz w:val="18"/>
        </w:rPr>
        <w:t>(OV,</w:t>
      </w:r>
      <w:r w:rsidR="00C13E46" w:rsidRPr="006070EA">
        <w:rPr>
          <w:rFonts w:asciiTheme="majorHAnsi" w:hAnsiTheme="majorHAnsi" w:cstheme="majorHAnsi"/>
          <w:sz w:val="18"/>
        </w:rPr>
        <w:t> </w:t>
      </w:r>
      <w:r w:rsidR="00936D5A" w:rsidRPr="006070EA">
        <w:rPr>
          <w:rFonts w:asciiTheme="majorHAnsi" w:hAnsiTheme="majorHAnsi" w:cstheme="majorHAnsi"/>
          <w:sz w:val="18"/>
        </w:rPr>
        <w:t>OH</w:t>
      </w:r>
      <w:r w:rsidRPr="006070EA">
        <w:rPr>
          <w:rFonts w:asciiTheme="majorHAnsi" w:hAnsiTheme="majorHAnsi" w:cstheme="majorHAnsi"/>
          <w:sz w:val="18"/>
        </w:rPr>
        <w:t xml:space="preserve">). </w:t>
      </w:r>
    </w:p>
    <w:p w14:paraId="2B8E0470" w14:textId="628FFAB7" w:rsidR="00AC1557" w:rsidRPr="006070EA" w:rsidRDefault="00C13E46" w:rsidP="00CE5114">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V centrální části obce se nacházejí plochy pro parkování s kapacitou </w:t>
      </w:r>
      <w:r w:rsidR="00936D5A" w:rsidRPr="006070EA">
        <w:rPr>
          <w:rFonts w:asciiTheme="majorHAnsi" w:hAnsiTheme="majorHAnsi" w:cstheme="majorHAnsi"/>
          <w:sz w:val="18"/>
        </w:rPr>
        <w:t xml:space="preserve">více </w:t>
      </w:r>
      <w:r w:rsidRPr="006070EA">
        <w:rPr>
          <w:rFonts w:asciiTheme="majorHAnsi" w:hAnsiTheme="majorHAnsi" w:cstheme="majorHAnsi"/>
          <w:sz w:val="18"/>
        </w:rPr>
        <w:t>vozidel, lokalizované zejména ve vazbě na objekty občanské vybavenosti</w:t>
      </w:r>
      <w:r w:rsidR="0022024B" w:rsidRPr="006070EA">
        <w:rPr>
          <w:rFonts w:asciiTheme="majorHAnsi" w:hAnsiTheme="majorHAnsi" w:cstheme="majorHAnsi"/>
          <w:sz w:val="18"/>
        </w:rPr>
        <w:t xml:space="preserve">. </w:t>
      </w:r>
      <w:r w:rsidRPr="006070EA">
        <w:rPr>
          <w:rFonts w:asciiTheme="majorHAnsi" w:hAnsiTheme="majorHAnsi" w:cstheme="majorHAnsi"/>
          <w:sz w:val="18"/>
        </w:rPr>
        <w:t>Plochy</w:t>
      </w:r>
      <w:r w:rsidR="0022024B" w:rsidRPr="006070EA">
        <w:rPr>
          <w:rFonts w:asciiTheme="majorHAnsi" w:hAnsiTheme="majorHAnsi" w:cstheme="majorHAnsi"/>
          <w:sz w:val="18"/>
        </w:rPr>
        <w:t> </w:t>
      </w:r>
      <w:r w:rsidRPr="006070EA">
        <w:rPr>
          <w:rFonts w:asciiTheme="majorHAnsi" w:hAnsiTheme="majorHAnsi" w:cstheme="majorHAnsi"/>
          <w:sz w:val="18"/>
        </w:rPr>
        <w:t>pro parkování neindividuálního charakteru lze nalézt také u objektů bytových domů.</w:t>
      </w:r>
      <w:r w:rsidR="0022024B" w:rsidRPr="006070EA">
        <w:rPr>
          <w:rFonts w:asciiTheme="majorHAnsi" w:hAnsiTheme="majorHAnsi" w:cstheme="majorHAnsi"/>
          <w:sz w:val="18"/>
        </w:rPr>
        <w:t xml:space="preserve"> </w:t>
      </w:r>
      <w:r w:rsidR="00AC1557" w:rsidRPr="006070EA">
        <w:rPr>
          <w:rFonts w:asciiTheme="majorHAnsi" w:hAnsiTheme="majorHAnsi" w:cstheme="majorHAnsi"/>
          <w:sz w:val="18"/>
        </w:rPr>
        <w:t>Garážová stání jsou reprezentována převážně objekty individuálních garáží na soukromých pozemcích.</w:t>
      </w:r>
    </w:p>
    <w:p w14:paraId="024D09B8" w14:textId="77777777" w:rsidR="00AC1557" w:rsidRPr="006070EA" w:rsidRDefault="00AC1557" w:rsidP="009E07E1">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Plochy pro odstavování vozidel jsou zajišťovány na pozemcích se související zástavbou, doplňkově pro krátkodobé parkování a stání na dispozičně a architektonicky upravených plochách, veřejných prostranstvích, ve vybraných úsecích v přidružených pásech podél komunikací. U nových ploch pro bydlení budou veškeré nároky na parkování zajišťovány na pozemcích, které budou součástí staveb. </w:t>
      </w:r>
    </w:p>
    <w:p w14:paraId="607A80D4" w14:textId="731E0FBE" w:rsidR="00AC1557" w:rsidRPr="006070EA" w:rsidRDefault="00AC1557" w:rsidP="009E07E1">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Dostatečné plochy pro parkování a odstavování osobních vozidel je nutno dimenzovat u všech potenciálních cílů dopravy, ploch bydlení a ploch občanského vybavení. Potřeba parkovacích a odstavných stání se stanoví výpočtem dle normy ČSN 73 6110 a změny Z1 73 6110.</w:t>
      </w:r>
    </w:p>
    <w:p w14:paraId="634EE6D4" w14:textId="315588FF" w:rsidR="00936D5A" w:rsidRPr="006070EA" w:rsidRDefault="00936D5A" w:rsidP="009E07E1">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Klimatická situace se mění a důsledkem jsou kromě prokazatelně zvyšující se teploty i častější přívalové srážky a jiné častější náhlé meteorologické jevy či sucho. V souvislosti s těmito změnami existuje škála tzv. adaptačních opatření na změnu klimatu, mezi které patří výsadba stromů, která jednak umožní produkci kyslíku a akumulaci vody, ale také zastínění velkých ploch, které by se jinak nadměrně ohřívaly. Vzhledem k dlouhodobému nedostatku vody v krajině a zároveň možnosti snížit dimenze odvodnění do kanalizace se jako nejlepší řešení jeví alespoň část vody nechat vsáknout v místě. Vzhledem k nezpevněnému povrchu navíc nedochází k nadměrnému ohřívání asfaltobetonových či cementobetonových ploch. Ve vztahu k výše uvedenému stanovuje územní plán podmínku výsadby stromů v plochách parkovišť na terénu (min. 1 strom na 5 parkovacích stání).</w:t>
      </w:r>
    </w:p>
    <w:p w14:paraId="56AD2C91" w14:textId="6741E30A" w:rsidR="00AB1F4C" w:rsidRPr="006070EA" w:rsidRDefault="0038021B" w:rsidP="009E07E1">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Doprava drážní (železniční)</w:t>
      </w:r>
    </w:p>
    <w:p w14:paraId="4C93A891" w14:textId="24C0AEF4" w:rsidR="00121854" w:rsidRPr="006070EA" w:rsidRDefault="00121854"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38021B" w:rsidRPr="006070EA">
        <w:rPr>
          <w:rFonts w:asciiTheme="majorHAnsi" w:hAnsiTheme="majorHAnsi" w:cstheme="majorHAnsi"/>
          <w:b/>
          <w:i/>
          <w:snapToGrid w:val="0"/>
          <w:u w:val="single"/>
        </w:rPr>
        <w:t>2</w:t>
      </w:r>
      <w:r w:rsidR="00244BC2">
        <w:rPr>
          <w:rFonts w:asciiTheme="majorHAnsi" w:hAnsiTheme="majorHAnsi" w:cstheme="majorHAnsi"/>
          <w:b/>
          <w:i/>
          <w:snapToGrid w:val="0"/>
          <w:u w:val="single"/>
        </w:rPr>
        <w:t>3</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57B6A01C" w14:textId="77777777" w:rsidR="0022024B" w:rsidRPr="006070EA" w:rsidRDefault="0022024B" w:rsidP="0022024B">
      <w:pPr>
        <w:spacing w:before="120" w:after="120" w:line="240" w:lineRule="auto"/>
        <w:jc w:val="both"/>
        <w:rPr>
          <w:rFonts w:asciiTheme="majorHAnsi" w:hAnsiTheme="majorHAnsi" w:cstheme="majorHAnsi"/>
          <w:b/>
          <w:sz w:val="18"/>
          <w:szCs w:val="18"/>
        </w:rPr>
      </w:pPr>
      <w:r w:rsidRPr="006070EA">
        <w:rPr>
          <w:rFonts w:asciiTheme="majorHAnsi" w:hAnsiTheme="majorHAnsi" w:cstheme="majorHAnsi"/>
          <w:b/>
          <w:sz w:val="18"/>
          <w:szCs w:val="18"/>
        </w:rPr>
        <w:t>Popis stávající situace</w:t>
      </w:r>
    </w:p>
    <w:p w14:paraId="6BBF22CE" w14:textId="2F45A2C1" w:rsidR="00812AAD" w:rsidRPr="006070EA" w:rsidRDefault="00812AAD" w:rsidP="00812AAD">
      <w:pPr>
        <w:autoSpaceDE w:val="0"/>
        <w:autoSpaceDN w:val="0"/>
        <w:adjustRightInd w:val="0"/>
        <w:spacing w:before="120" w:after="120"/>
        <w:jc w:val="both"/>
        <w:rPr>
          <w:rFonts w:asciiTheme="majorHAnsi" w:hAnsiTheme="majorHAnsi" w:cstheme="majorHAnsi"/>
          <w:sz w:val="18"/>
          <w:szCs w:val="20"/>
          <w:lang w:eastAsia="cs-CZ"/>
        </w:rPr>
      </w:pPr>
      <w:r w:rsidRPr="006070EA">
        <w:rPr>
          <w:rFonts w:asciiTheme="majorHAnsi" w:hAnsiTheme="majorHAnsi" w:cstheme="majorHAnsi"/>
          <w:sz w:val="18"/>
          <w:szCs w:val="20"/>
          <w:lang w:eastAsia="cs-CZ"/>
        </w:rPr>
        <w:tab/>
      </w:r>
      <w:r w:rsidRPr="006070EA">
        <w:rPr>
          <w:rFonts w:asciiTheme="majorHAnsi" w:hAnsiTheme="majorHAnsi" w:cstheme="majorHAnsi"/>
          <w:sz w:val="18"/>
          <w:lang w:eastAsia="cs-CZ"/>
        </w:rPr>
        <w:t xml:space="preserve">Řešeným územím prochází celostátní dráha č. 231 </w:t>
      </w:r>
      <w:r w:rsidR="0038021B" w:rsidRPr="006070EA">
        <w:rPr>
          <w:rFonts w:asciiTheme="majorHAnsi" w:hAnsiTheme="majorHAnsi" w:cstheme="majorHAnsi"/>
          <w:sz w:val="18"/>
          <w:lang w:eastAsia="cs-CZ"/>
        </w:rPr>
        <w:t>Praha – Lysá nad Labem – Kolín.</w:t>
      </w:r>
    </w:p>
    <w:p w14:paraId="282D7D7B" w14:textId="4D96864A" w:rsidR="0038021B" w:rsidRPr="006070EA" w:rsidRDefault="0038021B" w:rsidP="00DE2ABD">
      <w:pPr>
        <w:spacing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Železniční trať Praha – Lysá nad Labem – Kolín o délce 73 km spojuje Prahu a Kolín přes Nymburk. V jízdním řádě pro cestující je uváděna pod označením 231, úsek Praha – Lysá nad Labem je vyčleněn společně s tratí Lysá nad Labem – Milovice pod označením 232. Trať je součástí celostátní dráhy a jejím provozovatelem je Správa železnic. Je významnou součástí Pražské integrované dopravy, v </w:t>
      </w:r>
      <w:proofErr w:type="gramStart"/>
      <w:r w:rsidRPr="006070EA">
        <w:rPr>
          <w:rFonts w:asciiTheme="majorHAnsi" w:hAnsiTheme="majorHAnsi" w:cstheme="majorHAnsi"/>
          <w:sz w:val="18"/>
          <w:szCs w:val="20"/>
        </w:rPr>
        <w:t>rámci</w:t>
      </w:r>
      <w:proofErr w:type="gramEnd"/>
      <w:r w:rsidRPr="006070EA">
        <w:rPr>
          <w:rFonts w:asciiTheme="majorHAnsi" w:hAnsiTheme="majorHAnsi" w:cstheme="majorHAnsi"/>
          <w:sz w:val="18"/>
          <w:szCs w:val="20"/>
        </w:rPr>
        <w:t xml:space="preserve"> které zde jezdí v celé trati vlaky „Eska Praha“ označované jako linka S2, v úseku Praha – Lysá nad Labem (– Milovice) S22 a ve špičce je doplňuje linka S9 (Benešov –) Praha – Lysá nad Labem</w:t>
      </w:r>
    </w:p>
    <w:p w14:paraId="062073EA" w14:textId="4734B937" w:rsidR="0022024B" w:rsidRPr="006070EA" w:rsidRDefault="0022024B" w:rsidP="00DE2ABD">
      <w:pPr>
        <w:spacing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Grafické znázornění průběhu trati č. </w:t>
      </w:r>
      <w:r w:rsidR="0038021B" w:rsidRPr="006070EA">
        <w:rPr>
          <w:rFonts w:asciiTheme="majorHAnsi" w:hAnsiTheme="majorHAnsi" w:cstheme="majorHAnsi"/>
          <w:sz w:val="18"/>
          <w:szCs w:val="20"/>
        </w:rPr>
        <w:t>231</w:t>
      </w:r>
      <w:r w:rsidRPr="006070EA">
        <w:rPr>
          <w:rFonts w:asciiTheme="majorHAnsi" w:hAnsiTheme="majorHAnsi" w:cstheme="majorHAnsi"/>
          <w:sz w:val="18"/>
          <w:szCs w:val="20"/>
        </w:rPr>
        <w:t xml:space="preserve"> a její postavení v širším železničním systému poskytuje obr. níže</w:t>
      </w:r>
      <w:r w:rsidR="0038021B" w:rsidRPr="006070EA">
        <w:rPr>
          <w:rFonts w:asciiTheme="majorHAnsi" w:hAnsiTheme="majorHAnsi" w:cstheme="majorHAnsi"/>
          <w:sz w:val="18"/>
          <w:szCs w:val="20"/>
        </w:rPr>
        <w:t xml:space="preserve"> (trať je znázorněna červenou linií)</w:t>
      </w:r>
      <w:r w:rsidRPr="006070EA">
        <w:rPr>
          <w:rFonts w:asciiTheme="majorHAnsi" w:hAnsiTheme="majorHAnsi" w:cstheme="majorHAnsi"/>
          <w:sz w:val="18"/>
          <w:szCs w:val="20"/>
        </w:rPr>
        <w:t>.</w:t>
      </w:r>
    </w:p>
    <w:p w14:paraId="260B942D" w14:textId="13267794" w:rsidR="0022024B" w:rsidRPr="006070EA" w:rsidRDefault="0022024B" w:rsidP="00244BC2">
      <w:pPr>
        <w:keepNext/>
        <w:spacing w:after="60" w:line="240" w:lineRule="auto"/>
        <w:jc w:val="both"/>
        <w:rPr>
          <w:rFonts w:asciiTheme="majorHAnsi" w:hAnsiTheme="majorHAnsi" w:cstheme="majorHAnsi"/>
          <w:i/>
          <w:sz w:val="18"/>
          <w:szCs w:val="20"/>
        </w:rPr>
      </w:pPr>
      <w:r w:rsidRPr="006070EA">
        <w:rPr>
          <w:rFonts w:asciiTheme="majorHAnsi" w:hAnsiTheme="majorHAnsi" w:cstheme="majorHAnsi"/>
          <w:i/>
          <w:sz w:val="18"/>
          <w:szCs w:val="20"/>
        </w:rPr>
        <w:t xml:space="preserve">Obr.: Trasa železniční trati č. </w:t>
      </w:r>
      <w:r w:rsidR="0038021B" w:rsidRPr="006070EA">
        <w:rPr>
          <w:rFonts w:asciiTheme="majorHAnsi" w:hAnsiTheme="majorHAnsi" w:cstheme="majorHAnsi"/>
          <w:i/>
          <w:sz w:val="18"/>
          <w:szCs w:val="20"/>
        </w:rPr>
        <w:t>231</w:t>
      </w:r>
    </w:p>
    <w:p w14:paraId="254056B8" w14:textId="511684FB" w:rsidR="0022024B" w:rsidRPr="006070EA" w:rsidRDefault="0038021B" w:rsidP="0022024B">
      <w:pPr>
        <w:spacing w:after="60" w:line="240" w:lineRule="auto"/>
        <w:jc w:val="both"/>
        <w:rPr>
          <w:rFonts w:asciiTheme="majorHAnsi" w:hAnsiTheme="majorHAnsi" w:cstheme="majorHAnsi"/>
          <w:i/>
          <w:sz w:val="18"/>
          <w:szCs w:val="20"/>
        </w:rPr>
      </w:pPr>
      <w:r w:rsidRPr="006070EA">
        <w:rPr>
          <w:rFonts w:asciiTheme="majorHAnsi" w:hAnsiTheme="majorHAnsi" w:cstheme="majorHAnsi"/>
          <w:noProof/>
        </w:rPr>
        <w:drawing>
          <wp:inline distT="0" distB="0" distL="0" distR="0" wp14:anchorId="32B88E48" wp14:editId="5E03B703">
            <wp:extent cx="5759450" cy="1924050"/>
            <wp:effectExtent l="0" t="0" r="0" b="0"/>
            <wp:docPr id="22" name="Obrázek 22"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Obrázek 22" descr="Obsah obrázku mapa&#10;&#10;Popis byl vytvořen automaticky"/>
                    <pic:cNvPicPr>
                      <a:picLocks noChangeAspect="1" noChangeArrowheads="1"/>
                    </pic:cNvPicPr>
                  </pic:nvPicPr>
                  <pic:blipFill rotWithShape="1">
                    <a:blip r:embed="rId50">
                      <a:extLst>
                        <a:ext uri="{28A0092B-C50C-407E-A947-70E740481C1C}">
                          <a14:useLocalDpi xmlns:a14="http://schemas.microsoft.com/office/drawing/2010/main" val="0"/>
                        </a:ext>
                      </a:extLst>
                    </a:blip>
                    <a:srcRect b="7510"/>
                    <a:stretch/>
                  </pic:blipFill>
                  <pic:spPr bwMode="auto">
                    <a:xfrm>
                      <a:off x="0" y="0"/>
                      <a:ext cx="5759450" cy="1924050"/>
                    </a:xfrm>
                    <a:prstGeom prst="rect">
                      <a:avLst/>
                    </a:prstGeom>
                    <a:noFill/>
                    <a:ln>
                      <a:noFill/>
                    </a:ln>
                    <a:extLst>
                      <a:ext uri="{53640926-AAD7-44D8-BBD7-CCE9431645EC}">
                        <a14:shadowObscured xmlns:a14="http://schemas.microsoft.com/office/drawing/2010/main"/>
                      </a:ext>
                    </a:extLst>
                  </pic:spPr>
                </pic:pic>
              </a:graphicData>
            </a:graphic>
          </wp:inline>
        </w:drawing>
      </w:r>
    </w:p>
    <w:p w14:paraId="52EFD6AD" w14:textId="33D0EB0D" w:rsidR="0038021B" w:rsidRPr="006070EA" w:rsidRDefault="0022024B" w:rsidP="0038021B">
      <w:pPr>
        <w:spacing w:after="60" w:line="240" w:lineRule="auto"/>
        <w:ind w:firstLine="709"/>
        <w:jc w:val="right"/>
        <w:rPr>
          <w:rFonts w:asciiTheme="majorHAnsi" w:hAnsiTheme="majorHAnsi" w:cstheme="majorHAnsi"/>
          <w:i/>
          <w:sz w:val="18"/>
          <w:szCs w:val="20"/>
        </w:rPr>
      </w:pPr>
      <w:r w:rsidRPr="006070EA">
        <w:rPr>
          <w:rFonts w:asciiTheme="majorHAnsi" w:hAnsiTheme="majorHAnsi" w:cstheme="majorHAnsi"/>
          <w:i/>
          <w:sz w:val="18"/>
          <w:szCs w:val="20"/>
        </w:rPr>
        <w:t>Zdroj: www.</w:t>
      </w:r>
      <w:r w:rsidR="0038021B" w:rsidRPr="006070EA">
        <w:rPr>
          <w:rFonts w:asciiTheme="majorHAnsi" w:hAnsiTheme="majorHAnsi" w:cstheme="majorHAnsi"/>
          <w:i/>
          <w:sz w:val="18"/>
          <w:szCs w:val="20"/>
        </w:rPr>
        <w:t>mapy.cz</w:t>
      </w:r>
    </w:p>
    <w:p w14:paraId="5F282C8B" w14:textId="09DEB331" w:rsidR="0022024B" w:rsidRPr="006070EA" w:rsidRDefault="0022024B" w:rsidP="0022024B">
      <w:pPr>
        <w:spacing w:before="12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lastRenderedPageBreak/>
        <w:t xml:space="preserve">V řešeném území je na železniční trati provozována železniční stanice </w:t>
      </w:r>
      <w:r w:rsidR="0038021B" w:rsidRPr="006070EA">
        <w:rPr>
          <w:rFonts w:asciiTheme="majorHAnsi" w:hAnsiTheme="majorHAnsi" w:cstheme="majorHAnsi"/>
          <w:i/>
          <w:sz w:val="18"/>
          <w:szCs w:val="20"/>
        </w:rPr>
        <w:t>Kostomlaty nad Labem</w:t>
      </w:r>
      <w:r w:rsidRPr="006070EA">
        <w:rPr>
          <w:rFonts w:asciiTheme="majorHAnsi" w:hAnsiTheme="majorHAnsi" w:cstheme="majorHAnsi"/>
          <w:sz w:val="18"/>
          <w:szCs w:val="20"/>
        </w:rPr>
        <w:t xml:space="preserve">. </w:t>
      </w:r>
      <w:r w:rsidR="0038021B" w:rsidRPr="006070EA">
        <w:rPr>
          <w:rFonts w:asciiTheme="majorHAnsi" w:hAnsiTheme="majorHAnsi" w:cstheme="majorHAnsi"/>
          <w:sz w:val="18"/>
          <w:szCs w:val="20"/>
        </w:rPr>
        <w:t>Ostatní sídla v řešeném území nejsou drážní dopravou dostupné.</w:t>
      </w:r>
    </w:p>
    <w:p w14:paraId="2341A9BD" w14:textId="77777777" w:rsidR="00AB1F4C" w:rsidRPr="006070EA" w:rsidRDefault="0022024B" w:rsidP="00E82842">
      <w:pPr>
        <w:keepNext/>
        <w:spacing w:before="120" w:after="120" w:line="240" w:lineRule="auto"/>
        <w:jc w:val="both"/>
        <w:rPr>
          <w:rFonts w:asciiTheme="majorHAnsi" w:hAnsiTheme="majorHAnsi" w:cstheme="majorHAnsi"/>
          <w:sz w:val="18"/>
          <w:u w:val="single"/>
        </w:rPr>
      </w:pPr>
      <w:r w:rsidRPr="006070EA">
        <w:rPr>
          <w:rFonts w:asciiTheme="majorHAnsi" w:hAnsiTheme="majorHAnsi" w:cstheme="majorHAnsi"/>
          <w:sz w:val="18"/>
          <w:u w:val="single"/>
        </w:rPr>
        <w:t>Železniční o</w:t>
      </w:r>
      <w:r w:rsidR="00AB1F4C" w:rsidRPr="006070EA">
        <w:rPr>
          <w:rFonts w:asciiTheme="majorHAnsi" w:hAnsiTheme="majorHAnsi" w:cstheme="majorHAnsi"/>
          <w:sz w:val="18"/>
          <w:u w:val="single"/>
        </w:rPr>
        <w:t>chranná pásma</w:t>
      </w:r>
    </w:p>
    <w:p w14:paraId="291977F3" w14:textId="77777777" w:rsidR="00AB1F4C" w:rsidRPr="006070EA" w:rsidRDefault="00AB1F4C" w:rsidP="00DE2ABD">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Železniční ochranné pásmo je stanoveno zákonem č. 266/1994 Sb., o drahách, ve znění pozdějších předpisů, a tvoří ho prostor po obou stranách dráhy do vzdálenosti 60 m od osy krajní koleje, nejméně však do vzdálenosti 30 m od hranic obvodu dráhy. </w:t>
      </w:r>
    </w:p>
    <w:p w14:paraId="511B7945" w14:textId="77777777" w:rsidR="00AB1F4C" w:rsidRPr="006070EA" w:rsidRDefault="00AB1F4C" w:rsidP="009E07E1">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Případnou výstavbu nových obytných objektů je třeba situovat mimo ochranné pásmo dráhy, dále je nutné respektovat vyhlášku č. 177/1995 Sb. – stavební a technický řád drah – a postupovat ve smyslu ustanovení zákona č. 266/1994 Sb., o drahách, ve znění pozdějších předpisů.</w:t>
      </w:r>
    </w:p>
    <w:p w14:paraId="26083DA9" w14:textId="0D3CFA0A" w:rsidR="00AB1F4C" w:rsidRPr="006070EA" w:rsidRDefault="00AB1F4C" w:rsidP="009E07E1">
      <w:pPr>
        <w:spacing w:after="60" w:line="240" w:lineRule="auto"/>
        <w:jc w:val="both"/>
        <w:rPr>
          <w:rFonts w:asciiTheme="majorHAnsi" w:hAnsiTheme="majorHAnsi" w:cstheme="majorHAnsi"/>
          <w:sz w:val="18"/>
        </w:rPr>
      </w:pPr>
      <w:r w:rsidRPr="006070EA">
        <w:rPr>
          <w:rFonts w:asciiTheme="majorHAnsi" w:hAnsiTheme="majorHAnsi" w:cstheme="majorHAnsi"/>
          <w:sz w:val="18"/>
        </w:rPr>
        <w:tab/>
        <w:t>V ochranném pásmu je dovoleno stavět pouze drážní stavy, výjimky lze udělit pro stavby pozemních komunikací, vodních děl, zařízení vedení, měřických znaků a signálů a jen v odůvodněných případech pro ostatní pozemní stavby. Výjimky povoluje drážní správní orgán, který současně stanoví podmínky.</w:t>
      </w:r>
    </w:p>
    <w:p w14:paraId="79F5F813" w14:textId="7BAE5F60" w:rsidR="00E71236" w:rsidRPr="006070EA" w:rsidRDefault="00E71236" w:rsidP="00E71236">
      <w:pPr>
        <w:suppressAutoHyphens/>
        <w:spacing w:before="120" w:after="60" w:line="240" w:lineRule="auto"/>
        <w:ind w:left="567" w:hanging="567"/>
        <w:jc w:val="both"/>
        <w:rPr>
          <w:rFonts w:asciiTheme="majorHAnsi" w:eastAsia="Times New Roman" w:hAnsiTheme="majorHAnsi" w:cstheme="majorHAnsi"/>
          <w:bCs/>
          <w:i/>
          <w:iCs/>
          <w:sz w:val="18"/>
          <w:szCs w:val="20"/>
          <w:lang w:eastAsia="ar-SA"/>
        </w:rPr>
      </w:pPr>
      <w:r w:rsidRPr="006070EA">
        <w:rPr>
          <w:rFonts w:asciiTheme="majorHAnsi" w:eastAsia="Times New Roman" w:hAnsiTheme="majorHAnsi" w:cstheme="majorHAnsi"/>
          <w:bCs/>
          <w:i/>
          <w:iCs/>
          <w:sz w:val="18"/>
          <w:szCs w:val="20"/>
          <w:lang w:eastAsia="ar-SA"/>
        </w:rPr>
        <w:t>Pozn.:</w:t>
      </w:r>
      <w:r w:rsidRPr="006070EA">
        <w:rPr>
          <w:rFonts w:asciiTheme="majorHAnsi" w:eastAsia="Times New Roman" w:hAnsiTheme="majorHAnsi" w:cstheme="majorHAnsi"/>
          <w:bCs/>
          <w:i/>
          <w:iCs/>
          <w:sz w:val="18"/>
          <w:szCs w:val="20"/>
          <w:lang w:eastAsia="ar-SA"/>
        </w:rPr>
        <w:tab/>
        <w:t xml:space="preserve">Ochranné pásmo železniční trati v řešeném území je graficky znázorněno ve Výkresu č. </w:t>
      </w:r>
      <w:r w:rsidR="00E82842" w:rsidRPr="006070EA">
        <w:rPr>
          <w:rFonts w:asciiTheme="majorHAnsi" w:eastAsia="Times New Roman" w:hAnsiTheme="majorHAnsi" w:cstheme="majorHAnsi"/>
          <w:bCs/>
          <w:i/>
          <w:iCs/>
          <w:sz w:val="18"/>
          <w:szCs w:val="20"/>
          <w:lang w:eastAsia="ar-SA"/>
        </w:rPr>
        <w:t>4</w:t>
      </w:r>
      <w:r w:rsidRPr="006070EA">
        <w:rPr>
          <w:rFonts w:asciiTheme="majorHAnsi" w:eastAsia="Times New Roman" w:hAnsiTheme="majorHAnsi" w:cstheme="majorHAnsi"/>
          <w:bCs/>
          <w:i/>
          <w:iCs/>
          <w:sz w:val="18"/>
          <w:szCs w:val="20"/>
          <w:lang w:eastAsia="ar-SA"/>
        </w:rPr>
        <w:t xml:space="preserve"> grafické části Odůvodnění ÚP Kostomlaty nad Labem (Koordinační výkres).</w:t>
      </w:r>
    </w:p>
    <w:p w14:paraId="25323DF5" w14:textId="77777777" w:rsidR="00846ED7" w:rsidRPr="006070EA" w:rsidRDefault="00846ED7" w:rsidP="009E07E1">
      <w:pPr>
        <w:pStyle w:val="Anadpispodtren"/>
        <w:rPr>
          <w:rFonts w:asciiTheme="majorHAnsi" w:hAnsiTheme="majorHAnsi" w:cstheme="majorHAnsi"/>
          <w:b/>
          <w:u w:val="none"/>
        </w:rPr>
      </w:pPr>
      <w:r w:rsidRPr="006070EA">
        <w:rPr>
          <w:rFonts w:asciiTheme="majorHAnsi" w:hAnsiTheme="majorHAnsi" w:cstheme="majorHAnsi"/>
          <w:b/>
          <w:u w:val="none"/>
        </w:rPr>
        <w:t xml:space="preserve">Odůvodnění navrhovaného řešení </w:t>
      </w:r>
    </w:p>
    <w:p w14:paraId="137FB760" w14:textId="6AB6C737" w:rsidR="00846ED7" w:rsidRPr="006070EA" w:rsidRDefault="00846ED7" w:rsidP="009E07E1">
      <w:pPr>
        <w:pStyle w:val="Atext"/>
        <w:spacing w:before="60" w:after="60"/>
        <w:rPr>
          <w:rFonts w:asciiTheme="majorHAnsi" w:hAnsiTheme="majorHAnsi" w:cstheme="majorHAnsi"/>
        </w:rPr>
      </w:pPr>
      <w:r w:rsidRPr="006070EA">
        <w:rPr>
          <w:rFonts w:asciiTheme="majorHAnsi" w:hAnsiTheme="majorHAnsi" w:cstheme="majorHAnsi"/>
        </w:rPr>
        <w:t xml:space="preserve">V souladu s § 9, odst. 2 a </w:t>
      </w:r>
      <w:r w:rsidR="00741649" w:rsidRPr="006070EA">
        <w:rPr>
          <w:rFonts w:asciiTheme="majorHAnsi" w:hAnsiTheme="majorHAnsi" w:cstheme="majorHAnsi"/>
        </w:rPr>
        <w:t xml:space="preserve">4 </w:t>
      </w:r>
      <w:r w:rsidRPr="006070EA">
        <w:rPr>
          <w:rFonts w:asciiTheme="majorHAnsi" w:hAnsiTheme="majorHAnsi" w:cstheme="majorHAnsi"/>
        </w:rPr>
        <w:t xml:space="preserve">vyhl. č. 501/2006 Sb., ve znění pozdějších předpisů, jsou pozemky železnice zahrnuty do ploch </w:t>
      </w:r>
      <w:r w:rsidR="00E82842" w:rsidRPr="006070EA">
        <w:rPr>
          <w:rFonts w:asciiTheme="majorHAnsi" w:hAnsiTheme="majorHAnsi" w:cstheme="majorHAnsi"/>
        </w:rPr>
        <w:t>dopravy drážní</w:t>
      </w:r>
      <w:r w:rsidRPr="006070EA">
        <w:rPr>
          <w:rFonts w:asciiTheme="majorHAnsi" w:hAnsiTheme="majorHAnsi" w:cstheme="majorHAnsi"/>
        </w:rPr>
        <w:t xml:space="preserve"> (D</w:t>
      </w:r>
      <w:r w:rsidR="00E82842" w:rsidRPr="006070EA">
        <w:rPr>
          <w:rFonts w:asciiTheme="majorHAnsi" w:hAnsiTheme="majorHAnsi" w:cstheme="majorHAnsi"/>
        </w:rPr>
        <w:t>D</w:t>
      </w:r>
      <w:r w:rsidRPr="006070EA">
        <w:rPr>
          <w:rFonts w:asciiTheme="majorHAnsi" w:hAnsiTheme="majorHAnsi" w:cstheme="majorHAnsi"/>
        </w:rPr>
        <w:t xml:space="preserve">). </w:t>
      </w:r>
      <w:r w:rsidR="00741649" w:rsidRPr="006070EA">
        <w:rPr>
          <w:rFonts w:asciiTheme="majorHAnsi" w:hAnsiTheme="majorHAnsi" w:cstheme="majorHAnsi"/>
        </w:rPr>
        <w:t>Dle vyhlášky plochy drážní dopravy zahrnují zpravidla obvod dráhy, včetně náspů, zářezů, opěrných zdí, mostů, kolejišť a doprovodné zeleně, dále pozemky zařízení pro drážní dopravu, například stanice, zastávky, nástupiště a přístupové cesty, provozní budovy a pozemky dep, opraven, vozoven, překladišť a</w:t>
      </w:r>
      <w:r w:rsidR="00DE2ABD" w:rsidRPr="006070EA">
        <w:rPr>
          <w:rFonts w:asciiTheme="majorHAnsi" w:hAnsiTheme="majorHAnsi" w:cstheme="majorHAnsi"/>
        </w:rPr>
        <w:t> </w:t>
      </w:r>
      <w:r w:rsidR="00741649" w:rsidRPr="006070EA">
        <w:rPr>
          <w:rFonts w:asciiTheme="majorHAnsi" w:hAnsiTheme="majorHAnsi" w:cstheme="majorHAnsi"/>
        </w:rPr>
        <w:t xml:space="preserve">správních budov. </w:t>
      </w:r>
      <w:r w:rsidRPr="006070EA">
        <w:rPr>
          <w:rFonts w:asciiTheme="majorHAnsi" w:hAnsiTheme="majorHAnsi" w:cstheme="majorHAnsi"/>
        </w:rPr>
        <w:t xml:space="preserve">Důvodem </w:t>
      </w:r>
      <w:r w:rsidR="00741649" w:rsidRPr="006070EA">
        <w:rPr>
          <w:rFonts w:asciiTheme="majorHAnsi" w:hAnsiTheme="majorHAnsi" w:cstheme="majorHAnsi"/>
        </w:rPr>
        <w:t xml:space="preserve">pro vymezení je také </w:t>
      </w:r>
      <w:r w:rsidRPr="006070EA">
        <w:rPr>
          <w:rFonts w:asciiTheme="majorHAnsi" w:hAnsiTheme="majorHAnsi" w:cstheme="majorHAnsi"/>
        </w:rPr>
        <w:t xml:space="preserve">intenzita </w:t>
      </w:r>
      <w:r w:rsidR="008F5A25" w:rsidRPr="006070EA">
        <w:rPr>
          <w:rFonts w:asciiTheme="majorHAnsi" w:hAnsiTheme="majorHAnsi" w:cstheme="majorHAnsi"/>
        </w:rPr>
        <w:t xml:space="preserve">železniční </w:t>
      </w:r>
      <w:r w:rsidRPr="006070EA">
        <w:rPr>
          <w:rFonts w:asciiTheme="majorHAnsi" w:hAnsiTheme="majorHAnsi" w:cstheme="majorHAnsi"/>
        </w:rPr>
        <w:t xml:space="preserve">dopravy a její </w:t>
      </w:r>
      <w:r w:rsidR="008F5A25" w:rsidRPr="006070EA">
        <w:rPr>
          <w:rFonts w:asciiTheme="majorHAnsi" w:hAnsiTheme="majorHAnsi" w:cstheme="majorHAnsi"/>
        </w:rPr>
        <w:t>forma</w:t>
      </w:r>
      <w:r w:rsidRPr="006070EA">
        <w:rPr>
          <w:rFonts w:asciiTheme="majorHAnsi" w:hAnsiTheme="majorHAnsi" w:cstheme="majorHAnsi"/>
        </w:rPr>
        <w:t xml:space="preserve">, které vylučují začlenění těchto pozemků do ploch jiného způsobu využití. </w:t>
      </w:r>
    </w:p>
    <w:p w14:paraId="6F623575" w14:textId="4284E170" w:rsidR="00E71236" w:rsidRPr="006070EA" w:rsidRDefault="00E71236" w:rsidP="009E07E1">
      <w:pPr>
        <w:pStyle w:val="Atext"/>
        <w:spacing w:before="60" w:after="60"/>
        <w:rPr>
          <w:rFonts w:asciiTheme="majorHAnsi" w:hAnsiTheme="majorHAnsi" w:cstheme="majorHAnsi"/>
        </w:rPr>
      </w:pPr>
      <w:r w:rsidRPr="006070EA">
        <w:rPr>
          <w:rFonts w:asciiTheme="majorHAnsi" w:hAnsiTheme="majorHAnsi" w:cstheme="majorHAnsi"/>
        </w:rPr>
        <w:t>Za účelem zvýšení bezpečnosti dopravy územní plán stanovuje zajistit kvalitativní a bezpečnostní úpravy úrovňových křížení železniční trati se silnicemi a ostatními pozemními komunikacemi. V této souvislosti je akcentována potřeba zajištění podmínek pro rozvoj opatření, souvisejících s provozem na železniční trati. Konkrétně je územním plánem stanoveno v případě realizace úrovňového či mimoúrovňového křížení železniční trati se silnicí nebo s jinou pozemní komunikací použít podmínky pro plochy s rozdílným způsobem využití DZ, DS nebo PV podle konkrétní stavby dopravní infrastruktury bez ohledu na to, která plocha je uvedena v hlavním výkrese dokumentace. Vzhledem k trvale rostoucímu počtu cestujících v osobní dopravě, což dokládají statistiky Českých drah i Ministerstva dopravy ČR (nárůst počtu cestujících ČD z 162,9 milionů za rok 2009 na 179,2</w:t>
      </w:r>
      <w:r w:rsidR="00244BC2">
        <w:rPr>
          <w:rFonts w:asciiTheme="majorHAnsi" w:hAnsiTheme="majorHAnsi" w:cstheme="majorHAnsi"/>
        </w:rPr>
        <w:t> </w:t>
      </w:r>
      <w:r w:rsidRPr="006070EA">
        <w:rPr>
          <w:rFonts w:asciiTheme="majorHAnsi" w:hAnsiTheme="majorHAnsi" w:cstheme="majorHAnsi"/>
        </w:rPr>
        <w:t>milionu za rok 2018), rostoucímu vládnímu tlaku na rozvoj udržitelné dopravy například prostřednictvím Dopravní politiky ČR pro období 2021-2027 s výhledem do roku 2050 lze v budoucnu očekávat tlak na rozvoj dnešní železniční sítě.</w:t>
      </w:r>
    </w:p>
    <w:p w14:paraId="2A1DE238" w14:textId="20CF7163" w:rsidR="00936D5A" w:rsidRPr="006070EA" w:rsidRDefault="00936D5A" w:rsidP="00936D5A">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244BC2">
        <w:rPr>
          <w:rFonts w:asciiTheme="majorHAnsi" w:hAnsiTheme="majorHAnsi" w:cstheme="majorHAnsi"/>
          <w:b/>
          <w:i/>
          <w:snapToGrid w:val="0"/>
          <w:u w:val="single"/>
        </w:rPr>
        <w:t>24</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5DED8AAB" w14:textId="77777777" w:rsidR="00C01BC8" w:rsidRPr="00A76411" w:rsidRDefault="00E71236" w:rsidP="00E71236">
      <w:pPr>
        <w:pStyle w:val="Atext"/>
        <w:rPr>
          <w:rFonts w:asciiTheme="majorHAnsi" w:hAnsiTheme="majorHAnsi" w:cstheme="majorHAnsi"/>
        </w:rPr>
      </w:pPr>
      <w:r w:rsidRPr="00A76411">
        <w:rPr>
          <w:rFonts w:asciiTheme="majorHAnsi" w:hAnsiTheme="majorHAnsi" w:cstheme="majorHAnsi"/>
        </w:rPr>
        <w:t>Ve vazbě na výše uvedené a s</w:t>
      </w:r>
      <w:r w:rsidR="00244BC2" w:rsidRPr="00A76411">
        <w:rPr>
          <w:rFonts w:asciiTheme="majorHAnsi" w:hAnsiTheme="majorHAnsi" w:cstheme="majorHAnsi"/>
        </w:rPr>
        <w:t xml:space="preserve"> přihlédnutím </w:t>
      </w:r>
      <w:r w:rsidRPr="00A76411">
        <w:rPr>
          <w:rFonts w:asciiTheme="majorHAnsi" w:hAnsiTheme="majorHAnsi" w:cstheme="majorHAnsi"/>
        </w:rPr>
        <w:t>k požadavku zadání ÚP a poskytnut</w:t>
      </w:r>
      <w:r w:rsidR="00244BC2" w:rsidRPr="00A76411">
        <w:rPr>
          <w:rFonts w:asciiTheme="majorHAnsi" w:hAnsiTheme="majorHAnsi" w:cstheme="majorHAnsi"/>
        </w:rPr>
        <w:t>ým</w:t>
      </w:r>
      <w:r w:rsidRPr="00A76411">
        <w:rPr>
          <w:rFonts w:asciiTheme="majorHAnsi" w:hAnsiTheme="majorHAnsi" w:cstheme="majorHAnsi"/>
        </w:rPr>
        <w:t xml:space="preserve"> oborov</w:t>
      </w:r>
      <w:r w:rsidR="00244BC2" w:rsidRPr="00A76411">
        <w:rPr>
          <w:rFonts w:asciiTheme="majorHAnsi" w:hAnsiTheme="majorHAnsi" w:cstheme="majorHAnsi"/>
        </w:rPr>
        <w:t>ým</w:t>
      </w:r>
      <w:r w:rsidRPr="00A76411">
        <w:rPr>
          <w:rFonts w:asciiTheme="majorHAnsi" w:hAnsiTheme="majorHAnsi" w:cstheme="majorHAnsi"/>
        </w:rPr>
        <w:t xml:space="preserve"> podklad</w:t>
      </w:r>
      <w:r w:rsidR="00244BC2" w:rsidRPr="00A76411">
        <w:rPr>
          <w:rFonts w:asciiTheme="majorHAnsi" w:hAnsiTheme="majorHAnsi" w:cstheme="majorHAnsi"/>
        </w:rPr>
        <w:t>ům</w:t>
      </w:r>
      <w:r w:rsidRPr="00A76411">
        <w:rPr>
          <w:rFonts w:asciiTheme="majorHAnsi" w:hAnsiTheme="majorHAnsi" w:cstheme="majorHAnsi"/>
        </w:rPr>
        <w:t xml:space="preserve"> vymezuje Územní plán koridor </w:t>
      </w:r>
      <w:r w:rsidR="00244BC2" w:rsidRPr="00A76411">
        <w:rPr>
          <w:rFonts w:asciiTheme="majorHAnsi" w:hAnsiTheme="majorHAnsi" w:cstheme="majorHAnsi"/>
        </w:rPr>
        <w:t xml:space="preserve">dopravní infrastruktury pro </w:t>
      </w:r>
      <w:r w:rsidR="00E82842" w:rsidRPr="00A76411">
        <w:rPr>
          <w:rFonts w:asciiTheme="majorHAnsi" w:hAnsiTheme="majorHAnsi" w:cstheme="majorHAnsi"/>
        </w:rPr>
        <w:t>doprav</w:t>
      </w:r>
      <w:r w:rsidR="00244BC2" w:rsidRPr="00A76411">
        <w:rPr>
          <w:rFonts w:asciiTheme="majorHAnsi" w:hAnsiTheme="majorHAnsi" w:cstheme="majorHAnsi"/>
        </w:rPr>
        <w:t>u</w:t>
      </w:r>
      <w:r w:rsidR="00E82842" w:rsidRPr="00A76411">
        <w:rPr>
          <w:rFonts w:asciiTheme="majorHAnsi" w:hAnsiTheme="majorHAnsi" w:cstheme="majorHAnsi"/>
        </w:rPr>
        <w:t xml:space="preserve"> drážní </w:t>
      </w:r>
      <w:r w:rsidR="00E82842" w:rsidRPr="00A76411">
        <w:rPr>
          <w:rFonts w:asciiTheme="majorHAnsi" w:hAnsiTheme="majorHAnsi" w:cstheme="majorHAnsi"/>
          <w:b/>
          <w:bCs w:val="0"/>
        </w:rPr>
        <w:t>CN</w:t>
      </w:r>
      <w:r w:rsidR="00244BC2" w:rsidRPr="00A76411">
        <w:rPr>
          <w:rFonts w:asciiTheme="majorHAnsi" w:hAnsiTheme="majorHAnsi" w:cstheme="majorHAnsi"/>
          <w:b/>
          <w:bCs w:val="0"/>
        </w:rPr>
        <w:t>Z</w:t>
      </w:r>
      <w:r w:rsidR="00E82842" w:rsidRPr="00A76411">
        <w:rPr>
          <w:rFonts w:asciiTheme="majorHAnsi" w:hAnsiTheme="majorHAnsi" w:cstheme="majorHAnsi"/>
          <w:b/>
          <w:bCs w:val="0"/>
        </w:rPr>
        <w:t>.</w:t>
      </w:r>
      <w:r w:rsidR="00244BC2" w:rsidRPr="00A76411">
        <w:rPr>
          <w:rFonts w:asciiTheme="majorHAnsi" w:hAnsiTheme="majorHAnsi" w:cstheme="majorHAnsi"/>
          <w:b/>
          <w:bCs w:val="0"/>
        </w:rPr>
        <w:t>D322</w:t>
      </w:r>
      <w:r w:rsidRPr="00A76411">
        <w:rPr>
          <w:rFonts w:asciiTheme="majorHAnsi" w:hAnsiTheme="majorHAnsi" w:cstheme="majorHAnsi"/>
        </w:rPr>
        <w:t xml:space="preserve"> pro modernizaci železniční trati č. 231 (traťový úsek Nymburk – Lysá nad Labem) a pro realizaci souvisejících dopravních staveb</w:t>
      </w:r>
      <w:r w:rsidR="00244BC2" w:rsidRPr="00A76411">
        <w:rPr>
          <w:rFonts w:asciiTheme="majorHAnsi" w:hAnsiTheme="majorHAnsi" w:cstheme="majorHAnsi"/>
        </w:rPr>
        <w:t>, který je vymezen v souladu se ZÚR SK, ve které je záměr vymezen pod ozn</w:t>
      </w:r>
      <w:r w:rsidR="00C01BC8" w:rsidRPr="00A76411">
        <w:rPr>
          <w:rFonts w:asciiTheme="majorHAnsi" w:hAnsiTheme="majorHAnsi" w:cstheme="majorHAnsi"/>
        </w:rPr>
        <w:t>.</w:t>
      </w:r>
      <w:r w:rsidR="00244BC2" w:rsidRPr="00A76411">
        <w:rPr>
          <w:rFonts w:asciiTheme="majorHAnsi" w:hAnsiTheme="majorHAnsi" w:cstheme="majorHAnsi"/>
        </w:rPr>
        <w:t xml:space="preserve"> D322 (koridor pro železniční tratě č. 231 a č.072 Kolín – Lysá nad Labem – Liběchov (hranice kraje), včetně Libické spojky (trať č. 020), modernizace). </w:t>
      </w:r>
    </w:p>
    <w:p w14:paraId="1DEDA206" w14:textId="60E770CE" w:rsidR="00936D5A" w:rsidRPr="00A76411" w:rsidRDefault="00C01BC8" w:rsidP="00E71236">
      <w:pPr>
        <w:pStyle w:val="Atext"/>
        <w:rPr>
          <w:rFonts w:asciiTheme="majorHAnsi" w:hAnsiTheme="majorHAnsi" w:cstheme="majorHAnsi"/>
        </w:rPr>
      </w:pPr>
      <w:r w:rsidRPr="00A76411">
        <w:rPr>
          <w:rFonts w:asciiTheme="majorHAnsi" w:hAnsiTheme="majorHAnsi" w:cstheme="majorHAnsi"/>
        </w:rPr>
        <w:t xml:space="preserve">Územní plán řeší současně dopravní stavby související s plánovanou modernizací železniční trati v koridoru CNZ.D322, </w:t>
      </w:r>
      <w:r w:rsidR="00E71236" w:rsidRPr="00A76411">
        <w:rPr>
          <w:rFonts w:asciiTheme="majorHAnsi" w:hAnsiTheme="majorHAnsi" w:cstheme="majorHAnsi"/>
        </w:rPr>
        <w:t xml:space="preserve">včetně přeložky silnice III. třídy III/3317 </w:t>
      </w:r>
      <w:r w:rsidR="00086CF3" w:rsidRPr="00A76411">
        <w:rPr>
          <w:rFonts w:asciiTheme="majorHAnsi" w:hAnsiTheme="majorHAnsi" w:cstheme="majorHAnsi"/>
        </w:rPr>
        <w:t xml:space="preserve">(ve třech variantách) </w:t>
      </w:r>
      <w:r w:rsidR="00E71236" w:rsidRPr="00A76411">
        <w:rPr>
          <w:rFonts w:asciiTheme="majorHAnsi" w:hAnsiTheme="majorHAnsi" w:cstheme="majorHAnsi"/>
        </w:rPr>
        <w:t xml:space="preserve">a její mimoúrovňové křížení se železniční tratí č. 231. </w:t>
      </w:r>
      <w:r w:rsidRPr="00A76411">
        <w:rPr>
          <w:rFonts w:asciiTheme="majorHAnsi" w:hAnsiTheme="majorHAnsi" w:cstheme="majorHAnsi"/>
        </w:rPr>
        <w:t xml:space="preserve">Pro tyto a další související dopravní stavby vymezuje územní plán spolu s koridorem CNZ.D322 dále také koridory dopravní infrastruktury </w:t>
      </w:r>
      <w:r w:rsidRPr="00A76411">
        <w:rPr>
          <w:rFonts w:asciiTheme="majorHAnsi" w:hAnsiTheme="majorHAnsi" w:cstheme="majorHAnsi"/>
          <w:b/>
          <w:bCs w:val="0"/>
        </w:rPr>
        <w:t>CNU.KD1</w:t>
      </w:r>
      <w:r w:rsidR="00C208DE" w:rsidRPr="00A76411">
        <w:rPr>
          <w:rFonts w:asciiTheme="majorHAnsi" w:hAnsiTheme="majorHAnsi" w:cstheme="majorHAnsi"/>
        </w:rPr>
        <w:t>,</w:t>
      </w:r>
      <w:r w:rsidRPr="00A76411">
        <w:rPr>
          <w:rFonts w:asciiTheme="majorHAnsi" w:hAnsiTheme="majorHAnsi" w:cstheme="majorHAnsi"/>
        </w:rPr>
        <w:t xml:space="preserve"> </w:t>
      </w:r>
      <w:r w:rsidRPr="00A76411">
        <w:rPr>
          <w:rFonts w:asciiTheme="majorHAnsi" w:hAnsiTheme="majorHAnsi" w:cstheme="majorHAnsi"/>
          <w:b/>
          <w:bCs w:val="0"/>
        </w:rPr>
        <w:t>CNU.KD2</w:t>
      </w:r>
      <w:r w:rsidR="00C208DE" w:rsidRPr="00A76411">
        <w:rPr>
          <w:rFonts w:asciiTheme="majorHAnsi" w:hAnsiTheme="majorHAnsi" w:cstheme="majorHAnsi"/>
          <w:b/>
          <w:bCs w:val="0"/>
        </w:rPr>
        <w:t xml:space="preserve"> </w:t>
      </w:r>
      <w:r w:rsidR="00C208DE" w:rsidRPr="00A76411">
        <w:rPr>
          <w:rFonts w:asciiTheme="majorHAnsi" w:hAnsiTheme="majorHAnsi" w:cstheme="majorHAnsi"/>
        </w:rPr>
        <w:t>a</w:t>
      </w:r>
      <w:r w:rsidR="00C208DE" w:rsidRPr="00A76411">
        <w:rPr>
          <w:rFonts w:asciiTheme="majorHAnsi" w:hAnsiTheme="majorHAnsi" w:cstheme="majorHAnsi"/>
          <w:b/>
          <w:bCs w:val="0"/>
        </w:rPr>
        <w:t xml:space="preserve"> CNU.KD3</w:t>
      </w:r>
      <w:r w:rsidRPr="00A76411">
        <w:rPr>
          <w:rFonts w:asciiTheme="majorHAnsi" w:hAnsiTheme="majorHAnsi" w:cstheme="majorHAnsi"/>
        </w:rPr>
        <w:t xml:space="preserve">, které jsou vymezeny na základě podkladů Správy železnic, s. p., konkrétně technické studie zpracované projekční kanceláří SUDOP, a.s. Koridor CNU.KD1 pro přeložku silnice III/3317 je vymezen v rozsahu umožňujícím realizaci komunikace ve třech různých variantách, protože v současné době není známo přesné umístění všech dopravních staveb souvisejících se záměrem modernizace železniční trati, a je  nutné je prověřit a zpřesnit v rámci navazujících podrobnějších podkladů a dokumentací. </w:t>
      </w:r>
    </w:p>
    <w:p w14:paraId="41E2B360" w14:textId="27D7C208" w:rsidR="00086CF3" w:rsidRPr="00A76411" w:rsidRDefault="00086CF3" w:rsidP="00E71236">
      <w:pPr>
        <w:pStyle w:val="Atext"/>
        <w:rPr>
          <w:rFonts w:asciiTheme="majorHAnsi" w:hAnsiTheme="majorHAnsi" w:cstheme="majorHAnsi"/>
        </w:rPr>
      </w:pPr>
      <w:r w:rsidRPr="00A76411">
        <w:rPr>
          <w:rFonts w:asciiTheme="majorHAnsi" w:hAnsiTheme="majorHAnsi" w:cstheme="majorHAnsi"/>
        </w:rPr>
        <w:t xml:space="preserve">Koridor </w:t>
      </w:r>
      <w:r w:rsidR="00E82842" w:rsidRPr="00A76411">
        <w:rPr>
          <w:rFonts w:asciiTheme="majorHAnsi" w:hAnsiTheme="majorHAnsi" w:cstheme="majorHAnsi"/>
        </w:rPr>
        <w:t>CN</w:t>
      </w:r>
      <w:r w:rsidR="001E189B" w:rsidRPr="00A76411">
        <w:rPr>
          <w:rFonts w:asciiTheme="majorHAnsi" w:hAnsiTheme="majorHAnsi" w:cstheme="majorHAnsi"/>
        </w:rPr>
        <w:t>Z</w:t>
      </w:r>
      <w:r w:rsidR="00E82842" w:rsidRPr="00A76411">
        <w:rPr>
          <w:rFonts w:asciiTheme="majorHAnsi" w:hAnsiTheme="majorHAnsi" w:cstheme="majorHAnsi"/>
        </w:rPr>
        <w:t>.</w:t>
      </w:r>
      <w:r w:rsidR="001E189B" w:rsidRPr="00A76411">
        <w:rPr>
          <w:rFonts w:asciiTheme="majorHAnsi" w:hAnsiTheme="majorHAnsi" w:cstheme="majorHAnsi"/>
        </w:rPr>
        <w:t>D322</w:t>
      </w:r>
      <w:r w:rsidRPr="00A76411">
        <w:rPr>
          <w:rFonts w:asciiTheme="majorHAnsi" w:hAnsiTheme="majorHAnsi" w:cstheme="majorHAnsi"/>
        </w:rPr>
        <w:t xml:space="preserve"> pro modernizaci železniční trati a </w:t>
      </w:r>
      <w:r w:rsidR="001E189B" w:rsidRPr="00A76411">
        <w:rPr>
          <w:rFonts w:asciiTheme="majorHAnsi" w:hAnsiTheme="majorHAnsi" w:cstheme="majorHAnsi"/>
        </w:rPr>
        <w:t xml:space="preserve">související koridory dopravní infrastruktury CNU.KD1 a CNU.KD2, zahrnující </w:t>
      </w:r>
      <w:r w:rsidRPr="00A76411">
        <w:rPr>
          <w:rFonts w:asciiTheme="majorHAnsi" w:hAnsiTheme="majorHAnsi" w:cstheme="majorHAnsi"/>
        </w:rPr>
        <w:t>variantní řešení přeložky silnice III/3317</w:t>
      </w:r>
      <w:r w:rsidR="001E189B" w:rsidRPr="00A76411">
        <w:rPr>
          <w:rFonts w:asciiTheme="majorHAnsi" w:hAnsiTheme="majorHAnsi" w:cstheme="majorHAnsi"/>
        </w:rPr>
        <w:t>,</w:t>
      </w:r>
      <w:r w:rsidRPr="00A76411">
        <w:rPr>
          <w:rFonts w:asciiTheme="majorHAnsi" w:hAnsiTheme="majorHAnsi" w:cstheme="majorHAnsi"/>
        </w:rPr>
        <w:t xml:space="preserve"> j</w:t>
      </w:r>
      <w:r w:rsidR="001E189B" w:rsidRPr="00A76411">
        <w:rPr>
          <w:rFonts w:asciiTheme="majorHAnsi" w:hAnsiTheme="majorHAnsi" w:cstheme="majorHAnsi"/>
        </w:rPr>
        <w:t>sou vymezeny v rozsahu</w:t>
      </w:r>
      <w:r w:rsidRPr="00A76411">
        <w:rPr>
          <w:rFonts w:asciiTheme="majorHAnsi" w:hAnsiTheme="majorHAnsi" w:cstheme="majorHAnsi"/>
        </w:rPr>
        <w:t xml:space="preserve"> </w:t>
      </w:r>
      <w:r w:rsidR="001E189B" w:rsidRPr="00A76411">
        <w:rPr>
          <w:rFonts w:asciiTheme="majorHAnsi" w:hAnsiTheme="majorHAnsi" w:cstheme="majorHAnsi"/>
        </w:rPr>
        <w:t xml:space="preserve">o souhrnné </w:t>
      </w:r>
      <w:r w:rsidRPr="00A76411">
        <w:rPr>
          <w:rFonts w:asciiTheme="majorHAnsi" w:hAnsiTheme="majorHAnsi" w:cstheme="majorHAnsi"/>
        </w:rPr>
        <w:t xml:space="preserve">výměře </w:t>
      </w:r>
      <w:r w:rsidR="00A25D55" w:rsidRPr="00A76411">
        <w:rPr>
          <w:rFonts w:asciiTheme="majorHAnsi" w:hAnsiTheme="majorHAnsi" w:cstheme="majorHAnsi"/>
        </w:rPr>
        <w:t>cca 54,3 ha. Tato výměra zahrnuje všechny tři varianty přeložky silnice III/3317, přičemž při realizaci záměru ve výsledné zvolené variantě pozbývají podmínky pro rozhodování v</w:t>
      </w:r>
      <w:r w:rsidR="001E189B" w:rsidRPr="00A76411">
        <w:rPr>
          <w:rFonts w:asciiTheme="majorHAnsi" w:hAnsiTheme="majorHAnsi" w:cstheme="majorHAnsi"/>
        </w:rPr>
        <w:t xml:space="preserve"> daném </w:t>
      </w:r>
      <w:r w:rsidR="00A25D55" w:rsidRPr="00A76411">
        <w:rPr>
          <w:rFonts w:asciiTheme="majorHAnsi" w:hAnsiTheme="majorHAnsi" w:cstheme="majorHAnsi"/>
        </w:rPr>
        <w:t xml:space="preserve">koridoru </w:t>
      </w:r>
      <w:r w:rsidR="001E189B" w:rsidRPr="00A76411">
        <w:rPr>
          <w:rFonts w:asciiTheme="majorHAnsi" w:hAnsiTheme="majorHAnsi" w:cstheme="majorHAnsi"/>
        </w:rPr>
        <w:t xml:space="preserve">dopravní infrastruktury </w:t>
      </w:r>
      <w:r w:rsidR="00A25D55" w:rsidRPr="00A76411">
        <w:rPr>
          <w:rFonts w:asciiTheme="majorHAnsi" w:hAnsiTheme="majorHAnsi" w:cstheme="majorHAnsi"/>
        </w:rPr>
        <w:t xml:space="preserve">platnosti, tzn. že po modernizaci železniční trati a po realizaci přeložky silnice III/3317 nebude možné </w:t>
      </w:r>
      <w:r w:rsidR="001E189B" w:rsidRPr="00A76411">
        <w:rPr>
          <w:rFonts w:asciiTheme="majorHAnsi" w:hAnsiTheme="majorHAnsi" w:cstheme="majorHAnsi"/>
        </w:rPr>
        <w:t xml:space="preserve">zbývající části vymezených </w:t>
      </w:r>
      <w:r w:rsidR="00A25D55" w:rsidRPr="00A76411">
        <w:rPr>
          <w:rFonts w:asciiTheme="majorHAnsi" w:hAnsiTheme="majorHAnsi" w:cstheme="majorHAnsi"/>
        </w:rPr>
        <w:t>koridor</w:t>
      </w:r>
      <w:r w:rsidR="001E189B" w:rsidRPr="00A76411">
        <w:rPr>
          <w:rFonts w:asciiTheme="majorHAnsi" w:hAnsiTheme="majorHAnsi" w:cstheme="majorHAnsi"/>
        </w:rPr>
        <w:t>ů</w:t>
      </w:r>
      <w:r w:rsidR="00A25D55" w:rsidRPr="00A76411">
        <w:rPr>
          <w:rFonts w:asciiTheme="majorHAnsi" w:hAnsiTheme="majorHAnsi" w:cstheme="majorHAnsi"/>
        </w:rPr>
        <w:t xml:space="preserve"> využít pro další záměr.</w:t>
      </w:r>
      <w:r w:rsidR="00C208DE" w:rsidRPr="00A76411">
        <w:rPr>
          <w:rFonts w:asciiTheme="majorHAnsi" w:hAnsiTheme="majorHAnsi" w:cstheme="majorHAnsi"/>
        </w:rPr>
        <w:t xml:space="preserve"> Koridor CNU.KD3 je vymezen za účelem umožnění propojení místních komunikací ve východní části sídla (místní komunikace a ul. K Přejezdu).</w:t>
      </w:r>
    </w:p>
    <w:p w14:paraId="2F0CD00F" w14:textId="29C1FF4A" w:rsidR="001E189B" w:rsidRPr="00A76411" w:rsidRDefault="001E189B" w:rsidP="001E189B">
      <w:pPr>
        <w:spacing w:before="120" w:after="120"/>
        <w:jc w:val="both"/>
        <w:rPr>
          <w:rFonts w:asciiTheme="majorHAnsi" w:hAnsiTheme="majorHAnsi" w:cstheme="majorHAnsi"/>
          <w:i/>
          <w:iCs/>
          <w:snapToGrid w:val="0"/>
          <w:sz w:val="18"/>
          <w:szCs w:val="18"/>
        </w:rPr>
      </w:pPr>
      <w:r w:rsidRPr="00A76411">
        <w:rPr>
          <w:rFonts w:asciiTheme="majorHAnsi" w:hAnsiTheme="majorHAnsi" w:cstheme="majorHAnsi"/>
          <w:i/>
          <w:iCs/>
          <w:snapToGrid w:val="0"/>
          <w:sz w:val="18"/>
          <w:szCs w:val="18"/>
        </w:rPr>
        <w:t>Souhrnné doplnění odůvodnění potřebnosti vymezení koridorů CNZ.D322, CNU.KD1</w:t>
      </w:r>
      <w:r w:rsidR="00C208DE" w:rsidRPr="00A76411">
        <w:rPr>
          <w:rFonts w:asciiTheme="majorHAnsi" w:hAnsiTheme="majorHAnsi" w:cstheme="majorHAnsi"/>
          <w:i/>
          <w:iCs/>
          <w:snapToGrid w:val="0"/>
          <w:sz w:val="18"/>
          <w:szCs w:val="18"/>
        </w:rPr>
        <w:t>,</w:t>
      </w:r>
      <w:r w:rsidRPr="00A76411">
        <w:rPr>
          <w:rFonts w:asciiTheme="majorHAnsi" w:hAnsiTheme="majorHAnsi" w:cstheme="majorHAnsi"/>
          <w:i/>
          <w:iCs/>
          <w:snapToGrid w:val="0"/>
          <w:sz w:val="18"/>
          <w:szCs w:val="18"/>
        </w:rPr>
        <w:t xml:space="preserve"> CNU.KD2</w:t>
      </w:r>
      <w:r w:rsidR="00C208DE" w:rsidRPr="00A76411">
        <w:rPr>
          <w:rFonts w:asciiTheme="majorHAnsi" w:hAnsiTheme="majorHAnsi" w:cstheme="majorHAnsi"/>
          <w:i/>
          <w:iCs/>
          <w:snapToGrid w:val="0"/>
          <w:sz w:val="18"/>
          <w:szCs w:val="18"/>
        </w:rPr>
        <w:t xml:space="preserve"> a CNU.KD3</w:t>
      </w:r>
    </w:p>
    <w:p w14:paraId="750F8BFC" w14:textId="6C7F596C" w:rsidR="001E189B" w:rsidRPr="00A76411" w:rsidRDefault="001E189B" w:rsidP="001E189B">
      <w:pPr>
        <w:spacing w:before="120" w:after="120"/>
        <w:ind w:firstLine="709"/>
        <w:jc w:val="both"/>
        <w:rPr>
          <w:rFonts w:asciiTheme="majorHAnsi" w:hAnsiTheme="majorHAnsi" w:cstheme="majorHAnsi"/>
          <w:snapToGrid w:val="0"/>
          <w:sz w:val="18"/>
          <w:szCs w:val="18"/>
        </w:rPr>
      </w:pPr>
      <w:r w:rsidRPr="00A76411">
        <w:rPr>
          <w:rFonts w:asciiTheme="majorHAnsi" w:hAnsiTheme="majorHAnsi" w:cstheme="majorHAnsi"/>
          <w:snapToGrid w:val="0"/>
          <w:sz w:val="18"/>
          <w:szCs w:val="18"/>
        </w:rPr>
        <w:t xml:space="preserve">Výše uvedené koridory jsou zpřesněny a vymezeny na základě oborového podkladu k záměru modernizace traťového úseku Nymburk (mimo) – Lysá nad Labem (mimo). V širších souvislostech záměr navazuje na plánované úpravy na železničních tratí na trase Praha – Nymburk – Lysá nad Labem – Velký Osek – Chlumec nad Cidlinou – Hradec Králové, přičemž v území sousedního Královéhradeckého kraje je záměr optimalizace navazující železniční trati č. 020 zahrnut v Zásadách územního rozvoje Královéhradeckého kraje (koridor DZ4, zpracována studie proveditelnosti). V ZÚR Středočeského kraje je předmětný </w:t>
      </w:r>
      <w:r w:rsidRPr="00A76411">
        <w:rPr>
          <w:rFonts w:asciiTheme="majorHAnsi" w:hAnsiTheme="majorHAnsi" w:cstheme="majorHAnsi"/>
          <w:snapToGrid w:val="0"/>
          <w:sz w:val="18"/>
          <w:szCs w:val="18"/>
        </w:rPr>
        <w:lastRenderedPageBreak/>
        <w:t>záměr evidován pod označením D322, podrobněji viz kapitola 3.2 obsahující vyhodnocení souladu územního plánu s nadřazenou územně plánovací dokumentací na úrovni kraje.</w:t>
      </w:r>
    </w:p>
    <w:p w14:paraId="707A45AB" w14:textId="77777777" w:rsidR="001E189B" w:rsidRPr="00A76411" w:rsidRDefault="001E189B" w:rsidP="001E189B">
      <w:pPr>
        <w:spacing w:before="120" w:after="120"/>
        <w:ind w:firstLine="709"/>
        <w:jc w:val="both"/>
        <w:rPr>
          <w:rFonts w:asciiTheme="majorHAnsi" w:hAnsiTheme="majorHAnsi" w:cstheme="majorHAnsi"/>
          <w:snapToGrid w:val="0"/>
          <w:sz w:val="18"/>
          <w:szCs w:val="18"/>
        </w:rPr>
      </w:pPr>
      <w:r w:rsidRPr="00A76411">
        <w:rPr>
          <w:rFonts w:asciiTheme="majorHAnsi" w:hAnsiTheme="majorHAnsi" w:cstheme="majorHAnsi"/>
          <w:snapToGrid w:val="0"/>
          <w:sz w:val="18"/>
          <w:szCs w:val="18"/>
        </w:rPr>
        <w:t>Pro uvedený záměr modernizace traťového úseku Nymburk (mimo) – Lysá nad Labem (mimo) vydala Správa železnic informační leták (únor 2020, dostupné online z </w:t>
      </w:r>
      <w:hyperlink r:id="rId51" w:history="1">
        <w:r w:rsidRPr="00A76411">
          <w:rPr>
            <w:rStyle w:val="Hypertextovodkaz"/>
            <w:rFonts w:asciiTheme="majorHAnsi" w:hAnsiTheme="majorHAnsi" w:cstheme="majorHAnsi"/>
            <w:snapToGrid w:val="0"/>
            <w:sz w:val="18"/>
            <w:szCs w:val="18"/>
          </w:rPr>
          <w:t>www.szdc.cz</w:t>
        </w:r>
      </w:hyperlink>
      <w:r w:rsidRPr="00A76411">
        <w:rPr>
          <w:rFonts w:asciiTheme="majorHAnsi" w:hAnsiTheme="majorHAnsi" w:cstheme="majorHAnsi"/>
          <w:snapToGrid w:val="0"/>
          <w:sz w:val="18"/>
          <w:szCs w:val="18"/>
        </w:rPr>
        <w:t>), popisující záměr (kód stavby S-08) následovně (citace kurzívou):</w:t>
      </w:r>
    </w:p>
    <w:p w14:paraId="1DCFAC88" w14:textId="77777777" w:rsidR="001E189B" w:rsidRPr="00A76411" w:rsidRDefault="001E189B" w:rsidP="001E189B">
      <w:pPr>
        <w:spacing w:before="120" w:after="120"/>
        <w:ind w:firstLine="709"/>
        <w:jc w:val="both"/>
        <w:rPr>
          <w:rFonts w:asciiTheme="majorHAnsi" w:hAnsiTheme="majorHAnsi" w:cstheme="majorHAnsi"/>
          <w:i/>
          <w:iCs/>
          <w:snapToGrid w:val="0"/>
          <w:sz w:val="18"/>
          <w:szCs w:val="18"/>
        </w:rPr>
      </w:pPr>
      <w:r w:rsidRPr="00A76411">
        <w:rPr>
          <w:rFonts w:asciiTheme="majorHAnsi" w:hAnsiTheme="majorHAnsi" w:cstheme="majorHAnsi"/>
          <w:i/>
          <w:iCs/>
          <w:snapToGrid w:val="0"/>
          <w:sz w:val="18"/>
          <w:szCs w:val="18"/>
        </w:rPr>
        <w:t>V rámci stavebních prací bude provedena kompletní rekonstrukce všech komponentů železniční dopravní cesty včetně zastávek. Příznivé směrové poměry na většině traťového úseku umožní zvýšit rychlost vlaků až na 160 km/h. Cílem stavby je především vybudování nových nástupišť ve stanici Kostomlaty nad Labem, dále zajištění potřebných parametrů trati pro nákladní dopravu, tedy zejména dostatečné délky staničních kolejí, zrychlení osobní dopravy zvýšením traťové rychlosti, zřízení nové výhybny pro zmírnění dopadu výlukové činnosti, snížení hlukové zátěže a zrušení co největšího počtu železničních přejezdů. Projekt bude spolufinancovaný EU v rámci Operačního programu Doprava.</w:t>
      </w:r>
    </w:p>
    <w:p w14:paraId="431A972D" w14:textId="77777777" w:rsidR="001E189B" w:rsidRPr="00A76411" w:rsidRDefault="001E189B" w:rsidP="001E189B">
      <w:pPr>
        <w:spacing w:before="120" w:after="120"/>
        <w:ind w:firstLine="709"/>
        <w:jc w:val="both"/>
        <w:rPr>
          <w:rFonts w:asciiTheme="majorHAnsi" w:hAnsiTheme="majorHAnsi" w:cstheme="majorHAnsi"/>
          <w:snapToGrid w:val="0"/>
          <w:sz w:val="18"/>
          <w:szCs w:val="18"/>
        </w:rPr>
      </w:pPr>
      <w:r w:rsidRPr="00A76411">
        <w:rPr>
          <w:rFonts w:asciiTheme="majorHAnsi" w:hAnsiTheme="majorHAnsi" w:cstheme="majorHAnsi"/>
          <w:snapToGrid w:val="0"/>
          <w:sz w:val="18"/>
          <w:szCs w:val="18"/>
        </w:rPr>
        <w:t>Součástí stavby bude v řešeném území realizace nových mimoúrovňových přístupných nástupišť a přestavba kolejiště na místním nádraží. Trasu řešené stavby modernizace železniční trati zobrazuje graficky níže uvedený obrázek:</w:t>
      </w:r>
    </w:p>
    <w:p w14:paraId="6E2674E8" w14:textId="77777777" w:rsidR="001E189B" w:rsidRPr="00A76411" w:rsidRDefault="001E189B" w:rsidP="001E189B">
      <w:pPr>
        <w:spacing w:before="120" w:after="120"/>
        <w:jc w:val="both"/>
        <w:rPr>
          <w:rFonts w:asciiTheme="majorHAnsi" w:hAnsiTheme="majorHAnsi" w:cstheme="majorHAnsi"/>
          <w:snapToGrid w:val="0"/>
          <w:sz w:val="18"/>
          <w:szCs w:val="18"/>
        </w:rPr>
      </w:pPr>
      <w:r w:rsidRPr="00A76411">
        <w:rPr>
          <w:rFonts w:asciiTheme="majorHAnsi" w:hAnsiTheme="majorHAnsi" w:cstheme="majorHAnsi"/>
          <w:noProof/>
          <w:snapToGrid w:val="0"/>
          <w:sz w:val="18"/>
          <w:szCs w:val="18"/>
        </w:rPr>
        <w:drawing>
          <wp:inline distT="0" distB="0" distL="0" distR="0" wp14:anchorId="2A60E1F4" wp14:editId="201AA099">
            <wp:extent cx="5759450" cy="3236595"/>
            <wp:effectExtent l="0" t="0" r="0" b="1905"/>
            <wp:docPr id="13" name="Obrázek 13" descr="Obsah obrázku mapa, text, atlas&#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Obrázek 13" descr="Obsah obrázku mapa, text, atlas&#10;&#10;Popis byl vytvořen automaticky"/>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59450" cy="3236595"/>
                    </a:xfrm>
                    <a:prstGeom prst="rect">
                      <a:avLst/>
                    </a:prstGeom>
                    <a:noFill/>
                    <a:ln>
                      <a:noFill/>
                    </a:ln>
                  </pic:spPr>
                </pic:pic>
              </a:graphicData>
            </a:graphic>
          </wp:inline>
        </w:drawing>
      </w:r>
    </w:p>
    <w:p w14:paraId="545FE722" w14:textId="77777777" w:rsidR="001E189B" w:rsidRPr="00A76411" w:rsidRDefault="001E189B" w:rsidP="001E189B">
      <w:pPr>
        <w:spacing w:before="120" w:after="120"/>
        <w:jc w:val="both"/>
        <w:rPr>
          <w:rFonts w:asciiTheme="majorHAnsi" w:hAnsiTheme="majorHAnsi" w:cstheme="majorHAnsi"/>
          <w:i/>
          <w:iCs/>
          <w:snapToGrid w:val="0"/>
          <w:sz w:val="18"/>
          <w:szCs w:val="18"/>
        </w:rPr>
      </w:pPr>
      <w:r w:rsidRPr="00A76411">
        <w:rPr>
          <w:rFonts w:asciiTheme="majorHAnsi" w:hAnsiTheme="majorHAnsi" w:cstheme="majorHAnsi"/>
          <w:i/>
          <w:iCs/>
          <w:snapToGrid w:val="0"/>
          <w:sz w:val="18"/>
          <w:szCs w:val="18"/>
        </w:rPr>
        <w:t>Obr.: Trasa stavby Modernizace traťového úseku Nymburk – Lysá nad Labem (www.szdc.cz)</w:t>
      </w:r>
    </w:p>
    <w:p w14:paraId="7E32F11E" w14:textId="77777777" w:rsidR="001E189B" w:rsidRPr="00A76411" w:rsidRDefault="001E189B" w:rsidP="001E189B">
      <w:pPr>
        <w:spacing w:before="120" w:after="120"/>
        <w:jc w:val="both"/>
        <w:rPr>
          <w:rFonts w:asciiTheme="majorHAnsi" w:hAnsiTheme="majorHAnsi" w:cstheme="majorHAnsi"/>
          <w:i/>
          <w:iCs/>
          <w:snapToGrid w:val="0"/>
          <w:sz w:val="18"/>
          <w:szCs w:val="18"/>
        </w:rPr>
      </w:pPr>
      <w:r w:rsidRPr="00A76411">
        <w:rPr>
          <w:rFonts w:asciiTheme="majorHAnsi" w:hAnsiTheme="majorHAnsi" w:cstheme="majorHAnsi"/>
          <w:i/>
          <w:iCs/>
          <w:snapToGrid w:val="0"/>
          <w:sz w:val="18"/>
          <w:szCs w:val="18"/>
        </w:rPr>
        <w:t>Popis stavby:</w:t>
      </w:r>
    </w:p>
    <w:p w14:paraId="03591013" w14:textId="77777777" w:rsidR="001E189B" w:rsidRPr="00A76411" w:rsidRDefault="001E189B" w:rsidP="001E189B">
      <w:pPr>
        <w:spacing w:before="120" w:after="120"/>
        <w:ind w:firstLine="709"/>
        <w:jc w:val="both"/>
        <w:rPr>
          <w:rFonts w:asciiTheme="majorHAnsi" w:hAnsiTheme="majorHAnsi" w:cstheme="majorHAnsi"/>
          <w:i/>
          <w:iCs/>
          <w:snapToGrid w:val="0"/>
          <w:sz w:val="18"/>
          <w:szCs w:val="18"/>
        </w:rPr>
      </w:pPr>
      <w:r w:rsidRPr="00A76411">
        <w:rPr>
          <w:rFonts w:asciiTheme="majorHAnsi" w:hAnsiTheme="majorHAnsi" w:cstheme="majorHAnsi"/>
          <w:i/>
          <w:iCs/>
          <w:snapToGrid w:val="0"/>
          <w:sz w:val="18"/>
          <w:szCs w:val="18"/>
        </w:rPr>
        <w:t>Železniční trať mezi Nymburkem a Lysou nad Labem ve Středočeském kraji je dvoukolejná a elektrizovaná stejnosměrnou napěťovou soustavou 3 kV. Maximální rychlost vlaků je na tomto úseku 120 km/h. Leží zde tři zastávky a jedna stanice. Kolejiště ve stanici Kostomlaty nad Labem projde kompletní přestavbou, nově zde budou čtyři dopravní a jedna manipulační kolej. Tři nástupištní hrany budou ve výšce 550 mm nad temenem kolejnice. Pro zajištění bezbariérového přístupu na ostrovní nástupiště se zde postaví podchod s přístupovými chodníky. V blízkosti zastávky Stratov se vybuduje odbočka Hákov s obousměrným kolejovým propojením pro snížení dopadu výluk na provoz vlaků. Vzhledem k době uzavření železničních přejezdů jsou v zastávkách navrženy přístupové podchody pod kolejemi na nástupiště, vybavené přístupovými schodišti. Bezbariérový přístup bude zajištěn přes zachované přejezdy. Z dnešních 13 přejezdů by však mělo zůstat pouze pět, zbývajících osm se nahradí polními cestami nebo nadjezdy a přeložkami stávajících silnic II. a III. třídy.</w:t>
      </w:r>
    </w:p>
    <w:p w14:paraId="0ACA6C44" w14:textId="77777777" w:rsidR="001E189B" w:rsidRPr="00A76411" w:rsidRDefault="001E189B" w:rsidP="001E189B">
      <w:pPr>
        <w:spacing w:before="120" w:after="120"/>
        <w:ind w:firstLine="709"/>
        <w:jc w:val="both"/>
        <w:rPr>
          <w:rFonts w:asciiTheme="majorHAnsi" w:hAnsiTheme="majorHAnsi" w:cstheme="majorHAnsi"/>
          <w:i/>
          <w:iCs/>
          <w:snapToGrid w:val="0"/>
          <w:sz w:val="18"/>
          <w:szCs w:val="18"/>
        </w:rPr>
      </w:pPr>
      <w:r w:rsidRPr="00A76411">
        <w:rPr>
          <w:rFonts w:asciiTheme="majorHAnsi" w:hAnsiTheme="majorHAnsi" w:cstheme="majorHAnsi"/>
          <w:i/>
          <w:iCs/>
          <w:snapToGrid w:val="0"/>
          <w:sz w:val="18"/>
          <w:szCs w:val="18"/>
        </w:rPr>
        <w:t>V celém úseku proběhne rekonstrukce železničního spodku, svršku i trolejového vedení, nové bude i sdělovací a zabezpečovací zařízení. Na zastávce Kamenné Zboží budou nová vnější nástupiště dlouhá 200 metrů. Přístup na ně bude z nově vybudovaného chodníku, pod kolejištěm se postaví podchod. V Kostomlatech vznikne jedno ostrovní nástupiště mezi kolejemi dlouhé rovněž 200 metrů a dále vnější nástupiště u výpravní budovy. Na ně se cestující dostanou po přístupových chodnících, na ostrovní nástupiště pak podchodem. Ve Stratově nahradí nová nástupiště současná ve stávající poloze, přístup bude zajištěn podchodem pod tratí. Dvě nová vnější nástupiště s mimoúrovňovým přístupem vzniknou i na zastávce Ostrá. Oproti současnému stavu se posunou před přejezd, i zde se postaví pod tratí nový podchod. V rámci realizace projektu se přestaví interiér výpravní budovy v Kostomlatech nad Labem. Vymění se místnosti dopravní kanceláře a čekárny, nové umístění bude mít i pokladna. Jak v této stanici, tak i na nově zřízené odbočce a v některých zastávkách budou nové technologické objekty. Zastávky dostanou přístřešky, nástupiště zastřešení. Všude bude instalován nový orientační a informační systém.</w:t>
      </w:r>
    </w:p>
    <w:p w14:paraId="12A82B7F" w14:textId="7653776C" w:rsidR="001E189B" w:rsidRPr="00A76411" w:rsidRDefault="001E189B" w:rsidP="001E189B">
      <w:pPr>
        <w:spacing w:before="120" w:after="120"/>
        <w:ind w:firstLine="709"/>
        <w:jc w:val="both"/>
        <w:rPr>
          <w:rFonts w:asciiTheme="majorHAnsi" w:hAnsiTheme="majorHAnsi" w:cstheme="majorHAnsi"/>
          <w:snapToGrid w:val="0"/>
          <w:sz w:val="18"/>
          <w:szCs w:val="18"/>
        </w:rPr>
      </w:pPr>
      <w:r w:rsidRPr="00A76411">
        <w:rPr>
          <w:rFonts w:asciiTheme="majorHAnsi" w:hAnsiTheme="majorHAnsi" w:cstheme="majorHAnsi"/>
          <w:snapToGrid w:val="0"/>
          <w:sz w:val="18"/>
          <w:szCs w:val="18"/>
        </w:rPr>
        <w:lastRenderedPageBreak/>
        <w:t>Koridory CNU.KD1</w:t>
      </w:r>
      <w:r w:rsidR="00C208DE" w:rsidRPr="00A76411">
        <w:rPr>
          <w:rFonts w:asciiTheme="majorHAnsi" w:hAnsiTheme="majorHAnsi" w:cstheme="majorHAnsi"/>
          <w:snapToGrid w:val="0"/>
          <w:sz w:val="18"/>
          <w:szCs w:val="18"/>
        </w:rPr>
        <w:t>,</w:t>
      </w:r>
      <w:r w:rsidRPr="00A76411">
        <w:rPr>
          <w:rFonts w:asciiTheme="majorHAnsi" w:hAnsiTheme="majorHAnsi" w:cstheme="majorHAnsi"/>
          <w:snapToGrid w:val="0"/>
          <w:sz w:val="18"/>
          <w:szCs w:val="18"/>
        </w:rPr>
        <w:t xml:space="preserve"> CNU.KD2 </w:t>
      </w:r>
      <w:r w:rsidR="00C208DE" w:rsidRPr="00A76411">
        <w:rPr>
          <w:rFonts w:asciiTheme="majorHAnsi" w:hAnsiTheme="majorHAnsi" w:cstheme="majorHAnsi"/>
          <w:snapToGrid w:val="0"/>
          <w:sz w:val="18"/>
          <w:szCs w:val="18"/>
        </w:rPr>
        <w:t xml:space="preserve">a CNU.KD3 </w:t>
      </w:r>
      <w:r w:rsidRPr="00A76411">
        <w:rPr>
          <w:rFonts w:asciiTheme="majorHAnsi" w:hAnsiTheme="majorHAnsi" w:cstheme="majorHAnsi"/>
          <w:snapToGrid w:val="0"/>
          <w:sz w:val="18"/>
          <w:szCs w:val="18"/>
        </w:rPr>
        <w:t xml:space="preserve">vymezené pouze na území obce Kostomlaty nad Labem zahrnují území určené pro stavby související s plánovanou modernizací železniční trati </w:t>
      </w:r>
      <w:r w:rsidR="00402E8F" w:rsidRPr="00A76411">
        <w:rPr>
          <w:rFonts w:asciiTheme="majorHAnsi" w:hAnsiTheme="majorHAnsi" w:cstheme="majorHAnsi"/>
          <w:snapToGrid w:val="0"/>
          <w:sz w:val="18"/>
          <w:szCs w:val="18"/>
        </w:rPr>
        <w:t>v koridoru CNZ.D322</w:t>
      </w:r>
      <w:r w:rsidRPr="00A76411">
        <w:rPr>
          <w:rFonts w:asciiTheme="majorHAnsi" w:hAnsiTheme="majorHAnsi" w:cstheme="majorHAnsi"/>
          <w:snapToGrid w:val="0"/>
          <w:sz w:val="18"/>
          <w:szCs w:val="18"/>
        </w:rPr>
        <w:t xml:space="preserve">, </w:t>
      </w:r>
      <w:r w:rsidR="00402E8F" w:rsidRPr="00A76411">
        <w:rPr>
          <w:rFonts w:asciiTheme="majorHAnsi" w:hAnsiTheme="majorHAnsi" w:cstheme="majorHAnsi"/>
          <w:snapToGrid w:val="0"/>
          <w:sz w:val="18"/>
          <w:szCs w:val="18"/>
        </w:rPr>
        <w:t xml:space="preserve">zejména </w:t>
      </w:r>
      <w:r w:rsidRPr="00A76411">
        <w:rPr>
          <w:rFonts w:asciiTheme="majorHAnsi" w:hAnsiTheme="majorHAnsi" w:cstheme="majorHAnsi"/>
          <w:snapToGrid w:val="0"/>
          <w:sz w:val="18"/>
          <w:szCs w:val="18"/>
        </w:rPr>
        <w:t xml:space="preserve">přeložku silnice III. třídy III/3317, pro kterou je zpracován orientační návrh variantního řešení, jehož grafické vyjádření poskytuje obrázek níže: </w:t>
      </w:r>
    </w:p>
    <w:p w14:paraId="589962DA" w14:textId="77777777" w:rsidR="001E189B" w:rsidRPr="00A76411" w:rsidRDefault="001E189B" w:rsidP="001E189B">
      <w:pPr>
        <w:spacing w:before="120" w:after="120"/>
        <w:jc w:val="both"/>
        <w:rPr>
          <w:rFonts w:asciiTheme="majorHAnsi" w:hAnsiTheme="majorHAnsi" w:cstheme="majorHAnsi"/>
          <w:snapToGrid w:val="0"/>
          <w:color w:val="FF0000"/>
          <w:sz w:val="18"/>
          <w:szCs w:val="18"/>
        </w:rPr>
      </w:pPr>
      <w:r w:rsidRPr="00A76411">
        <w:rPr>
          <w:rFonts w:asciiTheme="majorHAnsi" w:hAnsiTheme="majorHAnsi" w:cstheme="majorHAnsi"/>
          <w:noProof/>
          <w:color w:val="FF0000"/>
          <w:sz w:val="18"/>
          <w:szCs w:val="18"/>
        </w:rPr>
        <mc:AlternateContent>
          <mc:Choice Requires="wps">
            <w:drawing>
              <wp:anchor distT="0" distB="0" distL="114300" distR="114300" simplePos="0" relativeHeight="251660800" behindDoc="0" locked="0" layoutInCell="1" allowOverlap="1" wp14:anchorId="7B1C60F3" wp14:editId="62E04CA9">
                <wp:simplePos x="0" y="0"/>
                <wp:positionH relativeFrom="column">
                  <wp:posOffset>213360</wp:posOffset>
                </wp:positionH>
                <wp:positionV relativeFrom="paragraph">
                  <wp:posOffset>264160</wp:posOffset>
                </wp:positionV>
                <wp:extent cx="314325" cy="828675"/>
                <wp:effectExtent l="0" t="19050" r="66675" b="28575"/>
                <wp:wrapNone/>
                <wp:docPr id="8" name="Šipka: dolů 8"/>
                <wp:cNvGraphicFramePr/>
                <a:graphic xmlns:a="http://schemas.openxmlformats.org/drawingml/2006/main">
                  <a:graphicData uri="http://schemas.microsoft.com/office/word/2010/wordprocessingShape">
                    <wps:wsp>
                      <wps:cNvSpPr/>
                      <wps:spPr>
                        <a:xfrm rot="11196244">
                          <a:off x="0" y="0"/>
                          <a:ext cx="314325" cy="828675"/>
                        </a:xfrm>
                        <a:prstGeom prst="downArrow">
                          <a:avLst/>
                        </a:prstGeom>
                        <a:solidFill>
                          <a:schemeClr val="bg1"/>
                        </a:solidFill>
                        <a:ln>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C460548"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Šipka: dolů 8" o:spid="_x0000_s1026" type="#_x0000_t67" style="position:absolute;margin-left:16.8pt;margin-top:20.8pt;width:24.75pt;height:65.25pt;rotation:-11363676fd;z-index:251660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" adj="17503" fillcolor="white [3212]" strokecolor="black [3213]" strokeweight="1pt"/>
            </w:pict>
          </mc:Fallback>
        </mc:AlternateContent>
      </w:r>
      <w:r w:rsidRPr="00A76411">
        <w:rPr>
          <w:rFonts w:asciiTheme="majorHAnsi" w:hAnsiTheme="majorHAnsi" w:cstheme="majorHAnsi"/>
          <w:noProof/>
          <w:snapToGrid w:val="0"/>
          <w:color w:val="FF0000"/>
          <w:sz w:val="18"/>
          <w:szCs w:val="18"/>
        </w:rPr>
        <w:drawing>
          <wp:inline distT="0" distB="0" distL="0" distR="0" wp14:anchorId="0D8BC74B" wp14:editId="79274012">
            <wp:extent cx="5724525" cy="3419475"/>
            <wp:effectExtent l="0" t="0" r="9525" b="9525"/>
            <wp:docPr id="806080423" name="Obrázek 1" descr="Obsah obrázku text, mapa, snímek obrazovky&#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6080423" name="Obrázek 1" descr="Obsah obrázku text, mapa, snímek obrazovky&#10;&#10;Popis byl vytvořen automaticky"/>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24525" cy="3419475"/>
                    </a:xfrm>
                    <a:prstGeom prst="rect">
                      <a:avLst/>
                    </a:prstGeom>
                    <a:noFill/>
                    <a:ln>
                      <a:noFill/>
                    </a:ln>
                  </pic:spPr>
                </pic:pic>
              </a:graphicData>
            </a:graphic>
          </wp:inline>
        </w:drawing>
      </w:r>
    </w:p>
    <w:p w14:paraId="0F723C7C" w14:textId="3EB9728F" w:rsidR="001E189B" w:rsidRPr="00A76411" w:rsidRDefault="001E189B" w:rsidP="001E189B">
      <w:pPr>
        <w:spacing w:before="120" w:after="120"/>
        <w:ind w:firstLine="709"/>
        <w:jc w:val="both"/>
        <w:rPr>
          <w:rFonts w:asciiTheme="majorHAnsi" w:hAnsiTheme="majorHAnsi" w:cstheme="majorHAnsi"/>
          <w:snapToGrid w:val="0"/>
          <w:sz w:val="18"/>
          <w:szCs w:val="18"/>
        </w:rPr>
      </w:pPr>
      <w:r w:rsidRPr="00A76411">
        <w:rPr>
          <w:rFonts w:asciiTheme="majorHAnsi" w:hAnsiTheme="majorHAnsi" w:cstheme="majorHAnsi"/>
          <w:snapToGrid w:val="0"/>
          <w:sz w:val="18"/>
          <w:szCs w:val="18"/>
        </w:rPr>
        <w:t>Koridor CN</w:t>
      </w:r>
      <w:r w:rsidR="00402E8F" w:rsidRPr="00A76411">
        <w:rPr>
          <w:rFonts w:asciiTheme="majorHAnsi" w:hAnsiTheme="majorHAnsi" w:cstheme="majorHAnsi"/>
          <w:snapToGrid w:val="0"/>
          <w:sz w:val="18"/>
          <w:szCs w:val="18"/>
        </w:rPr>
        <w:t>U</w:t>
      </w:r>
      <w:r w:rsidRPr="00A76411">
        <w:rPr>
          <w:rFonts w:asciiTheme="majorHAnsi" w:hAnsiTheme="majorHAnsi" w:cstheme="majorHAnsi"/>
          <w:snapToGrid w:val="0"/>
          <w:sz w:val="18"/>
          <w:szCs w:val="18"/>
        </w:rPr>
        <w:t>.KD1 vytváří podmínky pro realizaci předmětné přeložky ve všech variantách, přičemž územní plán stanovuje, že podmínky pro rozhodování v koridoru pozbývají platnosti realizací staveb a opatření, pro něž je vymezen. Přesto, že je koridor CNU.KD1 vymezen tedy v širším rozsahu, po realizaci staveb, pro něž je určen, nebude dále omezeno využití ploch, které jsou jeho vymezením dotčeny (pokud nebudou využity pro realizaci souvisejících záměrů).</w:t>
      </w:r>
      <w:r w:rsidR="00402E8F" w:rsidRPr="00A76411">
        <w:rPr>
          <w:rFonts w:asciiTheme="majorHAnsi" w:hAnsiTheme="majorHAnsi" w:cstheme="majorHAnsi"/>
          <w:snapToGrid w:val="0"/>
          <w:sz w:val="18"/>
          <w:szCs w:val="18"/>
        </w:rPr>
        <w:t xml:space="preserve"> Koridor CNU.KD2 je vymezen pro napojení plánované přeložky, resp. jejího mimoúrovňového křížení se železniční tratí, na silnici II. třídy II/331.</w:t>
      </w:r>
      <w:r w:rsidR="00C208DE" w:rsidRPr="00A76411">
        <w:t xml:space="preserve"> </w:t>
      </w:r>
      <w:r w:rsidR="00C208DE" w:rsidRPr="00A76411">
        <w:rPr>
          <w:rFonts w:asciiTheme="majorHAnsi" w:hAnsiTheme="majorHAnsi" w:cstheme="majorHAnsi"/>
          <w:snapToGrid w:val="0"/>
          <w:sz w:val="18"/>
          <w:szCs w:val="18"/>
        </w:rPr>
        <w:t>Koridor CNU.KD3 je vymezen za účelem umožnění propojení místních komunikací ve východní části sídla (místní komunikace a ul. K Přejezdu).</w:t>
      </w:r>
    </w:p>
    <w:p w14:paraId="2C871B1E" w14:textId="4DEE5472" w:rsidR="001E189B" w:rsidRPr="006070EA" w:rsidRDefault="001E189B" w:rsidP="001E189B">
      <w:pPr>
        <w:spacing w:before="120" w:after="120"/>
        <w:ind w:firstLine="709"/>
        <w:jc w:val="both"/>
        <w:rPr>
          <w:rFonts w:asciiTheme="majorHAnsi" w:hAnsiTheme="majorHAnsi" w:cstheme="majorHAnsi"/>
          <w:snapToGrid w:val="0"/>
          <w:sz w:val="18"/>
          <w:szCs w:val="18"/>
        </w:rPr>
      </w:pPr>
      <w:r w:rsidRPr="00A76411">
        <w:rPr>
          <w:rFonts w:asciiTheme="majorHAnsi" w:hAnsiTheme="majorHAnsi" w:cstheme="majorHAnsi"/>
          <w:snapToGrid w:val="0"/>
          <w:sz w:val="18"/>
          <w:szCs w:val="18"/>
        </w:rPr>
        <w:t>Vymezení koridor</w:t>
      </w:r>
      <w:r w:rsidR="00402E8F" w:rsidRPr="00A76411">
        <w:rPr>
          <w:rFonts w:asciiTheme="majorHAnsi" w:hAnsiTheme="majorHAnsi" w:cstheme="majorHAnsi"/>
          <w:snapToGrid w:val="0"/>
          <w:sz w:val="18"/>
          <w:szCs w:val="18"/>
        </w:rPr>
        <w:t>ů</w:t>
      </w:r>
      <w:r w:rsidRPr="00A76411">
        <w:rPr>
          <w:rFonts w:asciiTheme="majorHAnsi" w:hAnsiTheme="majorHAnsi" w:cstheme="majorHAnsi"/>
          <w:snapToGrid w:val="0"/>
          <w:sz w:val="18"/>
          <w:szCs w:val="18"/>
        </w:rPr>
        <w:t xml:space="preserve"> CNU.KD1</w:t>
      </w:r>
      <w:r w:rsidR="00C208DE" w:rsidRPr="00A76411">
        <w:rPr>
          <w:rFonts w:asciiTheme="majorHAnsi" w:hAnsiTheme="majorHAnsi" w:cstheme="majorHAnsi"/>
          <w:snapToGrid w:val="0"/>
          <w:sz w:val="18"/>
          <w:szCs w:val="18"/>
        </w:rPr>
        <w:t>,</w:t>
      </w:r>
      <w:r w:rsidR="00402E8F" w:rsidRPr="00A76411">
        <w:rPr>
          <w:rFonts w:asciiTheme="majorHAnsi" w:hAnsiTheme="majorHAnsi" w:cstheme="majorHAnsi"/>
          <w:snapToGrid w:val="0"/>
          <w:sz w:val="18"/>
          <w:szCs w:val="18"/>
        </w:rPr>
        <w:t xml:space="preserve"> CNU.KD2</w:t>
      </w:r>
      <w:r w:rsidRPr="00A76411">
        <w:rPr>
          <w:rFonts w:asciiTheme="majorHAnsi" w:hAnsiTheme="majorHAnsi" w:cstheme="majorHAnsi"/>
          <w:snapToGrid w:val="0"/>
          <w:sz w:val="18"/>
          <w:szCs w:val="18"/>
        </w:rPr>
        <w:t xml:space="preserve"> </w:t>
      </w:r>
      <w:r w:rsidR="00C208DE" w:rsidRPr="00A76411">
        <w:rPr>
          <w:rFonts w:asciiTheme="majorHAnsi" w:hAnsiTheme="majorHAnsi" w:cstheme="majorHAnsi"/>
          <w:snapToGrid w:val="0"/>
          <w:sz w:val="18"/>
          <w:szCs w:val="18"/>
        </w:rPr>
        <w:t xml:space="preserve">a CNU.KD3 </w:t>
      </w:r>
      <w:r w:rsidRPr="00A76411">
        <w:rPr>
          <w:rFonts w:asciiTheme="majorHAnsi" w:hAnsiTheme="majorHAnsi" w:cstheme="majorHAnsi"/>
          <w:snapToGrid w:val="0"/>
          <w:sz w:val="18"/>
          <w:szCs w:val="18"/>
        </w:rPr>
        <w:t xml:space="preserve">je rovněž v souladu s požadavkem Zadání ÚP Kostomlaty nad Labem, které v kapitole </w:t>
      </w:r>
      <w:r w:rsidRPr="00A76411">
        <w:rPr>
          <w:rFonts w:asciiTheme="majorHAnsi" w:hAnsiTheme="majorHAnsi" w:cstheme="majorHAnsi"/>
          <w:i/>
          <w:iCs/>
          <w:snapToGrid w:val="0"/>
          <w:sz w:val="18"/>
          <w:szCs w:val="18"/>
        </w:rPr>
        <w:t xml:space="preserve">Požadavky na koncepci veřejné infrastruktury, zejména na prověření uspořádání veřejné infrastruktury a možnosti jejích změn </w:t>
      </w:r>
      <w:r w:rsidRPr="00A76411">
        <w:rPr>
          <w:rFonts w:asciiTheme="majorHAnsi" w:hAnsiTheme="majorHAnsi" w:cstheme="majorHAnsi"/>
          <w:snapToGrid w:val="0"/>
          <w:sz w:val="18"/>
          <w:szCs w:val="18"/>
        </w:rPr>
        <w:t>uvádí požadavek obce v oblasti dopravní infrastruktury ve znění: „Zvláštní důraz bude kladen na možnost řešení mimoúrovňového křížení železniční tratě v souladu s připravovanou „Modernizací traťového úseku Nymburk – Lysá nad Labem“.</w:t>
      </w:r>
    </w:p>
    <w:p w14:paraId="406D8C4F" w14:textId="624798E9" w:rsidR="00936D5A" w:rsidRPr="006070EA" w:rsidRDefault="00936D5A" w:rsidP="00936D5A">
      <w:pPr>
        <w:pStyle w:val="Atext"/>
        <w:rPr>
          <w:rFonts w:asciiTheme="majorHAnsi" w:hAnsiTheme="majorHAnsi" w:cstheme="majorHAnsi"/>
        </w:rPr>
      </w:pPr>
      <w:r w:rsidRPr="006070EA">
        <w:rPr>
          <w:rFonts w:asciiTheme="majorHAnsi" w:hAnsiTheme="majorHAnsi" w:cstheme="majorHAnsi"/>
        </w:rPr>
        <w:t>Koridor</w:t>
      </w:r>
      <w:r w:rsidR="001E189B">
        <w:rPr>
          <w:rFonts w:asciiTheme="majorHAnsi" w:hAnsiTheme="majorHAnsi" w:cstheme="majorHAnsi"/>
        </w:rPr>
        <w:t>y</w:t>
      </w:r>
      <w:r w:rsidRPr="006070EA">
        <w:rPr>
          <w:rFonts w:asciiTheme="majorHAnsi" w:hAnsiTheme="majorHAnsi" w:cstheme="majorHAnsi"/>
        </w:rPr>
        <w:t xml:space="preserve"> dopravní infrastruktury </w:t>
      </w:r>
      <w:r w:rsidR="00E71236" w:rsidRPr="006070EA">
        <w:rPr>
          <w:rFonts w:asciiTheme="majorHAnsi" w:hAnsiTheme="majorHAnsi" w:cstheme="majorHAnsi"/>
        </w:rPr>
        <w:t>j</w:t>
      </w:r>
      <w:r w:rsidR="001E189B">
        <w:rPr>
          <w:rFonts w:asciiTheme="majorHAnsi" w:hAnsiTheme="majorHAnsi" w:cstheme="majorHAnsi"/>
        </w:rPr>
        <w:t>sou</w:t>
      </w:r>
      <w:r w:rsidRPr="006070EA">
        <w:rPr>
          <w:rFonts w:asciiTheme="majorHAnsi" w:hAnsiTheme="majorHAnsi" w:cstheme="majorHAnsi"/>
        </w:rPr>
        <w:t xml:space="preserve"> vymezen</w:t>
      </w:r>
      <w:r w:rsidR="001E189B">
        <w:rPr>
          <w:rFonts w:asciiTheme="majorHAnsi" w:hAnsiTheme="majorHAnsi" w:cstheme="majorHAnsi"/>
        </w:rPr>
        <w:t>y</w:t>
      </w:r>
      <w:r w:rsidRPr="006070EA">
        <w:rPr>
          <w:rFonts w:asciiTheme="majorHAnsi" w:hAnsiTheme="majorHAnsi" w:cstheme="majorHAnsi"/>
        </w:rPr>
        <w:t xml:space="preserve"> </w:t>
      </w:r>
      <w:r w:rsidR="00AE3B5C" w:rsidRPr="006070EA">
        <w:rPr>
          <w:rFonts w:asciiTheme="majorHAnsi" w:hAnsiTheme="majorHAnsi" w:cstheme="majorHAnsi"/>
        </w:rPr>
        <w:t>vzhledem ke skutečnosti, že</w:t>
      </w:r>
      <w:r w:rsidRPr="006070EA">
        <w:rPr>
          <w:rFonts w:asciiTheme="majorHAnsi" w:hAnsiTheme="majorHAnsi" w:cstheme="majorHAnsi"/>
        </w:rPr>
        <w:t xml:space="preserve"> přesné umístění </w:t>
      </w:r>
      <w:r w:rsidR="00AE3B5C" w:rsidRPr="006070EA">
        <w:rPr>
          <w:rFonts w:asciiTheme="majorHAnsi" w:hAnsiTheme="majorHAnsi" w:cstheme="majorHAnsi"/>
        </w:rPr>
        <w:t xml:space="preserve">všech </w:t>
      </w:r>
      <w:r w:rsidRPr="006070EA">
        <w:rPr>
          <w:rFonts w:asciiTheme="majorHAnsi" w:hAnsiTheme="majorHAnsi" w:cstheme="majorHAnsi"/>
        </w:rPr>
        <w:t>dopravní</w:t>
      </w:r>
      <w:r w:rsidR="00AE3B5C" w:rsidRPr="006070EA">
        <w:rPr>
          <w:rFonts w:asciiTheme="majorHAnsi" w:hAnsiTheme="majorHAnsi" w:cstheme="majorHAnsi"/>
        </w:rPr>
        <w:t>ch</w:t>
      </w:r>
      <w:r w:rsidRPr="006070EA">
        <w:rPr>
          <w:rFonts w:asciiTheme="majorHAnsi" w:hAnsiTheme="majorHAnsi" w:cstheme="majorHAnsi"/>
        </w:rPr>
        <w:t xml:space="preserve"> stav</w:t>
      </w:r>
      <w:r w:rsidR="00AE3B5C" w:rsidRPr="006070EA">
        <w:rPr>
          <w:rFonts w:asciiTheme="majorHAnsi" w:hAnsiTheme="majorHAnsi" w:cstheme="majorHAnsi"/>
        </w:rPr>
        <w:t>eb, souvisejících se záměrem,</w:t>
      </w:r>
      <w:r w:rsidRPr="006070EA">
        <w:rPr>
          <w:rFonts w:asciiTheme="majorHAnsi" w:hAnsiTheme="majorHAnsi" w:cstheme="majorHAnsi"/>
        </w:rPr>
        <w:t xml:space="preserve"> ne</w:t>
      </w:r>
      <w:r w:rsidR="001E189B">
        <w:rPr>
          <w:rFonts w:asciiTheme="majorHAnsi" w:hAnsiTheme="majorHAnsi" w:cstheme="majorHAnsi"/>
        </w:rPr>
        <w:t>ní</w:t>
      </w:r>
      <w:r w:rsidRPr="006070EA">
        <w:rPr>
          <w:rFonts w:asciiTheme="majorHAnsi" w:hAnsiTheme="majorHAnsi" w:cstheme="majorHAnsi"/>
        </w:rPr>
        <w:t xml:space="preserve"> </w:t>
      </w:r>
      <w:r w:rsidR="00AE3B5C" w:rsidRPr="006070EA">
        <w:rPr>
          <w:rFonts w:asciiTheme="majorHAnsi" w:hAnsiTheme="majorHAnsi" w:cstheme="majorHAnsi"/>
        </w:rPr>
        <w:t xml:space="preserve">přesně </w:t>
      </w:r>
      <w:r w:rsidRPr="006070EA">
        <w:rPr>
          <w:rFonts w:asciiTheme="majorHAnsi" w:hAnsiTheme="majorHAnsi" w:cstheme="majorHAnsi"/>
        </w:rPr>
        <w:t>známo a je nutné je prověřit a zpřesnit v</w:t>
      </w:r>
      <w:r w:rsidR="00AE3B5C" w:rsidRPr="006070EA">
        <w:rPr>
          <w:rFonts w:asciiTheme="majorHAnsi" w:hAnsiTheme="majorHAnsi" w:cstheme="majorHAnsi"/>
        </w:rPr>
        <w:t> </w:t>
      </w:r>
      <w:r w:rsidRPr="006070EA">
        <w:rPr>
          <w:rFonts w:asciiTheme="majorHAnsi" w:hAnsiTheme="majorHAnsi" w:cstheme="majorHAnsi"/>
        </w:rPr>
        <w:t>rámci podrobnějších podkladů a</w:t>
      </w:r>
      <w:r w:rsidR="001E189B">
        <w:rPr>
          <w:rFonts w:asciiTheme="majorHAnsi" w:hAnsiTheme="majorHAnsi" w:cstheme="majorHAnsi"/>
        </w:rPr>
        <w:t> </w:t>
      </w:r>
      <w:r w:rsidRPr="006070EA">
        <w:rPr>
          <w:rFonts w:asciiTheme="majorHAnsi" w:hAnsiTheme="majorHAnsi" w:cstheme="majorHAnsi"/>
        </w:rPr>
        <w:t xml:space="preserve">dokumentací, </w:t>
      </w:r>
      <w:r w:rsidR="00AE3B5C" w:rsidRPr="006070EA">
        <w:rPr>
          <w:rFonts w:asciiTheme="majorHAnsi" w:hAnsiTheme="majorHAnsi" w:cstheme="majorHAnsi"/>
        </w:rPr>
        <w:t xml:space="preserve">a současně </w:t>
      </w:r>
      <w:r w:rsidRPr="006070EA">
        <w:rPr>
          <w:rFonts w:asciiTheme="majorHAnsi" w:hAnsiTheme="majorHAnsi" w:cstheme="majorHAnsi"/>
        </w:rPr>
        <w:t>pro zajištění dostatečného prostoru pro realizaci souvisejících staveb a</w:t>
      </w:r>
      <w:r w:rsidR="00E82842" w:rsidRPr="006070EA">
        <w:rPr>
          <w:rFonts w:asciiTheme="majorHAnsi" w:hAnsiTheme="majorHAnsi" w:cstheme="majorHAnsi"/>
        </w:rPr>
        <w:t> </w:t>
      </w:r>
      <w:r w:rsidRPr="006070EA">
        <w:rPr>
          <w:rFonts w:asciiTheme="majorHAnsi" w:hAnsiTheme="majorHAnsi" w:cstheme="majorHAnsi"/>
        </w:rPr>
        <w:t>opatření. Vymezení překryvného koridoru nad odlišnými plochami s rozdílným způsobem využití představuje způsob, jak vytvořit předpoklady pro umístění dopravní</w:t>
      </w:r>
      <w:r w:rsidR="00AE3B5C" w:rsidRPr="006070EA">
        <w:rPr>
          <w:rFonts w:asciiTheme="majorHAnsi" w:hAnsiTheme="majorHAnsi" w:cstheme="majorHAnsi"/>
        </w:rPr>
        <w:t>ch</w:t>
      </w:r>
      <w:r w:rsidRPr="006070EA">
        <w:rPr>
          <w:rFonts w:asciiTheme="majorHAnsi" w:hAnsiTheme="majorHAnsi" w:cstheme="majorHAnsi"/>
        </w:rPr>
        <w:t xml:space="preserve"> stav</w:t>
      </w:r>
      <w:r w:rsidR="00AE3B5C" w:rsidRPr="006070EA">
        <w:rPr>
          <w:rFonts w:asciiTheme="majorHAnsi" w:hAnsiTheme="majorHAnsi" w:cstheme="majorHAnsi"/>
        </w:rPr>
        <w:t>e</w:t>
      </w:r>
      <w:r w:rsidRPr="006070EA">
        <w:rPr>
          <w:rFonts w:asciiTheme="majorHAnsi" w:hAnsiTheme="majorHAnsi" w:cstheme="majorHAnsi"/>
        </w:rPr>
        <w:t>b v optimální poloze bez nutnosti změny ÚP; jedná se o výhodnější variantu</w:t>
      </w:r>
      <w:r w:rsidR="00AE3B5C" w:rsidRPr="006070EA">
        <w:rPr>
          <w:rFonts w:asciiTheme="majorHAnsi" w:hAnsiTheme="majorHAnsi" w:cstheme="majorHAnsi"/>
        </w:rPr>
        <w:t>,</w:t>
      </w:r>
      <w:r w:rsidRPr="006070EA">
        <w:rPr>
          <w:rFonts w:asciiTheme="majorHAnsi" w:hAnsiTheme="majorHAnsi" w:cstheme="majorHAnsi"/>
        </w:rPr>
        <w:t xml:space="preserve"> než je varianta vymezení konkrétní užší zastavitelné plochy či plochy přestavby, která se uplatní v případě, kdy je trasa dopravní stavby již podrobněji prověřena. </w:t>
      </w:r>
    </w:p>
    <w:p w14:paraId="45AC7B28" w14:textId="77777777" w:rsidR="00936D5A" w:rsidRPr="006070EA" w:rsidRDefault="00936D5A" w:rsidP="00936D5A">
      <w:pPr>
        <w:pStyle w:val="Atext"/>
        <w:rPr>
          <w:rFonts w:asciiTheme="majorHAnsi" w:hAnsiTheme="majorHAnsi" w:cstheme="majorHAnsi"/>
        </w:rPr>
      </w:pPr>
      <w:r w:rsidRPr="006070EA">
        <w:rPr>
          <w:rFonts w:asciiTheme="majorHAnsi" w:hAnsiTheme="majorHAnsi" w:cstheme="majorHAnsi"/>
        </w:rPr>
        <w:t xml:space="preserve">Pro rozhodování o změnách v území v rozsahu jednotlivých vymezených koridorů jsou stanoveny podmínky využití koridorů, zajišťující ochranu území pro účely realizace staveb, pro něž jsou koridory vymezeny. </w:t>
      </w:r>
    </w:p>
    <w:p w14:paraId="04FD79D0" w14:textId="52168B98" w:rsidR="00936D5A" w:rsidRPr="006070EA" w:rsidRDefault="00936D5A" w:rsidP="00936D5A">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AE3B5C" w:rsidRPr="006070EA">
        <w:rPr>
          <w:rFonts w:asciiTheme="majorHAnsi" w:hAnsiTheme="majorHAnsi" w:cstheme="majorHAnsi"/>
          <w:b/>
          <w:i/>
          <w:snapToGrid w:val="0"/>
          <w:u w:val="single"/>
        </w:rPr>
        <w:t>2</w:t>
      </w:r>
      <w:r w:rsidR="00402E8F">
        <w:rPr>
          <w:rFonts w:asciiTheme="majorHAnsi" w:hAnsiTheme="majorHAnsi" w:cstheme="majorHAnsi"/>
          <w:b/>
          <w:i/>
          <w:snapToGrid w:val="0"/>
          <w:u w:val="single"/>
        </w:rPr>
        <w:t>5</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0B36D098" w14:textId="77777777" w:rsidR="00936D5A" w:rsidRPr="006070EA" w:rsidRDefault="00936D5A" w:rsidP="00936D5A">
      <w:pPr>
        <w:pStyle w:val="Atext"/>
        <w:rPr>
          <w:rFonts w:asciiTheme="majorHAnsi" w:hAnsiTheme="majorHAnsi" w:cstheme="majorHAnsi"/>
        </w:rPr>
      </w:pPr>
      <w:r w:rsidRPr="006070EA">
        <w:rPr>
          <w:rFonts w:asciiTheme="majorHAnsi" w:hAnsiTheme="majorHAnsi" w:cstheme="majorHAnsi"/>
        </w:rPr>
        <w:t>Po realizaci stavby, pro kterou je koridor vymezen, podmínky stanovené v koridoru automaticky zanikají a platí pouze podmínky stanovené v plochách s rozdílným způsobem využití vymezených pod koridorem. Pokud by pro dopravní stavby byly vymezeny širší plochy s rozdílným způsobem využití nebo koridor nepřekryvný, bylo by po realizaci staveb nutné „zbytkové“ části území po dokončení dopravní stavby změnit (formou změny územního plánu) na požadované (případně i stabilizované) plochy s rozdílným způsobem využití. Z tohoto důvodu je řešení v podobě překryvného koridoru výhodnější a zajišťuje větší flexibilitu územního plánu v případě umisťování dopravních staveb.</w:t>
      </w:r>
    </w:p>
    <w:p w14:paraId="25AA8969" w14:textId="77777777" w:rsidR="00AB1F4C" w:rsidRPr="006070EA" w:rsidRDefault="000675FC" w:rsidP="009E07E1">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lastRenderedPageBreak/>
        <w:t>Veřejná hromadná doprava</w:t>
      </w:r>
    </w:p>
    <w:p w14:paraId="1A664914" w14:textId="33E1155E" w:rsidR="00121854" w:rsidRPr="006070EA" w:rsidRDefault="00121854"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7F6EAE">
        <w:rPr>
          <w:rFonts w:asciiTheme="majorHAnsi" w:hAnsiTheme="majorHAnsi" w:cstheme="majorHAnsi"/>
          <w:b/>
          <w:i/>
          <w:snapToGrid w:val="0"/>
          <w:u w:val="single"/>
        </w:rPr>
        <w:t>26</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610E4620" w14:textId="77777777" w:rsidR="00BC10CF" w:rsidRPr="006070EA" w:rsidRDefault="00BC10CF" w:rsidP="009E07E1">
      <w:pPr>
        <w:pStyle w:val="Anadpispodtren"/>
        <w:rPr>
          <w:rFonts w:asciiTheme="majorHAnsi" w:hAnsiTheme="majorHAnsi" w:cstheme="majorHAnsi"/>
          <w:b/>
          <w:sz w:val="20"/>
          <w:u w:val="none"/>
        </w:rPr>
      </w:pPr>
      <w:r w:rsidRPr="006070EA">
        <w:rPr>
          <w:rFonts w:asciiTheme="majorHAnsi" w:hAnsiTheme="majorHAnsi" w:cstheme="majorHAnsi"/>
          <w:b/>
          <w:sz w:val="20"/>
          <w:u w:val="none"/>
        </w:rPr>
        <w:t>Popis stávající situace</w:t>
      </w:r>
    </w:p>
    <w:p w14:paraId="1ED8BE8D" w14:textId="77777777" w:rsidR="00812AAD" w:rsidRPr="006070EA" w:rsidRDefault="00812AAD" w:rsidP="00812AAD">
      <w:pPr>
        <w:pStyle w:val="Atext"/>
        <w:rPr>
          <w:rFonts w:asciiTheme="majorHAnsi" w:hAnsiTheme="majorHAnsi" w:cstheme="majorHAnsi"/>
          <w:color w:val="000000"/>
        </w:rPr>
      </w:pPr>
      <w:r w:rsidRPr="006070EA">
        <w:rPr>
          <w:rFonts w:asciiTheme="majorHAnsi" w:hAnsiTheme="majorHAnsi" w:cstheme="majorHAnsi"/>
          <w:color w:val="000000"/>
        </w:rPr>
        <w:t xml:space="preserve">Hromadná doprava osob je na území obce zprostředkována autobusovou a železniční dopravou. </w:t>
      </w:r>
    </w:p>
    <w:p w14:paraId="7C12DEF7" w14:textId="77777777" w:rsidR="00812AAD" w:rsidRPr="006070EA" w:rsidRDefault="00812AAD" w:rsidP="00812AAD">
      <w:pPr>
        <w:pStyle w:val="Atext"/>
        <w:rPr>
          <w:rFonts w:asciiTheme="majorHAnsi" w:hAnsiTheme="majorHAnsi" w:cstheme="majorHAnsi"/>
          <w:color w:val="000000"/>
        </w:rPr>
      </w:pPr>
      <w:r w:rsidRPr="006070EA">
        <w:rPr>
          <w:rFonts w:asciiTheme="majorHAnsi" w:hAnsiTheme="majorHAnsi" w:cstheme="majorHAnsi"/>
          <w:color w:val="000000"/>
        </w:rPr>
        <w:t>Autobusová doprava je v řešeném území Kostomlat nad Labem zajišťována následujícími linkami a dopravci:</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953"/>
        <w:gridCol w:w="5660"/>
        <w:gridCol w:w="2391"/>
      </w:tblGrid>
      <w:tr w:rsidR="00812AAD" w:rsidRPr="006070EA" w14:paraId="61B01DA0" w14:textId="77777777" w:rsidTr="00AE3B5C">
        <w:trPr>
          <w:cantSplit/>
          <w:trHeight w:val="283"/>
          <w:tblHeader/>
          <w:jc w:val="center"/>
        </w:trPr>
        <w:tc>
          <w:tcPr>
            <w:tcW w:w="953" w:type="dxa"/>
            <w:tcBorders>
              <w:top w:val="nil"/>
              <w:bottom w:val="single" w:sz="12" w:space="0" w:color="auto"/>
              <w:right w:val="single" w:sz="12" w:space="0" w:color="auto"/>
            </w:tcBorders>
            <w:vAlign w:val="center"/>
          </w:tcPr>
          <w:p w14:paraId="7B00AF53" w14:textId="77777777" w:rsidR="00812AAD" w:rsidRPr="006070EA" w:rsidRDefault="00812AAD" w:rsidP="00F03B4A">
            <w:pPr>
              <w:pStyle w:val="Bezmezer"/>
              <w:keepNext/>
              <w:keepLines/>
              <w:jc w:val="center"/>
              <w:rPr>
                <w:rFonts w:asciiTheme="majorHAnsi" w:hAnsiTheme="majorHAnsi" w:cstheme="majorHAnsi"/>
                <w:b/>
                <w:color w:val="000000"/>
                <w:lang w:val="cs-CZ"/>
              </w:rPr>
            </w:pPr>
            <w:r w:rsidRPr="006070EA">
              <w:rPr>
                <w:rFonts w:asciiTheme="majorHAnsi" w:hAnsiTheme="majorHAnsi" w:cstheme="majorHAnsi"/>
                <w:b/>
                <w:color w:val="000000"/>
                <w:lang w:val="cs-CZ"/>
              </w:rPr>
              <w:t>číslo linky</w:t>
            </w:r>
          </w:p>
        </w:tc>
        <w:tc>
          <w:tcPr>
            <w:tcW w:w="5660" w:type="dxa"/>
            <w:tcBorders>
              <w:top w:val="nil"/>
              <w:left w:val="single" w:sz="12" w:space="0" w:color="auto"/>
              <w:bottom w:val="single" w:sz="12" w:space="0" w:color="auto"/>
              <w:right w:val="single" w:sz="12" w:space="0" w:color="auto"/>
            </w:tcBorders>
            <w:vAlign w:val="center"/>
          </w:tcPr>
          <w:p w14:paraId="6452FE42" w14:textId="77777777" w:rsidR="00812AAD" w:rsidRPr="006070EA" w:rsidRDefault="00812AAD" w:rsidP="00F03B4A">
            <w:pPr>
              <w:pStyle w:val="Bezmezer"/>
              <w:keepNext/>
              <w:keepLines/>
              <w:jc w:val="center"/>
              <w:rPr>
                <w:rFonts w:asciiTheme="majorHAnsi" w:hAnsiTheme="majorHAnsi" w:cstheme="majorHAnsi"/>
                <w:b/>
                <w:color w:val="000000"/>
                <w:lang w:val="cs-CZ"/>
              </w:rPr>
            </w:pPr>
            <w:r w:rsidRPr="006070EA">
              <w:rPr>
                <w:rFonts w:asciiTheme="majorHAnsi" w:hAnsiTheme="majorHAnsi" w:cstheme="majorHAnsi"/>
                <w:b/>
                <w:color w:val="000000"/>
                <w:lang w:val="cs-CZ"/>
              </w:rPr>
              <w:t>trasa</w:t>
            </w:r>
          </w:p>
        </w:tc>
        <w:tc>
          <w:tcPr>
            <w:tcW w:w="2391" w:type="dxa"/>
            <w:tcBorders>
              <w:top w:val="nil"/>
              <w:left w:val="single" w:sz="12" w:space="0" w:color="auto"/>
              <w:bottom w:val="single" w:sz="12" w:space="0" w:color="auto"/>
            </w:tcBorders>
            <w:vAlign w:val="center"/>
          </w:tcPr>
          <w:p w14:paraId="5EF11499" w14:textId="77777777" w:rsidR="00812AAD" w:rsidRPr="006070EA" w:rsidRDefault="00812AAD" w:rsidP="00F03B4A">
            <w:pPr>
              <w:pStyle w:val="Bezmezer"/>
              <w:keepNext/>
              <w:keepLines/>
              <w:jc w:val="center"/>
              <w:rPr>
                <w:rFonts w:asciiTheme="majorHAnsi" w:hAnsiTheme="majorHAnsi" w:cstheme="majorHAnsi"/>
                <w:b/>
                <w:color w:val="000000"/>
                <w:lang w:val="cs-CZ"/>
              </w:rPr>
            </w:pPr>
            <w:r w:rsidRPr="006070EA">
              <w:rPr>
                <w:rFonts w:asciiTheme="majorHAnsi" w:hAnsiTheme="majorHAnsi" w:cstheme="majorHAnsi"/>
                <w:b/>
                <w:color w:val="000000"/>
                <w:lang w:val="cs-CZ"/>
              </w:rPr>
              <w:t>dopravce</w:t>
            </w:r>
          </w:p>
        </w:tc>
      </w:tr>
      <w:tr w:rsidR="00812AAD" w:rsidRPr="006070EA" w14:paraId="43D28489" w14:textId="77777777" w:rsidTr="00AE3B5C">
        <w:trPr>
          <w:trHeight w:val="283"/>
          <w:jc w:val="center"/>
        </w:trPr>
        <w:tc>
          <w:tcPr>
            <w:tcW w:w="953" w:type="dxa"/>
            <w:tcBorders>
              <w:top w:val="single" w:sz="12" w:space="0" w:color="auto"/>
            </w:tcBorders>
            <w:vAlign w:val="center"/>
          </w:tcPr>
          <w:p w14:paraId="3C6D807B" w14:textId="77777777" w:rsidR="00812AAD" w:rsidRPr="006070EA" w:rsidRDefault="00812AAD" w:rsidP="00F03B4A">
            <w:pPr>
              <w:pStyle w:val="Bezmezer"/>
              <w:keepNext/>
              <w:keepLines/>
              <w:jc w:val="center"/>
              <w:rPr>
                <w:rFonts w:asciiTheme="majorHAnsi" w:hAnsiTheme="majorHAnsi" w:cstheme="majorHAnsi"/>
                <w:color w:val="000000"/>
                <w:lang w:val="cs-CZ"/>
              </w:rPr>
            </w:pPr>
            <w:r w:rsidRPr="006070EA">
              <w:rPr>
                <w:rFonts w:asciiTheme="majorHAnsi" w:hAnsiTheme="majorHAnsi" w:cstheme="majorHAnsi"/>
                <w:color w:val="000000"/>
                <w:lang w:val="cs-CZ"/>
              </w:rPr>
              <w:t>497</w:t>
            </w:r>
          </w:p>
        </w:tc>
        <w:tc>
          <w:tcPr>
            <w:tcW w:w="5660" w:type="dxa"/>
            <w:tcBorders>
              <w:top w:val="single" w:sz="12" w:space="0" w:color="auto"/>
            </w:tcBorders>
            <w:vAlign w:val="center"/>
          </w:tcPr>
          <w:p w14:paraId="4FE6C41A" w14:textId="47B8DA98" w:rsidR="00812AAD" w:rsidRPr="006070EA" w:rsidRDefault="00812AAD" w:rsidP="00F03B4A">
            <w:pPr>
              <w:pStyle w:val="Bezmezer"/>
              <w:keepNext/>
              <w:keepLines/>
              <w:jc w:val="center"/>
              <w:rPr>
                <w:rFonts w:asciiTheme="majorHAnsi" w:hAnsiTheme="majorHAnsi" w:cstheme="majorHAnsi"/>
                <w:color w:val="000000"/>
                <w:lang w:val="cs-CZ"/>
              </w:rPr>
            </w:pPr>
            <w:r w:rsidRPr="006070EA">
              <w:rPr>
                <w:rFonts w:asciiTheme="majorHAnsi" w:hAnsiTheme="majorHAnsi" w:cstheme="majorHAnsi"/>
                <w:color w:val="000000"/>
                <w:lang w:val="cs-CZ"/>
              </w:rPr>
              <w:t xml:space="preserve">Nymburk, Hlav. nádr. – Kostomlaty nad Labem, prodejna – Kostomlaty nad Labem, Kostomlaty nad Labem, Lány – Kostomlaty nad Labem, rozc. k Šibicům </w:t>
            </w:r>
            <w:proofErr w:type="gramStart"/>
            <w:r w:rsidRPr="006070EA">
              <w:rPr>
                <w:rFonts w:asciiTheme="majorHAnsi" w:hAnsiTheme="majorHAnsi" w:cstheme="majorHAnsi"/>
                <w:color w:val="000000"/>
                <w:lang w:val="cs-CZ"/>
              </w:rPr>
              <w:t>-  Kostomlaty</w:t>
            </w:r>
            <w:proofErr w:type="gramEnd"/>
            <w:r w:rsidRPr="006070EA">
              <w:rPr>
                <w:rFonts w:asciiTheme="majorHAnsi" w:hAnsiTheme="majorHAnsi" w:cstheme="majorHAnsi"/>
                <w:color w:val="000000"/>
                <w:lang w:val="cs-CZ"/>
              </w:rPr>
              <w:t xml:space="preserve"> nad Labem, Hronětice – Kostomlaty nad Labem, </w:t>
            </w:r>
            <w:proofErr w:type="gramStart"/>
            <w:r w:rsidRPr="006070EA">
              <w:rPr>
                <w:rFonts w:asciiTheme="majorHAnsi" w:hAnsiTheme="majorHAnsi" w:cstheme="majorHAnsi"/>
                <w:color w:val="000000"/>
                <w:lang w:val="cs-CZ"/>
              </w:rPr>
              <w:t>Vápensko - Milovice</w:t>
            </w:r>
            <w:proofErr w:type="gramEnd"/>
            <w:r w:rsidRPr="006070EA">
              <w:rPr>
                <w:rFonts w:asciiTheme="majorHAnsi" w:hAnsiTheme="majorHAnsi" w:cstheme="majorHAnsi"/>
                <w:color w:val="000000"/>
                <w:lang w:val="cs-CZ"/>
              </w:rPr>
              <w:t>, žel.st</w:t>
            </w:r>
          </w:p>
        </w:tc>
        <w:tc>
          <w:tcPr>
            <w:tcW w:w="2391" w:type="dxa"/>
            <w:tcBorders>
              <w:top w:val="single" w:sz="12" w:space="0" w:color="auto"/>
            </w:tcBorders>
            <w:vAlign w:val="center"/>
          </w:tcPr>
          <w:p w14:paraId="62FDF5FB" w14:textId="77777777" w:rsidR="00812AAD" w:rsidRPr="006070EA" w:rsidRDefault="00812AAD" w:rsidP="00F03B4A">
            <w:pPr>
              <w:pStyle w:val="Bezmezer"/>
              <w:keepNext/>
              <w:keepLines/>
              <w:jc w:val="center"/>
              <w:rPr>
                <w:rFonts w:asciiTheme="majorHAnsi" w:hAnsiTheme="majorHAnsi" w:cstheme="majorHAnsi"/>
                <w:color w:val="000000"/>
                <w:lang w:val="cs-CZ"/>
              </w:rPr>
            </w:pPr>
            <w:r w:rsidRPr="006070EA">
              <w:rPr>
                <w:rFonts w:asciiTheme="majorHAnsi" w:hAnsiTheme="majorHAnsi" w:cstheme="majorHAnsi"/>
                <w:color w:val="000000"/>
                <w:lang w:val="cs-CZ"/>
              </w:rPr>
              <w:t>ROPID</w:t>
            </w:r>
          </w:p>
        </w:tc>
      </w:tr>
      <w:tr w:rsidR="00812AAD" w:rsidRPr="006070EA" w14:paraId="141F3439" w14:textId="77777777" w:rsidTr="00AE3B5C">
        <w:trPr>
          <w:trHeight w:val="283"/>
          <w:jc w:val="center"/>
        </w:trPr>
        <w:tc>
          <w:tcPr>
            <w:tcW w:w="953" w:type="dxa"/>
            <w:vAlign w:val="center"/>
          </w:tcPr>
          <w:p w14:paraId="7E335A40" w14:textId="77777777" w:rsidR="00812AAD" w:rsidRPr="006070EA" w:rsidRDefault="00812AAD" w:rsidP="00AE3B5C">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480</w:t>
            </w:r>
          </w:p>
        </w:tc>
        <w:tc>
          <w:tcPr>
            <w:tcW w:w="5660" w:type="dxa"/>
            <w:vAlign w:val="center"/>
          </w:tcPr>
          <w:p w14:paraId="131A4B54" w14:textId="77777777" w:rsidR="00812AAD" w:rsidRPr="006070EA" w:rsidRDefault="00812AAD" w:rsidP="00AE3B5C">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 xml:space="preserve">Kostomlaty nad Labem, </w:t>
            </w:r>
            <w:proofErr w:type="gramStart"/>
            <w:r w:rsidRPr="006070EA">
              <w:rPr>
                <w:rFonts w:asciiTheme="majorHAnsi" w:hAnsiTheme="majorHAnsi" w:cstheme="majorHAnsi"/>
                <w:color w:val="000000"/>
                <w:lang w:val="cs-CZ"/>
              </w:rPr>
              <w:t>prodejna - Kostomlaty</w:t>
            </w:r>
            <w:proofErr w:type="gramEnd"/>
            <w:r w:rsidRPr="006070EA">
              <w:rPr>
                <w:rFonts w:asciiTheme="majorHAnsi" w:hAnsiTheme="majorHAnsi" w:cstheme="majorHAnsi"/>
                <w:color w:val="000000"/>
                <w:lang w:val="cs-CZ"/>
              </w:rPr>
              <w:t xml:space="preserve"> nad Labem – Kostomalty nad Labem, Rozkoš – Lysá nad Labem, žel.st.</w:t>
            </w:r>
          </w:p>
        </w:tc>
        <w:tc>
          <w:tcPr>
            <w:tcW w:w="2391" w:type="dxa"/>
            <w:vAlign w:val="center"/>
          </w:tcPr>
          <w:p w14:paraId="72C89594" w14:textId="77777777" w:rsidR="00812AAD" w:rsidRPr="006070EA" w:rsidRDefault="00812AAD" w:rsidP="00AE3B5C">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ROPID</w:t>
            </w:r>
          </w:p>
        </w:tc>
      </w:tr>
    </w:tbl>
    <w:p w14:paraId="3A92BA5E" w14:textId="6ACD82C6" w:rsidR="00812AAD" w:rsidRPr="006070EA" w:rsidRDefault="00812AAD" w:rsidP="00812AAD">
      <w:pPr>
        <w:pStyle w:val="Atext"/>
        <w:rPr>
          <w:rFonts w:asciiTheme="majorHAnsi" w:hAnsiTheme="majorHAnsi" w:cstheme="majorHAnsi"/>
          <w:color w:val="000000"/>
        </w:rPr>
      </w:pPr>
      <w:r w:rsidRPr="006070EA">
        <w:rPr>
          <w:rFonts w:asciiTheme="majorHAnsi" w:hAnsiTheme="majorHAnsi" w:cstheme="majorHAnsi"/>
          <w:color w:val="000000"/>
        </w:rPr>
        <w:t xml:space="preserve">Počet realizovaných spojů autobusové dopravy je 10 v běžném pracovním dni. Frekvence autobusových spojů v Kostomlatech nad Labem je nepravidelná, v brzkých ranních hodinách činí 1 spoj, v ranní špičce 2 spoje po hodině, dále 1 dopolední spoj, a zbylé spoje jsou časově situovány převážně během poledne a brzkého odpoledne. </w:t>
      </w:r>
      <w:r w:rsidR="00AE3B5C" w:rsidRPr="006070EA">
        <w:rPr>
          <w:rFonts w:asciiTheme="majorHAnsi" w:hAnsiTheme="majorHAnsi" w:cstheme="majorHAnsi"/>
          <w:color w:val="000000"/>
        </w:rPr>
        <w:t xml:space="preserve">Nedostatečné jsou </w:t>
      </w:r>
      <w:r w:rsidRPr="006070EA">
        <w:rPr>
          <w:rFonts w:asciiTheme="majorHAnsi" w:hAnsiTheme="majorHAnsi" w:cstheme="majorHAnsi"/>
          <w:color w:val="000000"/>
        </w:rPr>
        <w:t>spoj</w:t>
      </w:r>
      <w:r w:rsidR="00AE3B5C" w:rsidRPr="006070EA">
        <w:rPr>
          <w:rFonts w:asciiTheme="majorHAnsi" w:hAnsiTheme="majorHAnsi" w:cstheme="majorHAnsi"/>
          <w:color w:val="000000"/>
        </w:rPr>
        <w:t>e</w:t>
      </w:r>
      <w:r w:rsidRPr="006070EA">
        <w:rPr>
          <w:rFonts w:asciiTheme="majorHAnsi" w:hAnsiTheme="majorHAnsi" w:cstheme="majorHAnsi"/>
          <w:color w:val="000000"/>
        </w:rPr>
        <w:t xml:space="preserve"> po 17</w:t>
      </w:r>
      <w:r w:rsidR="00AE3B5C" w:rsidRPr="006070EA">
        <w:rPr>
          <w:rFonts w:asciiTheme="majorHAnsi" w:hAnsiTheme="majorHAnsi" w:cstheme="majorHAnsi"/>
          <w:color w:val="000000"/>
        </w:rPr>
        <w:t>.</w:t>
      </w:r>
      <w:r w:rsidRPr="006070EA">
        <w:rPr>
          <w:rFonts w:asciiTheme="majorHAnsi" w:hAnsiTheme="majorHAnsi" w:cstheme="majorHAnsi"/>
          <w:color w:val="000000"/>
        </w:rPr>
        <w:t xml:space="preserve"> hodině. Nejhůře je autobusovou dopravou dostupná sídelní část Rozkoš, kde chybí spoj v ranní špičce.</w:t>
      </w:r>
    </w:p>
    <w:p w14:paraId="2A0481D7" w14:textId="29763704" w:rsidR="00812AAD" w:rsidRPr="006070EA" w:rsidRDefault="00812AAD" w:rsidP="00812AAD">
      <w:pPr>
        <w:pStyle w:val="Atext"/>
        <w:rPr>
          <w:rFonts w:asciiTheme="majorHAnsi" w:hAnsiTheme="majorHAnsi" w:cstheme="majorHAnsi"/>
          <w:color w:val="000000"/>
        </w:rPr>
      </w:pPr>
      <w:r w:rsidRPr="006070EA">
        <w:rPr>
          <w:rFonts w:asciiTheme="majorHAnsi" w:hAnsiTheme="majorHAnsi" w:cstheme="majorHAnsi"/>
          <w:color w:val="000000"/>
        </w:rPr>
        <w:t>V řešeném území je provozováno celkem 7 autobusových zastávek: Kostomlaty nad Labem, prodejna</w:t>
      </w:r>
      <w:r w:rsidR="00AE3B5C" w:rsidRPr="006070EA">
        <w:rPr>
          <w:rFonts w:asciiTheme="majorHAnsi" w:hAnsiTheme="majorHAnsi" w:cstheme="majorHAnsi"/>
          <w:color w:val="000000"/>
        </w:rPr>
        <w:t>;</w:t>
      </w:r>
      <w:r w:rsidRPr="006070EA">
        <w:rPr>
          <w:rFonts w:asciiTheme="majorHAnsi" w:hAnsiTheme="majorHAnsi" w:cstheme="majorHAnsi"/>
          <w:color w:val="000000"/>
        </w:rPr>
        <w:t xml:space="preserve"> Kostomlaty nad Labem</w:t>
      </w:r>
      <w:r w:rsidR="00AE3B5C" w:rsidRPr="006070EA">
        <w:rPr>
          <w:rFonts w:asciiTheme="majorHAnsi" w:hAnsiTheme="majorHAnsi" w:cstheme="majorHAnsi"/>
          <w:color w:val="000000"/>
        </w:rPr>
        <w:t xml:space="preserve">; </w:t>
      </w:r>
      <w:r w:rsidRPr="006070EA">
        <w:rPr>
          <w:rFonts w:asciiTheme="majorHAnsi" w:hAnsiTheme="majorHAnsi" w:cstheme="majorHAnsi"/>
          <w:color w:val="000000"/>
        </w:rPr>
        <w:t>Kostomlaty nad Labem, Lány</w:t>
      </w:r>
      <w:r w:rsidR="00AE3B5C" w:rsidRPr="006070EA">
        <w:rPr>
          <w:rFonts w:asciiTheme="majorHAnsi" w:hAnsiTheme="majorHAnsi" w:cstheme="majorHAnsi"/>
          <w:color w:val="000000"/>
        </w:rPr>
        <w:t xml:space="preserve">; </w:t>
      </w:r>
      <w:r w:rsidRPr="006070EA">
        <w:rPr>
          <w:rFonts w:asciiTheme="majorHAnsi" w:hAnsiTheme="majorHAnsi" w:cstheme="majorHAnsi"/>
          <w:color w:val="000000"/>
        </w:rPr>
        <w:t>Kostomlaty nad Labem, rozc. k</w:t>
      </w:r>
      <w:r w:rsidR="00AE3B5C" w:rsidRPr="006070EA">
        <w:rPr>
          <w:rFonts w:asciiTheme="majorHAnsi" w:hAnsiTheme="majorHAnsi" w:cstheme="majorHAnsi"/>
          <w:color w:val="000000"/>
        </w:rPr>
        <w:t> </w:t>
      </w:r>
      <w:r w:rsidRPr="006070EA">
        <w:rPr>
          <w:rFonts w:asciiTheme="majorHAnsi" w:hAnsiTheme="majorHAnsi" w:cstheme="majorHAnsi"/>
          <w:color w:val="000000"/>
        </w:rPr>
        <w:t>Šibicům</w:t>
      </w:r>
      <w:r w:rsidR="00AE3B5C" w:rsidRPr="006070EA">
        <w:rPr>
          <w:rFonts w:asciiTheme="majorHAnsi" w:hAnsiTheme="majorHAnsi" w:cstheme="majorHAnsi"/>
          <w:color w:val="000000"/>
        </w:rPr>
        <w:t>;</w:t>
      </w:r>
      <w:r w:rsidRPr="006070EA">
        <w:rPr>
          <w:rFonts w:asciiTheme="majorHAnsi" w:hAnsiTheme="majorHAnsi" w:cstheme="majorHAnsi"/>
          <w:color w:val="000000"/>
        </w:rPr>
        <w:t xml:space="preserve"> Kostomlaty nad Labem, Hronětice</w:t>
      </w:r>
      <w:r w:rsidR="00AE3B5C" w:rsidRPr="006070EA">
        <w:rPr>
          <w:rFonts w:asciiTheme="majorHAnsi" w:hAnsiTheme="majorHAnsi" w:cstheme="majorHAnsi"/>
          <w:color w:val="000000"/>
        </w:rPr>
        <w:t>;</w:t>
      </w:r>
      <w:r w:rsidRPr="006070EA">
        <w:rPr>
          <w:rFonts w:asciiTheme="majorHAnsi" w:hAnsiTheme="majorHAnsi" w:cstheme="majorHAnsi"/>
          <w:color w:val="000000"/>
        </w:rPr>
        <w:t xml:space="preserve"> Kostomlaty nad Labem, Vápensko</w:t>
      </w:r>
      <w:r w:rsidR="00AE3B5C" w:rsidRPr="006070EA">
        <w:rPr>
          <w:rFonts w:asciiTheme="majorHAnsi" w:hAnsiTheme="majorHAnsi" w:cstheme="majorHAnsi"/>
          <w:color w:val="000000"/>
        </w:rPr>
        <w:t>;</w:t>
      </w:r>
      <w:r w:rsidRPr="006070EA">
        <w:rPr>
          <w:rFonts w:asciiTheme="majorHAnsi" w:hAnsiTheme="majorHAnsi" w:cstheme="majorHAnsi"/>
          <w:color w:val="000000"/>
        </w:rPr>
        <w:t xml:space="preserve"> Kostomlaty nad Labem, Rozkoš</w:t>
      </w:r>
      <w:r w:rsidR="00AE3B5C" w:rsidRPr="006070EA">
        <w:rPr>
          <w:rFonts w:asciiTheme="majorHAnsi" w:hAnsiTheme="majorHAnsi" w:cstheme="majorHAnsi"/>
          <w:color w:val="000000"/>
        </w:rPr>
        <w:t>.</w:t>
      </w:r>
    </w:p>
    <w:p w14:paraId="09F5D8D8" w14:textId="311E0B0F" w:rsidR="00812AAD" w:rsidRPr="006070EA" w:rsidRDefault="00812AAD" w:rsidP="00812AAD">
      <w:pPr>
        <w:pStyle w:val="Atext"/>
        <w:rPr>
          <w:rFonts w:asciiTheme="majorHAnsi" w:hAnsiTheme="majorHAnsi" w:cstheme="majorHAnsi"/>
          <w:color w:val="000000"/>
        </w:rPr>
      </w:pPr>
      <w:r w:rsidRPr="006070EA">
        <w:rPr>
          <w:rFonts w:asciiTheme="majorHAnsi" w:hAnsiTheme="majorHAnsi" w:cstheme="majorHAnsi"/>
          <w:color w:val="000000"/>
        </w:rPr>
        <w:t>Z polohy jednotlivých zastávek vyplývá, že všechny sídla jsou obsloužena veřejnou autobusovou dopravou. Docházkové vzdálenosti k jednotlivým zastávkám z uvedených sídel jsou vyhovující.</w:t>
      </w:r>
    </w:p>
    <w:p w14:paraId="21CBB760" w14:textId="77777777" w:rsidR="00AE3B5C" w:rsidRPr="006070EA" w:rsidRDefault="00AE3B5C" w:rsidP="00AE3B5C">
      <w:pPr>
        <w:pStyle w:val="Atext"/>
        <w:rPr>
          <w:rFonts w:asciiTheme="majorHAnsi" w:hAnsiTheme="majorHAnsi" w:cstheme="majorHAnsi"/>
          <w:color w:val="000000"/>
        </w:rPr>
      </w:pPr>
      <w:r w:rsidRPr="006070EA">
        <w:rPr>
          <w:rFonts w:asciiTheme="majorHAnsi" w:hAnsiTheme="majorHAnsi" w:cstheme="majorHAnsi"/>
          <w:color w:val="000000"/>
        </w:rPr>
        <w:t>Železniční doprava a její dostupnost v řešeném území je popásána v předchozím oddílu této kapitoly odůvodnění.</w:t>
      </w:r>
    </w:p>
    <w:p w14:paraId="1E510665" w14:textId="77777777" w:rsidR="00BC10CF" w:rsidRPr="006070EA" w:rsidRDefault="00BC10CF" w:rsidP="009E07E1">
      <w:pPr>
        <w:pStyle w:val="Anadpistun"/>
        <w:rPr>
          <w:rFonts w:asciiTheme="majorHAnsi" w:hAnsiTheme="majorHAnsi" w:cstheme="majorHAnsi"/>
        </w:rPr>
      </w:pPr>
      <w:r w:rsidRPr="006070EA">
        <w:rPr>
          <w:rFonts w:asciiTheme="majorHAnsi" w:hAnsiTheme="majorHAnsi" w:cstheme="majorHAnsi"/>
        </w:rPr>
        <w:t xml:space="preserve">Odůvodnění navrhovaného řešení </w:t>
      </w:r>
    </w:p>
    <w:p w14:paraId="590ADDDE" w14:textId="7009980A" w:rsidR="00AE3B5C" w:rsidRPr="006070EA" w:rsidRDefault="00AE3B5C" w:rsidP="00AE3B5C">
      <w:pPr>
        <w:pStyle w:val="Atext"/>
        <w:rPr>
          <w:rFonts w:asciiTheme="majorHAnsi" w:hAnsiTheme="majorHAnsi" w:cstheme="majorHAnsi"/>
        </w:rPr>
      </w:pPr>
      <w:r w:rsidRPr="006070EA">
        <w:rPr>
          <w:rFonts w:asciiTheme="majorHAnsi" w:hAnsiTheme="majorHAnsi" w:cstheme="majorHAnsi"/>
        </w:rPr>
        <w:t xml:space="preserve">Veřejná hromadná doprava osob je na území obce zajišťována autobusovou a drážní (železniční) dopravou. Pro ochranu a rozvoj provozu veřejné hromadné dopravy jsou vymezeny plochy dopravní infrastruktury v souladu s § 9, odst. 2, vyhlášky č. 501/2006 Sb., ve znění pozdějších předpisů a dále plochy veřejných prostranství v souladu s § 7, odst. 2, vyhlášky č. 501/2006 Sb., ve znění pozdějších předpisů, konkrétně se jedná o plochy </w:t>
      </w:r>
      <w:r w:rsidR="00E82842" w:rsidRPr="006070EA">
        <w:rPr>
          <w:rFonts w:asciiTheme="majorHAnsi" w:hAnsiTheme="majorHAnsi" w:cstheme="majorHAnsi"/>
        </w:rPr>
        <w:t>dopravy</w:t>
      </w:r>
      <w:r w:rsidRPr="006070EA">
        <w:rPr>
          <w:rFonts w:asciiTheme="majorHAnsi" w:hAnsiTheme="majorHAnsi" w:cstheme="majorHAnsi"/>
        </w:rPr>
        <w:t xml:space="preserve"> silniční (DS), </w:t>
      </w:r>
      <w:r w:rsidR="00E82842" w:rsidRPr="006070EA">
        <w:rPr>
          <w:rFonts w:asciiTheme="majorHAnsi" w:hAnsiTheme="majorHAnsi" w:cstheme="majorHAnsi"/>
        </w:rPr>
        <w:t>dopravy drážní</w:t>
      </w:r>
      <w:r w:rsidRPr="006070EA">
        <w:rPr>
          <w:rFonts w:asciiTheme="majorHAnsi" w:hAnsiTheme="majorHAnsi" w:cstheme="majorHAnsi"/>
        </w:rPr>
        <w:t xml:space="preserve"> (D</w:t>
      </w:r>
      <w:r w:rsidR="00E82842" w:rsidRPr="006070EA">
        <w:rPr>
          <w:rFonts w:asciiTheme="majorHAnsi" w:hAnsiTheme="majorHAnsi" w:cstheme="majorHAnsi"/>
        </w:rPr>
        <w:t>D</w:t>
      </w:r>
      <w:r w:rsidRPr="006070EA">
        <w:rPr>
          <w:rFonts w:asciiTheme="majorHAnsi" w:hAnsiTheme="majorHAnsi" w:cstheme="majorHAnsi"/>
        </w:rPr>
        <w:t>) a</w:t>
      </w:r>
      <w:r w:rsidR="00E82842" w:rsidRPr="006070EA">
        <w:rPr>
          <w:rFonts w:asciiTheme="majorHAnsi" w:hAnsiTheme="majorHAnsi" w:cstheme="majorHAnsi"/>
        </w:rPr>
        <w:t> </w:t>
      </w:r>
      <w:r w:rsidRPr="006070EA">
        <w:rPr>
          <w:rFonts w:asciiTheme="majorHAnsi" w:hAnsiTheme="majorHAnsi" w:cstheme="majorHAnsi"/>
        </w:rPr>
        <w:t xml:space="preserve">veřejných prostranství </w:t>
      </w:r>
      <w:r w:rsidR="00E82842" w:rsidRPr="006070EA">
        <w:rPr>
          <w:rFonts w:asciiTheme="majorHAnsi" w:hAnsiTheme="majorHAnsi" w:cstheme="majorHAnsi"/>
        </w:rPr>
        <w:t xml:space="preserve">všeobecných </w:t>
      </w:r>
      <w:r w:rsidRPr="006070EA">
        <w:rPr>
          <w:rFonts w:asciiTheme="majorHAnsi" w:hAnsiTheme="majorHAnsi" w:cstheme="majorHAnsi"/>
        </w:rPr>
        <w:t>(P</w:t>
      </w:r>
      <w:r w:rsidR="00E82842" w:rsidRPr="006070EA">
        <w:rPr>
          <w:rFonts w:asciiTheme="majorHAnsi" w:hAnsiTheme="majorHAnsi" w:cstheme="majorHAnsi"/>
        </w:rPr>
        <w:t>U</w:t>
      </w:r>
      <w:r w:rsidRPr="006070EA">
        <w:rPr>
          <w:rFonts w:asciiTheme="majorHAnsi" w:hAnsiTheme="majorHAnsi" w:cstheme="majorHAnsi"/>
        </w:rPr>
        <w:t>).</w:t>
      </w:r>
    </w:p>
    <w:p w14:paraId="3058A7C6" w14:textId="42659AF3" w:rsidR="00BC10CF" w:rsidRPr="006070EA" w:rsidRDefault="00BC10CF" w:rsidP="009E07E1">
      <w:pPr>
        <w:pStyle w:val="Atext"/>
        <w:spacing w:before="60" w:after="60"/>
        <w:rPr>
          <w:rFonts w:asciiTheme="majorHAnsi" w:hAnsiTheme="majorHAnsi" w:cstheme="majorHAnsi"/>
        </w:rPr>
      </w:pPr>
      <w:r w:rsidRPr="006070EA">
        <w:rPr>
          <w:rFonts w:asciiTheme="majorHAnsi" w:hAnsiTheme="majorHAnsi" w:cstheme="majorHAnsi"/>
        </w:rPr>
        <w:t xml:space="preserve">Na podpoře veřejné dopravy panuje obecná společenská shoda. Její zkvalitňování může vést ve svém důsledku ke snížení podílu dopravy individuální na přepravních objemech. Pozitivní důsledky snížení podílu individuální dopravy jsou prokazatelné (pozitivní vliv na veřejné zdraví, pokles dopravních nehod apod.). </w:t>
      </w:r>
    </w:p>
    <w:p w14:paraId="54293484" w14:textId="03691EAE" w:rsidR="00795F2C" w:rsidRPr="006070EA" w:rsidRDefault="00BC10CF" w:rsidP="009E07E1">
      <w:pPr>
        <w:pStyle w:val="Norml"/>
        <w:spacing w:before="60" w:after="60"/>
        <w:ind w:firstLine="709"/>
        <w:rPr>
          <w:rFonts w:asciiTheme="majorHAnsi" w:hAnsiTheme="majorHAnsi" w:cstheme="majorHAnsi"/>
        </w:rPr>
      </w:pPr>
      <w:r w:rsidRPr="006070EA">
        <w:rPr>
          <w:rFonts w:asciiTheme="majorHAnsi" w:hAnsiTheme="majorHAnsi" w:cstheme="majorHAnsi"/>
        </w:rPr>
        <w:t xml:space="preserve">Docházkové vzdálenosti k </w:t>
      </w:r>
      <w:r w:rsidR="00EE4D29" w:rsidRPr="006070EA">
        <w:rPr>
          <w:rFonts w:asciiTheme="majorHAnsi" w:hAnsiTheme="majorHAnsi" w:cstheme="majorHAnsi"/>
        </w:rPr>
        <w:t>zastávkám</w:t>
      </w:r>
      <w:r w:rsidRPr="006070EA">
        <w:rPr>
          <w:rFonts w:asciiTheme="majorHAnsi" w:hAnsiTheme="majorHAnsi" w:cstheme="majorHAnsi"/>
        </w:rPr>
        <w:t xml:space="preserve"> veřejné autobusové dopravy jsou s ohledem na místní podmínky vyhovující, vzhledem k požadavkům normy ČSN 73 6425-1 </w:t>
      </w:r>
      <w:r w:rsidR="00EE4D29" w:rsidRPr="006070EA">
        <w:rPr>
          <w:rFonts w:asciiTheme="majorHAnsi" w:hAnsiTheme="majorHAnsi" w:cstheme="majorHAnsi"/>
        </w:rPr>
        <w:t>(</w:t>
      </w:r>
      <w:r w:rsidRPr="006070EA">
        <w:rPr>
          <w:rFonts w:asciiTheme="majorHAnsi" w:hAnsiTheme="majorHAnsi" w:cstheme="majorHAnsi"/>
        </w:rPr>
        <w:t>maximální docházková vzdálenost 500 m</w:t>
      </w:r>
      <w:r w:rsidR="00EE4D29" w:rsidRPr="006070EA">
        <w:rPr>
          <w:rFonts w:asciiTheme="majorHAnsi" w:hAnsiTheme="majorHAnsi" w:cstheme="majorHAnsi"/>
        </w:rPr>
        <w:t>)</w:t>
      </w:r>
      <w:r w:rsidRPr="006070EA">
        <w:rPr>
          <w:rFonts w:asciiTheme="majorHAnsi" w:hAnsiTheme="majorHAnsi" w:cstheme="majorHAnsi"/>
        </w:rPr>
        <w:t xml:space="preserve">. Realizace nových zastávek autobusové hromadné dopravy je obecně umožněna zejména v plochách </w:t>
      </w:r>
      <w:r w:rsidR="00E82842" w:rsidRPr="006070EA">
        <w:rPr>
          <w:rFonts w:asciiTheme="majorHAnsi" w:hAnsiTheme="majorHAnsi" w:cstheme="majorHAnsi"/>
        </w:rPr>
        <w:t>dopravy</w:t>
      </w:r>
      <w:r w:rsidRPr="006070EA">
        <w:rPr>
          <w:rFonts w:asciiTheme="majorHAnsi" w:hAnsiTheme="majorHAnsi" w:cstheme="majorHAnsi"/>
        </w:rPr>
        <w:t xml:space="preserve"> silniční (DS) a v plochách veřejných prostranství </w:t>
      </w:r>
      <w:r w:rsidR="00E82842" w:rsidRPr="006070EA">
        <w:rPr>
          <w:rFonts w:asciiTheme="majorHAnsi" w:hAnsiTheme="majorHAnsi" w:cstheme="majorHAnsi"/>
        </w:rPr>
        <w:t xml:space="preserve">všeobecných </w:t>
      </w:r>
      <w:r w:rsidRPr="006070EA">
        <w:rPr>
          <w:rFonts w:asciiTheme="majorHAnsi" w:hAnsiTheme="majorHAnsi" w:cstheme="majorHAnsi"/>
        </w:rPr>
        <w:t>(PV).</w:t>
      </w:r>
      <w:r w:rsidR="00EE4D29" w:rsidRPr="006070EA">
        <w:rPr>
          <w:rFonts w:asciiTheme="majorHAnsi" w:hAnsiTheme="majorHAnsi" w:cstheme="majorHAnsi"/>
        </w:rPr>
        <w:t xml:space="preserve"> </w:t>
      </w:r>
    </w:p>
    <w:p w14:paraId="26886A00" w14:textId="654F8219" w:rsidR="008E0348" w:rsidRPr="006070EA" w:rsidRDefault="0031381C" w:rsidP="009E07E1">
      <w:pPr>
        <w:pStyle w:val="Norml"/>
        <w:spacing w:before="60" w:after="60"/>
        <w:ind w:firstLine="709"/>
        <w:rPr>
          <w:rFonts w:asciiTheme="majorHAnsi" w:hAnsiTheme="majorHAnsi" w:cstheme="majorHAnsi"/>
        </w:rPr>
      </w:pPr>
      <w:r w:rsidRPr="006070EA">
        <w:rPr>
          <w:rFonts w:asciiTheme="majorHAnsi" w:hAnsiTheme="majorHAnsi" w:cstheme="majorHAnsi"/>
        </w:rPr>
        <w:t xml:space="preserve">V obci je provozována železniční stanice na trati č. </w:t>
      </w:r>
      <w:r w:rsidR="008E0348" w:rsidRPr="006070EA">
        <w:rPr>
          <w:rFonts w:asciiTheme="majorHAnsi" w:hAnsiTheme="majorHAnsi" w:cstheme="majorHAnsi"/>
        </w:rPr>
        <w:t>231</w:t>
      </w:r>
      <w:r w:rsidRPr="006070EA">
        <w:rPr>
          <w:rFonts w:asciiTheme="majorHAnsi" w:hAnsiTheme="majorHAnsi" w:cstheme="majorHAnsi"/>
        </w:rPr>
        <w:t xml:space="preserve">, která je dostupná </w:t>
      </w:r>
      <w:r w:rsidR="008E0348" w:rsidRPr="006070EA">
        <w:rPr>
          <w:rFonts w:asciiTheme="majorHAnsi" w:hAnsiTheme="majorHAnsi" w:cstheme="majorHAnsi"/>
        </w:rPr>
        <w:t>zejména v sídlech Kostomlaty nad Labem a</w:t>
      </w:r>
      <w:r w:rsidR="00E82842" w:rsidRPr="006070EA">
        <w:rPr>
          <w:rFonts w:asciiTheme="majorHAnsi" w:hAnsiTheme="majorHAnsi" w:cstheme="majorHAnsi"/>
        </w:rPr>
        <w:t> </w:t>
      </w:r>
      <w:r w:rsidR="008E0348" w:rsidRPr="006070EA">
        <w:rPr>
          <w:rFonts w:asciiTheme="majorHAnsi" w:hAnsiTheme="majorHAnsi" w:cstheme="majorHAnsi"/>
        </w:rPr>
        <w:t>Lány (v jižní části)</w:t>
      </w:r>
      <w:r w:rsidRPr="006070EA">
        <w:rPr>
          <w:rFonts w:asciiTheme="majorHAnsi" w:hAnsiTheme="majorHAnsi" w:cstheme="majorHAnsi"/>
        </w:rPr>
        <w:t xml:space="preserve">. </w:t>
      </w:r>
      <w:r w:rsidR="008E0348" w:rsidRPr="006070EA">
        <w:rPr>
          <w:rFonts w:asciiTheme="majorHAnsi" w:hAnsiTheme="majorHAnsi" w:cstheme="majorHAnsi"/>
        </w:rPr>
        <w:t>Pro ostatní sídla v řešeném území je smysluplné pro dopravu k železniční stanici využít individuální dopravu. Snahou územního plánu je rozvoj veřejné hromadné dopravy koncipovat jako integrovaný systém při vzájemném propojení všech dostupných složek (autobusová doprava, kolejová doprava, zvláštní typy přepravy a další).</w:t>
      </w:r>
    </w:p>
    <w:p w14:paraId="18E8F716" w14:textId="77777777" w:rsidR="00AB1F4C" w:rsidRPr="006070EA" w:rsidRDefault="003B52C0" w:rsidP="009E07E1">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Bezmotorová doprava – pěší, cyklistická doprava</w:t>
      </w:r>
    </w:p>
    <w:p w14:paraId="3C5BC196" w14:textId="07E67D9E" w:rsidR="00121854" w:rsidRPr="006070EA" w:rsidRDefault="00121854"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B41BC9" w:rsidRPr="006070EA">
        <w:rPr>
          <w:rFonts w:asciiTheme="majorHAnsi" w:hAnsiTheme="majorHAnsi" w:cstheme="majorHAnsi"/>
          <w:b/>
          <w:i/>
          <w:snapToGrid w:val="0"/>
          <w:u w:val="single"/>
        </w:rPr>
        <w:t>2</w:t>
      </w:r>
      <w:r w:rsidR="007F6EAE">
        <w:rPr>
          <w:rFonts w:asciiTheme="majorHAnsi" w:hAnsiTheme="majorHAnsi" w:cstheme="majorHAnsi"/>
          <w:b/>
          <w:i/>
          <w:snapToGrid w:val="0"/>
          <w:u w:val="single"/>
        </w:rPr>
        <w:t>7</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271E72FB" w14:textId="77777777" w:rsidR="00EE4D29" w:rsidRPr="006070EA" w:rsidRDefault="00EE4D29" w:rsidP="009E07E1">
      <w:pPr>
        <w:pStyle w:val="Anadpispodtren"/>
        <w:rPr>
          <w:rFonts w:asciiTheme="majorHAnsi" w:hAnsiTheme="majorHAnsi" w:cstheme="majorHAnsi"/>
          <w:b/>
          <w:u w:val="none"/>
        </w:rPr>
      </w:pPr>
      <w:r w:rsidRPr="006070EA">
        <w:rPr>
          <w:rFonts w:asciiTheme="majorHAnsi" w:hAnsiTheme="majorHAnsi" w:cstheme="majorHAnsi"/>
          <w:b/>
          <w:u w:val="none"/>
        </w:rPr>
        <w:t>Popis stávající situace</w:t>
      </w:r>
    </w:p>
    <w:p w14:paraId="562DD8B4" w14:textId="77777777" w:rsidR="00AB1F4C" w:rsidRPr="006070EA" w:rsidRDefault="00AB1F4C" w:rsidP="009E07E1">
      <w:pPr>
        <w:spacing w:after="60" w:line="240" w:lineRule="auto"/>
        <w:jc w:val="both"/>
        <w:rPr>
          <w:rFonts w:asciiTheme="majorHAnsi" w:hAnsiTheme="majorHAnsi" w:cstheme="majorHAnsi"/>
          <w:sz w:val="18"/>
          <w:u w:val="single"/>
        </w:rPr>
      </w:pPr>
      <w:r w:rsidRPr="006070EA">
        <w:rPr>
          <w:rFonts w:asciiTheme="majorHAnsi" w:hAnsiTheme="majorHAnsi" w:cstheme="majorHAnsi"/>
          <w:sz w:val="18"/>
          <w:u w:val="single"/>
        </w:rPr>
        <w:t>Komunikace pro pěší</w:t>
      </w:r>
    </w:p>
    <w:p w14:paraId="35FBFC1F" w14:textId="77777777" w:rsidR="00DD2F3D" w:rsidRPr="006070EA" w:rsidRDefault="00DD2F3D" w:rsidP="00DD2F3D">
      <w:pPr>
        <w:pStyle w:val="Atext"/>
        <w:rPr>
          <w:rFonts w:asciiTheme="majorHAnsi" w:hAnsiTheme="majorHAnsi" w:cstheme="majorHAnsi"/>
        </w:rPr>
      </w:pPr>
      <w:r w:rsidRPr="006070EA">
        <w:rPr>
          <w:rFonts w:asciiTheme="majorHAnsi" w:hAnsiTheme="majorHAnsi" w:cstheme="majorHAnsi"/>
        </w:rPr>
        <w:t xml:space="preserve">Pro potřeby pěší dopravy jsou využívány úseky místních komunikací v zastavěném území s nízkými intenzitami dopravy. V centrální části Kostomlat nad Labem jsou komunikace doplněny chodníky. Ze sídel zpravidla vedou pěší, účelové komunikace a cesty směrem do volné krajiny, tuto síť by však bylo vhodné doplnit a stabilizovat. S tím souvisí i rozvoj rekreace v území, zejména turistiky a cyklistiky. </w:t>
      </w:r>
    </w:p>
    <w:p w14:paraId="2EBA8A36" w14:textId="77777777" w:rsidR="00AB1F4C" w:rsidRPr="006070EA" w:rsidRDefault="00AB1F4C" w:rsidP="00E82842">
      <w:pPr>
        <w:keepNext/>
        <w:spacing w:before="120" w:after="60" w:line="240" w:lineRule="auto"/>
        <w:jc w:val="both"/>
        <w:rPr>
          <w:rFonts w:asciiTheme="majorHAnsi" w:hAnsiTheme="majorHAnsi" w:cstheme="majorHAnsi"/>
          <w:sz w:val="18"/>
          <w:u w:val="single"/>
        </w:rPr>
      </w:pPr>
      <w:r w:rsidRPr="006070EA">
        <w:rPr>
          <w:rFonts w:asciiTheme="majorHAnsi" w:hAnsiTheme="majorHAnsi" w:cstheme="majorHAnsi"/>
          <w:sz w:val="18"/>
          <w:u w:val="single"/>
        </w:rPr>
        <w:lastRenderedPageBreak/>
        <w:t>Turistické a cyklistické trasy</w:t>
      </w:r>
    </w:p>
    <w:p w14:paraId="7BB96488" w14:textId="77777777" w:rsidR="00812AAD" w:rsidRPr="006070EA" w:rsidRDefault="00812AAD" w:rsidP="00E82842">
      <w:pPr>
        <w:pStyle w:val="Atext"/>
        <w:keepNext/>
        <w:rPr>
          <w:rFonts w:asciiTheme="majorHAnsi" w:hAnsiTheme="majorHAnsi" w:cstheme="majorHAnsi"/>
        </w:rPr>
      </w:pPr>
      <w:r w:rsidRPr="006070EA">
        <w:rPr>
          <w:rFonts w:asciiTheme="majorHAnsi" w:hAnsiTheme="majorHAnsi" w:cstheme="majorHAnsi"/>
        </w:rPr>
        <w:t>Řešeným územím prochází následující značené turistické trasy:</w:t>
      </w:r>
    </w:p>
    <w:p w14:paraId="1252C259" w14:textId="77ABB875" w:rsidR="00812AAD" w:rsidRPr="006070EA" w:rsidRDefault="00812AAD" w:rsidP="00E82842">
      <w:pPr>
        <w:pStyle w:val="Atext"/>
        <w:keepNext/>
        <w:ind w:left="2835" w:hanging="2126"/>
        <w:rPr>
          <w:rFonts w:asciiTheme="majorHAnsi" w:hAnsiTheme="majorHAnsi" w:cstheme="majorHAnsi"/>
        </w:rPr>
      </w:pPr>
      <w:r w:rsidRPr="006070EA">
        <w:rPr>
          <w:rFonts w:asciiTheme="majorHAnsi" w:hAnsiTheme="majorHAnsi" w:cstheme="majorHAnsi"/>
          <w:b/>
        </w:rPr>
        <w:t>žlutá turistická trasa:</w:t>
      </w:r>
      <w:r w:rsidRPr="006070EA">
        <w:rPr>
          <w:rFonts w:asciiTheme="majorHAnsi" w:hAnsiTheme="majorHAnsi" w:cstheme="majorHAnsi"/>
          <w:b/>
        </w:rPr>
        <w:tab/>
      </w:r>
      <w:r w:rsidRPr="006070EA">
        <w:rPr>
          <w:rFonts w:asciiTheme="majorHAnsi" w:hAnsiTheme="majorHAnsi" w:cstheme="majorHAnsi"/>
        </w:rPr>
        <w:t>Kostomlaty nad Labem, žel.st. – ústí řeky Vlkavy (3,3 km)</w:t>
      </w:r>
    </w:p>
    <w:p w14:paraId="0BF69D70" w14:textId="6E677A4B" w:rsidR="00812AAD" w:rsidRPr="006070EA" w:rsidRDefault="00812AAD" w:rsidP="00812AAD">
      <w:pPr>
        <w:pStyle w:val="Atext"/>
        <w:ind w:left="2835" w:hanging="2126"/>
        <w:rPr>
          <w:rFonts w:asciiTheme="majorHAnsi" w:hAnsiTheme="majorHAnsi" w:cstheme="majorHAnsi"/>
          <w:b/>
        </w:rPr>
      </w:pPr>
      <w:r w:rsidRPr="006070EA">
        <w:rPr>
          <w:rFonts w:asciiTheme="majorHAnsi" w:hAnsiTheme="majorHAnsi" w:cstheme="majorHAnsi"/>
          <w:b/>
        </w:rPr>
        <w:t>modrá turistická trasa:</w:t>
      </w:r>
      <w:r w:rsidRPr="006070EA">
        <w:rPr>
          <w:rFonts w:asciiTheme="majorHAnsi" w:hAnsiTheme="majorHAnsi" w:cstheme="majorHAnsi"/>
          <w:b/>
        </w:rPr>
        <w:tab/>
      </w:r>
      <w:r w:rsidRPr="006070EA">
        <w:rPr>
          <w:rFonts w:asciiTheme="majorHAnsi" w:hAnsiTheme="majorHAnsi" w:cstheme="majorHAnsi"/>
        </w:rPr>
        <w:t xml:space="preserve">Mydlovarský </w:t>
      </w:r>
      <w:r w:rsidR="00B41BC9" w:rsidRPr="006070EA">
        <w:rPr>
          <w:rFonts w:asciiTheme="majorHAnsi" w:hAnsiTheme="majorHAnsi" w:cstheme="majorHAnsi"/>
        </w:rPr>
        <w:t>l</w:t>
      </w:r>
      <w:r w:rsidRPr="006070EA">
        <w:rPr>
          <w:rFonts w:asciiTheme="majorHAnsi" w:hAnsiTheme="majorHAnsi" w:cstheme="majorHAnsi"/>
        </w:rPr>
        <w:t>uh</w:t>
      </w:r>
      <w:r w:rsidRPr="006070EA">
        <w:rPr>
          <w:rFonts w:asciiTheme="majorHAnsi" w:hAnsiTheme="majorHAnsi" w:cstheme="majorHAnsi"/>
          <w:b/>
        </w:rPr>
        <w:t xml:space="preserve">                      </w:t>
      </w:r>
    </w:p>
    <w:p w14:paraId="2BEC2FF1" w14:textId="77777777" w:rsidR="00812AAD" w:rsidRPr="006070EA" w:rsidRDefault="00812AAD" w:rsidP="00F56848">
      <w:pPr>
        <w:pStyle w:val="Atext"/>
        <w:rPr>
          <w:rFonts w:asciiTheme="majorHAnsi" w:hAnsiTheme="majorHAnsi" w:cstheme="majorHAnsi"/>
          <w:szCs w:val="18"/>
        </w:rPr>
      </w:pPr>
      <w:r w:rsidRPr="006070EA">
        <w:rPr>
          <w:rFonts w:asciiTheme="majorHAnsi" w:hAnsiTheme="majorHAnsi" w:cstheme="majorHAnsi"/>
          <w:szCs w:val="18"/>
        </w:rPr>
        <w:t>Cyklistické trasy jsou rozděleny do čtyř tříd, metodickým garantem jejich značení je Klub českých turistů. Cyklistická trasa je trasa pro cyklisty vedená po pozemních komunikacích vhodných pro cyklistický provoz a označená orientačním dopravním nebo turistickým značením. Pro cyklistické trasy s převažujícím turistickým účelem se používá označení cykloturistická trasa. Stezka pro cyklisty je pozemní komunikace nebo její jízdní pás vyhrazený dopravní značkou pro jízdu na jízdním kole.</w:t>
      </w:r>
    </w:p>
    <w:p w14:paraId="1EF7FD0E" w14:textId="2456E60A" w:rsidR="00812AAD" w:rsidRPr="006070EA" w:rsidRDefault="00812AAD" w:rsidP="00812AAD">
      <w:pPr>
        <w:pStyle w:val="Atext"/>
        <w:rPr>
          <w:rFonts w:asciiTheme="majorHAnsi" w:hAnsiTheme="majorHAnsi" w:cstheme="majorHAnsi"/>
          <w:szCs w:val="18"/>
        </w:rPr>
      </w:pPr>
      <w:r w:rsidRPr="006070EA">
        <w:rPr>
          <w:rFonts w:asciiTheme="majorHAnsi" w:hAnsiTheme="majorHAnsi" w:cstheme="majorHAnsi"/>
          <w:szCs w:val="18"/>
        </w:rPr>
        <w:t>Řešeným územím prochází následující cyklotras</w:t>
      </w:r>
      <w:r w:rsidR="00F56848" w:rsidRPr="006070EA">
        <w:rPr>
          <w:rFonts w:asciiTheme="majorHAnsi" w:hAnsiTheme="majorHAnsi" w:cstheme="majorHAnsi"/>
          <w:szCs w:val="18"/>
        </w:rPr>
        <w:t>a</w:t>
      </w:r>
      <w:r w:rsidRPr="006070EA">
        <w:rPr>
          <w:rFonts w:asciiTheme="majorHAnsi" w:hAnsiTheme="majorHAnsi" w:cstheme="majorHAnsi"/>
          <w:szCs w:val="18"/>
        </w:rPr>
        <w:t>:</w:t>
      </w:r>
    </w:p>
    <w:p w14:paraId="2AB3C706" w14:textId="77777777" w:rsidR="00812AAD" w:rsidRPr="006070EA" w:rsidRDefault="00812AAD" w:rsidP="00812AAD">
      <w:pPr>
        <w:pStyle w:val="Atext"/>
        <w:ind w:left="2835" w:hanging="2126"/>
        <w:rPr>
          <w:rFonts w:asciiTheme="majorHAnsi" w:hAnsiTheme="majorHAnsi" w:cstheme="majorHAnsi"/>
          <w:b/>
          <w:szCs w:val="18"/>
        </w:rPr>
      </w:pPr>
      <w:r w:rsidRPr="006070EA">
        <w:rPr>
          <w:rFonts w:asciiTheme="majorHAnsi" w:hAnsiTheme="majorHAnsi" w:cstheme="majorHAnsi"/>
          <w:b/>
          <w:szCs w:val="18"/>
        </w:rPr>
        <w:t xml:space="preserve">cyklotrasa č. 24 </w:t>
      </w:r>
      <w:r w:rsidRPr="006070EA">
        <w:rPr>
          <w:rFonts w:asciiTheme="majorHAnsi" w:hAnsiTheme="majorHAnsi" w:cstheme="majorHAnsi"/>
          <w:b/>
          <w:szCs w:val="18"/>
        </w:rPr>
        <w:tab/>
      </w:r>
      <w:r w:rsidRPr="006070EA">
        <w:rPr>
          <w:rFonts w:asciiTheme="majorHAnsi" w:hAnsiTheme="majorHAnsi" w:cstheme="majorHAnsi"/>
          <w:szCs w:val="18"/>
        </w:rPr>
        <w:t>Labská cyklotrasa:</w:t>
      </w:r>
    </w:p>
    <w:p w14:paraId="1148096A" w14:textId="7A082D18" w:rsidR="00812AAD" w:rsidRPr="006070EA" w:rsidRDefault="00812AAD" w:rsidP="00812AAD">
      <w:pPr>
        <w:spacing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shd w:val="clear" w:color="auto" w:fill="FFFFFF"/>
        </w:rPr>
        <w:t xml:space="preserve">Špindlerův Mlýn – Vrchlabí </w:t>
      </w:r>
      <w:r w:rsidR="00F56848" w:rsidRPr="006070EA">
        <w:rPr>
          <w:rFonts w:asciiTheme="majorHAnsi" w:hAnsiTheme="majorHAnsi" w:cstheme="majorHAnsi"/>
          <w:sz w:val="18"/>
          <w:szCs w:val="18"/>
          <w:shd w:val="clear" w:color="auto" w:fill="FFFFFF"/>
        </w:rPr>
        <w:t>–</w:t>
      </w:r>
      <w:r w:rsidRPr="006070EA">
        <w:rPr>
          <w:rFonts w:asciiTheme="majorHAnsi" w:hAnsiTheme="majorHAnsi" w:cstheme="majorHAnsi"/>
          <w:sz w:val="18"/>
          <w:szCs w:val="18"/>
          <w:shd w:val="clear" w:color="auto" w:fill="FFFFFF"/>
        </w:rPr>
        <w:t xml:space="preserve"> Klášterská Lhota – Debrné </w:t>
      </w:r>
      <w:r w:rsidR="00106C28" w:rsidRPr="006070EA">
        <w:rPr>
          <w:rFonts w:asciiTheme="majorHAnsi" w:hAnsiTheme="majorHAnsi" w:cstheme="majorHAnsi"/>
          <w:sz w:val="18"/>
          <w:szCs w:val="18"/>
          <w:shd w:val="clear" w:color="auto" w:fill="FFFFFF"/>
        </w:rPr>
        <w:t>–</w:t>
      </w:r>
      <w:r w:rsidRPr="006070EA">
        <w:rPr>
          <w:rFonts w:asciiTheme="majorHAnsi" w:hAnsiTheme="majorHAnsi" w:cstheme="majorHAnsi"/>
          <w:sz w:val="18"/>
          <w:szCs w:val="18"/>
          <w:shd w:val="clear" w:color="auto" w:fill="FFFFFF"/>
        </w:rPr>
        <w:t xml:space="preserve"> Dvůr Králově nad Labem – Heřmanice </w:t>
      </w:r>
      <w:r w:rsidR="00E82842" w:rsidRPr="006070EA">
        <w:rPr>
          <w:rFonts w:asciiTheme="majorHAnsi" w:hAnsiTheme="majorHAnsi" w:cstheme="majorHAnsi"/>
          <w:sz w:val="18"/>
          <w:szCs w:val="18"/>
          <w:shd w:val="clear" w:color="auto" w:fill="FFFFFF"/>
        </w:rPr>
        <w:t>–</w:t>
      </w:r>
      <w:r w:rsidRPr="006070EA">
        <w:rPr>
          <w:rFonts w:asciiTheme="majorHAnsi" w:hAnsiTheme="majorHAnsi" w:cstheme="majorHAnsi"/>
          <w:sz w:val="18"/>
          <w:szCs w:val="18"/>
          <w:shd w:val="clear" w:color="auto" w:fill="FFFFFF"/>
        </w:rPr>
        <w:t xml:space="preserve"> Jaroměř – Lochenice </w:t>
      </w:r>
      <w:r w:rsidR="00E82842" w:rsidRPr="006070EA">
        <w:rPr>
          <w:rFonts w:asciiTheme="majorHAnsi" w:hAnsiTheme="majorHAnsi" w:cstheme="majorHAnsi"/>
          <w:sz w:val="18"/>
          <w:szCs w:val="18"/>
          <w:shd w:val="clear" w:color="auto" w:fill="FFFFFF"/>
        </w:rPr>
        <w:t>–</w:t>
      </w:r>
      <w:r w:rsidRPr="006070EA">
        <w:rPr>
          <w:rFonts w:asciiTheme="majorHAnsi" w:hAnsiTheme="majorHAnsi" w:cstheme="majorHAnsi"/>
          <w:sz w:val="18"/>
          <w:szCs w:val="18"/>
          <w:shd w:val="clear" w:color="auto" w:fill="FFFFFF"/>
        </w:rPr>
        <w:t xml:space="preserve"> Hradec Králové – Kunětická </w:t>
      </w:r>
      <w:proofErr w:type="gramStart"/>
      <w:r w:rsidRPr="006070EA">
        <w:rPr>
          <w:rFonts w:asciiTheme="majorHAnsi" w:hAnsiTheme="majorHAnsi" w:cstheme="majorHAnsi"/>
          <w:sz w:val="18"/>
          <w:szCs w:val="18"/>
          <w:shd w:val="clear" w:color="auto" w:fill="FFFFFF"/>
        </w:rPr>
        <w:t>Hora - Pardubice</w:t>
      </w:r>
      <w:proofErr w:type="gramEnd"/>
      <w:r w:rsidRPr="006070EA">
        <w:rPr>
          <w:rFonts w:asciiTheme="majorHAnsi" w:hAnsiTheme="majorHAnsi" w:cstheme="majorHAnsi"/>
          <w:sz w:val="18"/>
          <w:szCs w:val="18"/>
          <w:shd w:val="clear" w:color="auto" w:fill="FFFFFF"/>
        </w:rPr>
        <w:t xml:space="preserve"> – </w:t>
      </w:r>
      <w:proofErr w:type="gramStart"/>
      <w:r w:rsidRPr="006070EA">
        <w:rPr>
          <w:rFonts w:asciiTheme="majorHAnsi" w:hAnsiTheme="majorHAnsi" w:cstheme="majorHAnsi"/>
          <w:sz w:val="18"/>
          <w:szCs w:val="18"/>
          <w:shd w:val="clear" w:color="auto" w:fill="FFFFFF"/>
        </w:rPr>
        <w:t>Mělice - Kladruby</w:t>
      </w:r>
      <w:proofErr w:type="gramEnd"/>
      <w:r w:rsidRPr="006070EA">
        <w:rPr>
          <w:rFonts w:asciiTheme="majorHAnsi" w:hAnsiTheme="majorHAnsi" w:cstheme="majorHAnsi"/>
          <w:sz w:val="18"/>
          <w:szCs w:val="18"/>
          <w:shd w:val="clear" w:color="auto" w:fill="FFFFFF"/>
        </w:rPr>
        <w:t xml:space="preserve"> nad Labem – Týnec nad </w:t>
      </w:r>
      <w:proofErr w:type="gramStart"/>
      <w:r w:rsidRPr="006070EA">
        <w:rPr>
          <w:rFonts w:asciiTheme="majorHAnsi" w:hAnsiTheme="majorHAnsi" w:cstheme="majorHAnsi"/>
          <w:sz w:val="18"/>
          <w:szCs w:val="18"/>
          <w:shd w:val="clear" w:color="auto" w:fill="FFFFFF"/>
        </w:rPr>
        <w:t>Labem - Kolín</w:t>
      </w:r>
      <w:proofErr w:type="gramEnd"/>
      <w:r w:rsidRPr="006070EA">
        <w:rPr>
          <w:rFonts w:asciiTheme="majorHAnsi" w:hAnsiTheme="majorHAnsi" w:cstheme="majorHAnsi"/>
          <w:sz w:val="18"/>
          <w:szCs w:val="18"/>
          <w:shd w:val="clear" w:color="auto" w:fill="FFFFFF"/>
        </w:rPr>
        <w:t xml:space="preserve"> – </w:t>
      </w:r>
      <w:proofErr w:type="gramStart"/>
      <w:r w:rsidRPr="006070EA">
        <w:rPr>
          <w:rFonts w:asciiTheme="majorHAnsi" w:hAnsiTheme="majorHAnsi" w:cstheme="majorHAnsi"/>
          <w:sz w:val="18"/>
          <w:szCs w:val="18"/>
          <w:shd w:val="clear" w:color="auto" w:fill="FFFFFF"/>
        </w:rPr>
        <w:t>Veltruby - Poděbrady</w:t>
      </w:r>
      <w:proofErr w:type="gramEnd"/>
      <w:r w:rsidRPr="006070EA">
        <w:rPr>
          <w:rFonts w:asciiTheme="majorHAnsi" w:hAnsiTheme="majorHAnsi" w:cstheme="majorHAnsi"/>
          <w:sz w:val="18"/>
          <w:szCs w:val="18"/>
          <w:shd w:val="clear" w:color="auto" w:fill="FFFFFF"/>
        </w:rPr>
        <w:t xml:space="preserve"> – </w:t>
      </w:r>
      <w:proofErr w:type="gramStart"/>
      <w:r w:rsidRPr="006070EA">
        <w:rPr>
          <w:rFonts w:asciiTheme="majorHAnsi" w:hAnsiTheme="majorHAnsi" w:cstheme="majorHAnsi"/>
          <w:sz w:val="18"/>
          <w:szCs w:val="18"/>
          <w:shd w:val="clear" w:color="auto" w:fill="FFFFFF"/>
        </w:rPr>
        <w:t>Nymburk - Mydlovarský</w:t>
      </w:r>
      <w:proofErr w:type="gramEnd"/>
      <w:r w:rsidRPr="006070EA">
        <w:rPr>
          <w:rFonts w:asciiTheme="majorHAnsi" w:hAnsiTheme="majorHAnsi" w:cstheme="majorHAnsi"/>
          <w:sz w:val="18"/>
          <w:szCs w:val="18"/>
          <w:shd w:val="clear" w:color="auto" w:fill="FFFFFF"/>
        </w:rPr>
        <w:t xml:space="preserve"> Luh – </w:t>
      </w:r>
      <w:proofErr w:type="gramStart"/>
      <w:r w:rsidRPr="006070EA">
        <w:rPr>
          <w:rFonts w:asciiTheme="majorHAnsi" w:hAnsiTheme="majorHAnsi" w:cstheme="majorHAnsi"/>
          <w:sz w:val="18"/>
          <w:szCs w:val="18"/>
          <w:shd w:val="clear" w:color="auto" w:fill="FFFFFF"/>
        </w:rPr>
        <w:t>Čelákovice - Nový</w:t>
      </w:r>
      <w:proofErr w:type="gramEnd"/>
      <w:r w:rsidRPr="006070EA">
        <w:rPr>
          <w:rFonts w:asciiTheme="majorHAnsi" w:hAnsiTheme="majorHAnsi" w:cstheme="majorHAnsi"/>
          <w:sz w:val="18"/>
          <w:szCs w:val="18"/>
          <w:shd w:val="clear" w:color="auto" w:fill="FFFFFF"/>
        </w:rPr>
        <w:t xml:space="preserve"> Vestec – Kostelec nad </w:t>
      </w:r>
      <w:proofErr w:type="gramStart"/>
      <w:r w:rsidRPr="006070EA">
        <w:rPr>
          <w:rFonts w:asciiTheme="majorHAnsi" w:hAnsiTheme="majorHAnsi" w:cstheme="majorHAnsi"/>
          <w:sz w:val="18"/>
          <w:szCs w:val="18"/>
          <w:shd w:val="clear" w:color="auto" w:fill="FFFFFF"/>
        </w:rPr>
        <w:t>Labem - Neratovice</w:t>
      </w:r>
      <w:proofErr w:type="gramEnd"/>
      <w:r w:rsidRPr="006070EA">
        <w:rPr>
          <w:rFonts w:asciiTheme="majorHAnsi" w:hAnsiTheme="majorHAnsi" w:cstheme="majorHAnsi"/>
          <w:sz w:val="18"/>
          <w:szCs w:val="18"/>
          <w:shd w:val="clear" w:color="auto" w:fill="FFFFFF"/>
        </w:rPr>
        <w:t xml:space="preserve"> – </w:t>
      </w:r>
      <w:proofErr w:type="gramStart"/>
      <w:r w:rsidRPr="006070EA">
        <w:rPr>
          <w:rFonts w:asciiTheme="majorHAnsi" w:hAnsiTheme="majorHAnsi" w:cstheme="majorHAnsi"/>
          <w:sz w:val="18"/>
          <w:szCs w:val="18"/>
          <w:shd w:val="clear" w:color="auto" w:fill="FFFFFF"/>
        </w:rPr>
        <w:t>Kly - Mělník</w:t>
      </w:r>
      <w:proofErr w:type="gramEnd"/>
      <w:r w:rsidRPr="006070EA">
        <w:rPr>
          <w:rFonts w:asciiTheme="majorHAnsi" w:hAnsiTheme="majorHAnsi" w:cstheme="majorHAnsi"/>
          <w:sz w:val="18"/>
          <w:szCs w:val="18"/>
          <w:shd w:val="clear" w:color="auto" w:fill="FFFFFF"/>
        </w:rPr>
        <w:t xml:space="preserve"> – </w:t>
      </w:r>
      <w:proofErr w:type="gramStart"/>
      <w:r w:rsidRPr="006070EA">
        <w:rPr>
          <w:rFonts w:asciiTheme="majorHAnsi" w:hAnsiTheme="majorHAnsi" w:cstheme="majorHAnsi"/>
          <w:sz w:val="18"/>
          <w:szCs w:val="18"/>
          <w:shd w:val="clear" w:color="auto" w:fill="FFFFFF"/>
        </w:rPr>
        <w:t>Štětí - Roudnice</w:t>
      </w:r>
      <w:proofErr w:type="gramEnd"/>
      <w:r w:rsidRPr="006070EA">
        <w:rPr>
          <w:rFonts w:asciiTheme="majorHAnsi" w:hAnsiTheme="majorHAnsi" w:cstheme="majorHAnsi"/>
          <w:sz w:val="18"/>
          <w:szCs w:val="18"/>
          <w:shd w:val="clear" w:color="auto" w:fill="FFFFFF"/>
        </w:rPr>
        <w:t xml:space="preserve"> nad Labem – </w:t>
      </w:r>
      <w:proofErr w:type="gramStart"/>
      <w:r w:rsidRPr="006070EA">
        <w:rPr>
          <w:rFonts w:asciiTheme="majorHAnsi" w:hAnsiTheme="majorHAnsi" w:cstheme="majorHAnsi"/>
          <w:sz w:val="18"/>
          <w:szCs w:val="18"/>
          <w:shd w:val="clear" w:color="auto" w:fill="FFFFFF"/>
        </w:rPr>
        <w:t>Křešice - Velké</w:t>
      </w:r>
      <w:proofErr w:type="gramEnd"/>
      <w:r w:rsidRPr="006070EA">
        <w:rPr>
          <w:rFonts w:asciiTheme="majorHAnsi" w:hAnsiTheme="majorHAnsi" w:cstheme="majorHAnsi"/>
          <w:sz w:val="18"/>
          <w:szCs w:val="18"/>
          <w:shd w:val="clear" w:color="auto" w:fill="FFFFFF"/>
        </w:rPr>
        <w:t xml:space="preserve"> Žernoseky – Ústí nad </w:t>
      </w:r>
      <w:proofErr w:type="gramStart"/>
      <w:r w:rsidRPr="006070EA">
        <w:rPr>
          <w:rFonts w:asciiTheme="majorHAnsi" w:hAnsiTheme="majorHAnsi" w:cstheme="majorHAnsi"/>
          <w:sz w:val="18"/>
          <w:szCs w:val="18"/>
          <w:shd w:val="clear" w:color="auto" w:fill="FFFFFF"/>
        </w:rPr>
        <w:t>Labem - Malé</w:t>
      </w:r>
      <w:proofErr w:type="gramEnd"/>
      <w:r w:rsidRPr="006070EA">
        <w:rPr>
          <w:rFonts w:asciiTheme="majorHAnsi" w:hAnsiTheme="majorHAnsi" w:cstheme="majorHAnsi"/>
          <w:sz w:val="18"/>
          <w:szCs w:val="18"/>
          <w:shd w:val="clear" w:color="auto" w:fill="FFFFFF"/>
        </w:rPr>
        <w:t xml:space="preserve"> Březno – </w:t>
      </w:r>
      <w:proofErr w:type="gramStart"/>
      <w:r w:rsidRPr="006070EA">
        <w:rPr>
          <w:rFonts w:asciiTheme="majorHAnsi" w:hAnsiTheme="majorHAnsi" w:cstheme="majorHAnsi"/>
          <w:sz w:val="18"/>
          <w:szCs w:val="18"/>
          <w:shd w:val="clear" w:color="auto" w:fill="FFFFFF"/>
        </w:rPr>
        <w:t>Děčín - Dolní</w:t>
      </w:r>
      <w:proofErr w:type="gramEnd"/>
      <w:r w:rsidRPr="006070EA">
        <w:rPr>
          <w:rFonts w:asciiTheme="majorHAnsi" w:hAnsiTheme="majorHAnsi" w:cstheme="majorHAnsi"/>
          <w:sz w:val="18"/>
          <w:szCs w:val="18"/>
          <w:shd w:val="clear" w:color="auto" w:fill="FFFFFF"/>
        </w:rPr>
        <w:t xml:space="preserve"> Žleb</w:t>
      </w:r>
    </w:p>
    <w:p w14:paraId="2321B018" w14:textId="50154770" w:rsidR="00F56848" w:rsidRPr="006070EA" w:rsidRDefault="00F56848" w:rsidP="00F56848">
      <w:pPr>
        <w:pStyle w:val="Atext"/>
        <w:rPr>
          <w:rFonts w:asciiTheme="majorHAnsi" w:hAnsiTheme="majorHAnsi" w:cstheme="majorHAnsi"/>
          <w:szCs w:val="18"/>
        </w:rPr>
      </w:pPr>
      <w:r w:rsidRPr="006070EA">
        <w:rPr>
          <w:rFonts w:asciiTheme="majorHAnsi" w:hAnsiTheme="majorHAnsi" w:cstheme="majorHAnsi"/>
          <w:szCs w:val="18"/>
          <w:lang w:eastAsia="cs-CZ"/>
        </w:rPr>
        <w:t>Řešeným územím prochází 1 cyklotrasa – Labská cyklostezka (Špindlerův Mlýn – Dolní Žleb) s celkovou délkou 294</w:t>
      </w:r>
      <w:r w:rsidR="00E82842" w:rsidRPr="006070EA">
        <w:rPr>
          <w:rFonts w:asciiTheme="majorHAnsi" w:hAnsiTheme="majorHAnsi" w:cstheme="majorHAnsi"/>
          <w:szCs w:val="18"/>
          <w:lang w:eastAsia="cs-CZ"/>
        </w:rPr>
        <w:t> </w:t>
      </w:r>
      <w:r w:rsidRPr="006070EA">
        <w:rPr>
          <w:rFonts w:asciiTheme="majorHAnsi" w:hAnsiTheme="majorHAnsi" w:cstheme="majorHAnsi"/>
          <w:szCs w:val="18"/>
          <w:lang w:eastAsia="cs-CZ"/>
        </w:rPr>
        <w:t>km. Délka v úseku obce Kostomlat nad Labem (Nymburk – Mydlovraský Luh) činí 7,54 km.</w:t>
      </w:r>
    </w:p>
    <w:p w14:paraId="2F4190B0" w14:textId="435E2D69" w:rsidR="00156528" w:rsidRPr="006070EA" w:rsidRDefault="00156528" w:rsidP="00156528">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Územní plán respektuje značené turistické a cyklistické trasy a navrženým řešením je stabilizuje. Pro doplnění turistické infrastruktury územní plán navrhuje </w:t>
      </w:r>
      <w:r w:rsidR="00B41BC9" w:rsidRPr="006070EA">
        <w:rPr>
          <w:rFonts w:asciiTheme="majorHAnsi" w:hAnsiTheme="majorHAnsi" w:cstheme="majorHAnsi"/>
          <w:sz w:val="18"/>
        </w:rPr>
        <w:t xml:space="preserve">koridor nemotorové dopravy </w:t>
      </w:r>
      <w:r w:rsidR="00E82842" w:rsidRPr="006070EA">
        <w:rPr>
          <w:rFonts w:asciiTheme="majorHAnsi" w:hAnsiTheme="majorHAnsi" w:cstheme="majorHAnsi"/>
          <w:sz w:val="18"/>
        </w:rPr>
        <w:t>CNU.</w:t>
      </w:r>
      <w:r w:rsidR="00B41BC9" w:rsidRPr="006070EA">
        <w:rPr>
          <w:rFonts w:asciiTheme="majorHAnsi" w:hAnsiTheme="majorHAnsi" w:cstheme="majorHAnsi"/>
          <w:sz w:val="18"/>
        </w:rPr>
        <w:t>KDN1 pro lávku přes řeku Labe</w:t>
      </w:r>
      <w:r w:rsidRPr="006070EA">
        <w:rPr>
          <w:rFonts w:asciiTheme="majorHAnsi" w:hAnsiTheme="majorHAnsi" w:cstheme="majorHAnsi"/>
          <w:sz w:val="18"/>
        </w:rPr>
        <w:t xml:space="preserve"> </w:t>
      </w:r>
      <w:r w:rsidR="00B41BC9" w:rsidRPr="006070EA">
        <w:rPr>
          <w:rFonts w:asciiTheme="majorHAnsi" w:hAnsiTheme="majorHAnsi" w:cstheme="majorHAnsi"/>
          <w:sz w:val="18"/>
        </w:rPr>
        <w:t>a trasu cyklotrasy / cyklostezky navazující na stávající značenou cyklotrasu</w:t>
      </w:r>
      <w:r w:rsidRPr="006070EA">
        <w:rPr>
          <w:rFonts w:asciiTheme="majorHAnsi" w:hAnsiTheme="majorHAnsi" w:cstheme="majorHAnsi"/>
          <w:sz w:val="18"/>
        </w:rPr>
        <w:t xml:space="preserve">. </w:t>
      </w:r>
    </w:p>
    <w:p w14:paraId="20D2C43B" w14:textId="77777777" w:rsidR="0013478F" w:rsidRPr="006070EA" w:rsidRDefault="0013478F" w:rsidP="0013478F">
      <w:pPr>
        <w:pStyle w:val="Anadpispodtren"/>
        <w:rPr>
          <w:rFonts w:asciiTheme="majorHAnsi" w:hAnsiTheme="majorHAnsi" w:cstheme="majorHAnsi"/>
        </w:rPr>
      </w:pPr>
      <w:r w:rsidRPr="006070EA">
        <w:rPr>
          <w:rFonts w:asciiTheme="majorHAnsi" w:hAnsiTheme="majorHAnsi" w:cstheme="majorHAnsi"/>
        </w:rPr>
        <w:t>Hipostezky</w:t>
      </w:r>
    </w:p>
    <w:p w14:paraId="50BED636" w14:textId="6974D03C" w:rsidR="0013478F" w:rsidRPr="006070EA" w:rsidRDefault="0013478F" w:rsidP="0013478F">
      <w:pPr>
        <w:pStyle w:val="Atext"/>
        <w:rPr>
          <w:rFonts w:asciiTheme="majorHAnsi" w:hAnsiTheme="majorHAnsi" w:cstheme="majorHAnsi"/>
        </w:rPr>
      </w:pPr>
      <w:r w:rsidRPr="006070EA">
        <w:rPr>
          <w:rFonts w:asciiTheme="majorHAnsi" w:hAnsiTheme="majorHAnsi" w:cstheme="majorHAnsi"/>
        </w:rPr>
        <w:t>Hipostezka je turistická stezka zaměřená na hipoturistiku, tedy mimořádně vhodná pro cestování na koni. Značení veřejných hipostezek provádí Klub českých turistů, existují ale i privátní okruhy.</w:t>
      </w:r>
    </w:p>
    <w:p w14:paraId="2C930FD2" w14:textId="6E1E4643" w:rsidR="0013478F" w:rsidRPr="006070EA" w:rsidRDefault="0013478F" w:rsidP="00B41BC9">
      <w:pPr>
        <w:pStyle w:val="Anadpispodtren"/>
        <w:rPr>
          <w:rFonts w:asciiTheme="majorHAnsi" w:hAnsiTheme="majorHAnsi" w:cstheme="majorHAnsi"/>
          <w:u w:val="none"/>
        </w:rPr>
      </w:pPr>
      <w:r w:rsidRPr="006070EA">
        <w:rPr>
          <w:rFonts w:asciiTheme="majorHAnsi" w:hAnsiTheme="majorHAnsi" w:cstheme="majorHAnsi"/>
          <w:u w:val="none"/>
        </w:rPr>
        <w:tab/>
        <w:t>Řešeným území neprochází žádná hipostezka. V území se nachází jezdecký ovál</w:t>
      </w:r>
      <w:r w:rsidR="00B41BC9" w:rsidRPr="006070EA">
        <w:rPr>
          <w:rFonts w:asciiTheme="majorHAnsi" w:hAnsiTheme="majorHAnsi" w:cstheme="majorHAnsi"/>
          <w:u w:val="none"/>
        </w:rPr>
        <w:t xml:space="preserve"> u sídla Rozkoš, stabilizovaný v rámci ploch smíšených nezastavěného území – </w:t>
      </w:r>
      <w:r w:rsidR="00E82842" w:rsidRPr="006070EA">
        <w:rPr>
          <w:rFonts w:asciiTheme="majorHAnsi" w:hAnsiTheme="majorHAnsi" w:cstheme="majorHAnsi"/>
          <w:u w:val="none"/>
        </w:rPr>
        <w:t>sportovní využití</w:t>
      </w:r>
      <w:r w:rsidR="00B41BC9" w:rsidRPr="006070EA">
        <w:rPr>
          <w:rFonts w:asciiTheme="majorHAnsi" w:hAnsiTheme="majorHAnsi" w:cstheme="majorHAnsi"/>
          <w:u w:val="none"/>
        </w:rPr>
        <w:t xml:space="preserve"> (</w:t>
      </w:r>
      <w:proofErr w:type="gramStart"/>
      <w:r w:rsidR="00E82842" w:rsidRPr="006070EA">
        <w:rPr>
          <w:rFonts w:asciiTheme="majorHAnsi" w:hAnsiTheme="majorHAnsi" w:cstheme="majorHAnsi"/>
          <w:u w:val="none"/>
        </w:rPr>
        <w:t>MU.s</w:t>
      </w:r>
      <w:proofErr w:type="gramEnd"/>
      <w:r w:rsidR="00B41BC9" w:rsidRPr="006070EA">
        <w:rPr>
          <w:rFonts w:asciiTheme="majorHAnsi" w:hAnsiTheme="majorHAnsi" w:cstheme="majorHAnsi"/>
          <w:u w:val="none"/>
        </w:rPr>
        <w:t>)</w:t>
      </w:r>
      <w:r w:rsidRPr="006070EA">
        <w:rPr>
          <w:rFonts w:asciiTheme="majorHAnsi" w:hAnsiTheme="majorHAnsi" w:cstheme="majorHAnsi"/>
          <w:u w:val="none"/>
        </w:rPr>
        <w:t>.</w:t>
      </w:r>
    </w:p>
    <w:p w14:paraId="01588296" w14:textId="77777777" w:rsidR="00EE4D29" w:rsidRPr="006070EA" w:rsidRDefault="00EE4D29" w:rsidP="009E07E1">
      <w:pPr>
        <w:pStyle w:val="Anadpistun"/>
        <w:rPr>
          <w:rFonts w:asciiTheme="majorHAnsi" w:hAnsiTheme="majorHAnsi" w:cstheme="majorHAnsi"/>
        </w:rPr>
      </w:pPr>
      <w:r w:rsidRPr="006070EA">
        <w:rPr>
          <w:rFonts w:asciiTheme="majorHAnsi" w:hAnsiTheme="majorHAnsi" w:cstheme="majorHAnsi"/>
        </w:rPr>
        <w:t>Odůvodnění navrhovaného řešení</w:t>
      </w:r>
    </w:p>
    <w:p w14:paraId="1D0B3690" w14:textId="1F6ABD50" w:rsidR="00AB20AC" w:rsidRPr="006070EA" w:rsidRDefault="00AB20AC" w:rsidP="00461350">
      <w:pPr>
        <w:pStyle w:val="Norml"/>
        <w:spacing w:before="60" w:after="60"/>
        <w:ind w:firstLine="709"/>
        <w:rPr>
          <w:rFonts w:asciiTheme="majorHAnsi" w:hAnsiTheme="majorHAnsi" w:cstheme="majorHAnsi"/>
          <w:szCs w:val="18"/>
        </w:rPr>
      </w:pPr>
      <w:r w:rsidRPr="006070EA">
        <w:rPr>
          <w:rFonts w:asciiTheme="majorHAnsi" w:hAnsiTheme="majorHAnsi" w:cstheme="majorHAnsi"/>
          <w:szCs w:val="18"/>
        </w:rPr>
        <w:t xml:space="preserve">Dopravní systém v rámci ploch s rozdílným způsobem využití musí stejně tak, jako jakýkoliv jiný dopravní systém respektovat cíle územního plánování dle § 18 stavebního zákona, mezi kterými je především udržitelný rozvoj území, k čemuž přispívá právě udržitelný dopravní systém. Pro definici udržitelnosti dopravního systému byly převzaty principy udržitelné mobility z metodiky Evropské komise pro tvorbu plánů udržitelné městské mobility, které zároveň respektují Dopravní politiku ČR pro období 2021-2027 s výhledem do roku 2050 i celoevropské trendy v oblasti snižování energetické náročnosti, zátěže životního prostředí, bezpečnosti a sociální koheze. Cyklistická doprava patří do tzv. udržitelné mobility, neboť využívá pouze lidskou energii či případně v malé míře energii elektrickou a neprodukuje žádné emise. Je však velmi operativní, dokonce více než doprava automobilová, neumožňuje však dosahovat tak vysokých dopravních výkonů. Pro to, aby cyklistická doprava mohla fungovat a byla bezpečná, je však nezbytná adekvátní infrastruktura, což znamená zřizování fyzických a dopravně organizačních opatření pro cyklistickou dopravu, například cyklostezek, opatření v hlavním a přidruženém dopravním prostoru, cyklostojanů nebo místních komunikací se smíšeným provozem. Nezbytná je také prostupnost území pro cyklistickou dopravu. Možnost zkrácení cesty oproti jiným druhům dopravy je jedním z důvodů volby cyklistické dopravy. V případě, že bude zabezpečena vysoká míra prostupnosti území (veřejně přístupných komunikací) vybavených kvalitní a bezpečnou cykloinfastrukturou, lze předpokládat, že se zvýší podíl cyklistické dopravy na úkor dopravy individuální motorové, respektive se pro toto zvýšení vytváří nezbytné podmínky. Pozitivní důsledky snížení podílu individuální automobilové dopravy jsou prokazatelné (pozitivní vliv na veřejné zdraví, pokles počtu dopravních nehod apod.). V řešeném území má podpora cyklistické dopravy rovněž význam rekreační </w:t>
      </w:r>
      <w:r w:rsidR="0007706A" w:rsidRPr="006070EA">
        <w:rPr>
          <w:rFonts w:asciiTheme="majorHAnsi" w:hAnsiTheme="majorHAnsi" w:cstheme="majorHAnsi"/>
          <w:szCs w:val="18"/>
        </w:rPr>
        <w:t>–</w:t>
      </w:r>
      <w:r w:rsidRPr="006070EA">
        <w:rPr>
          <w:rFonts w:asciiTheme="majorHAnsi" w:hAnsiTheme="majorHAnsi" w:cstheme="majorHAnsi"/>
          <w:szCs w:val="18"/>
        </w:rPr>
        <w:t xml:space="preserve"> rekreace a cestovní ruch představují významné hospodářské odvětví v</w:t>
      </w:r>
      <w:r w:rsidR="0007706A" w:rsidRPr="006070EA">
        <w:rPr>
          <w:rFonts w:asciiTheme="majorHAnsi" w:hAnsiTheme="majorHAnsi" w:cstheme="majorHAnsi"/>
          <w:szCs w:val="18"/>
        </w:rPr>
        <w:t> </w:t>
      </w:r>
      <w:r w:rsidRPr="006070EA">
        <w:rPr>
          <w:rFonts w:asciiTheme="majorHAnsi" w:hAnsiTheme="majorHAnsi" w:cstheme="majorHAnsi"/>
          <w:szCs w:val="18"/>
        </w:rPr>
        <w:t>území</w:t>
      </w:r>
      <w:r w:rsidR="0007706A" w:rsidRPr="006070EA">
        <w:rPr>
          <w:rFonts w:asciiTheme="majorHAnsi" w:hAnsiTheme="majorHAnsi" w:cstheme="majorHAnsi"/>
          <w:szCs w:val="18"/>
        </w:rPr>
        <w:t>,</w:t>
      </w:r>
      <w:r w:rsidRPr="006070EA">
        <w:rPr>
          <w:rFonts w:asciiTheme="majorHAnsi" w:hAnsiTheme="majorHAnsi" w:cstheme="majorHAnsi"/>
          <w:szCs w:val="18"/>
        </w:rPr>
        <w:t xml:space="preserve"> a to především v souvislosti s tradicí individuální rekreace vázané na řeku </w:t>
      </w:r>
      <w:r w:rsidR="0007706A" w:rsidRPr="006070EA">
        <w:rPr>
          <w:rFonts w:asciiTheme="majorHAnsi" w:hAnsiTheme="majorHAnsi" w:cstheme="majorHAnsi"/>
          <w:szCs w:val="18"/>
        </w:rPr>
        <w:t>Labe</w:t>
      </w:r>
      <w:r w:rsidRPr="006070EA">
        <w:rPr>
          <w:rFonts w:asciiTheme="majorHAnsi" w:hAnsiTheme="majorHAnsi" w:cstheme="majorHAnsi"/>
          <w:szCs w:val="18"/>
        </w:rPr>
        <w:t>.</w:t>
      </w:r>
    </w:p>
    <w:p w14:paraId="1621EF9F" w14:textId="2FFA3629" w:rsidR="00EE4D29" w:rsidRPr="006070EA" w:rsidRDefault="00EE4D29" w:rsidP="00461350">
      <w:pPr>
        <w:pStyle w:val="Norml"/>
        <w:spacing w:before="60" w:after="60"/>
        <w:ind w:firstLine="709"/>
        <w:rPr>
          <w:rFonts w:asciiTheme="majorHAnsi" w:hAnsiTheme="majorHAnsi" w:cstheme="majorHAnsi"/>
          <w:szCs w:val="18"/>
        </w:rPr>
      </w:pPr>
      <w:r w:rsidRPr="006070EA">
        <w:rPr>
          <w:rFonts w:asciiTheme="majorHAnsi" w:hAnsiTheme="majorHAnsi" w:cstheme="majorHAnsi"/>
          <w:szCs w:val="18"/>
        </w:rPr>
        <w:t>Stávající komunikace pro pěší a cyklistickou dopravu (místní a účelové komunikace, chodníky, pěší trasy v sídlech, cesty ve volné krajině, cyklotrasy, turistické trasy) jsou v ÚP vymezeny zejména jako plochy veřejných prostranství</w:t>
      </w:r>
      <w:r w:rsidR="00E82842" w:rsidRPr="006070EA">
        <w:rPr>
          <w:rFonts w:asciiTheme="majorHAnsi" w:hAnsiTheme="majorHAnsi" w:cstheme="majorHAnsi"/>
          <w:szCs w:val="18"/>
        </w:rPr>
        <w:t xml:space="preserve"> všeobecných</w:t>
      </w:r>
      <w:r w:rsidRPr="006070EA">
        <w:rPr>
          <w:rFonts w:asciiTheme="majorHAnsi" w:hAnsiTheme="majorHAnsi" w:cstheme="majorHAnsi"/>
          <w:szCs w:val="18"/>
        </w:rPr>
        <w:t xml:space="preserve"> (P</w:t>
      </w:r>
      <w:r w:rsidR="00E82842" w:rsidRPr="006070EA">
        <w:rPr>
          <w:rFonts w:asciiTheme="majorHAnsi" w:hAnsiTheme="majorHAnsi" w:cstheme="majorHAnsi"/>
          <w:szCs w:val="18"/>
        </w:rPr>
        <w:t>U</w:t>
      </w:r>
      <w:r w:rsidRPr="006070EA">
        <w:rPr>
          <w:rFonts w:asciiTheme="majorHAnsi" w:hAnsiTheme="majorHAnsi" w:cstheme="majorHAnsi"/>
          <w:szCs w:val="18"/>
        </w:rPr>
        <w:t>) a</w:t>
      </w:r>
      <w:r w:rsidR="00461350" w:rsidRPr="006070EA">
        <w:rPr>
          <w:rFonts w:asciiTheme="majorHAnsi" w:hAnsiTheme="majorHAnsi" w:cstheme="majorHAnsi"/>
          <w:szCs w:val="18"/>
        </w:rPr>
        <w:t> </w:t>
      </w:r>
      <w:r w:rsidRPr="006070EA">
        <w:rPr>
          <w:rFonts w:asciiTheme="majorHAnsi" w:hAnsiTheme="majorHAnsi" w:cstheme="majorHAnsi"/>
          <w:szCs w:val="18"/>
        </w:rPr>
        <w:t xml:space="preserve">plochy </w:t>
      </w:r>
      <w:r w:rsidR="00E82842" w:rsidRPr="006070EA">
        <w:rPr>
          <w:rFonts w:asciiTheme="majorHAnsi" w:hAnsiTheme="majorHAnsi" w:cstheme="majorHAnsi"/>
          <w:szCs w:val="18"/>
        </w:rPr>
        <w:t xml:space="preserve">dopravy </w:t>
      </w:r>
      <w:r w:rsidRPr="006070EA">
        <w:rPr>
          <w:rFonts w:asciiTheme="majorHAnsi" w:hAnsiTheme="majorHAnsi" w:cstheme="majorHAnsi"/>
          <w:szCs w:val="18"/>
        </w:rPr>
        <w:t>silniční (DS)</w:t>
      </w:r>
      <w:r w:rsidR="00BD0624" w:rsidRPr="006070EA">
        <w:rPr>
          <w:rFonts w:asciiTheme="majorHAnsi" w:hAnsiTheme="majorHAnsi" w:cstheme="majorHAnsi"/>
          <w:szCs w:val="18"/>
        </w:rPr>
        <w:t>.</w:t>
      </w:r>
      <w:r w:rsidRPr="006070EA">
        <w:rPr>
          <w:rFonts w:asciiTheme="majorHAnsi" w:hAnsiTheme="majorHAnsi" w:cstheme="majorHAnsi"/>
          <w:szCs w:val="18"/>
        </w:rPr>
        <w:t xml:space="preserve"> Pěší a cyklistická doprava je také součástí dalších typů ploch v souladu s podmínkami využití ploch s rozdílným způsobem využití, v nichž lze cesty pro chodce a cyklisty dále doplňovat.</w:t>
      </w:r>
    </w:p>
    <w:p w14:paraId="2EF25C7D" w14:textId="77777777" w:rsidR="009003DE" w:rsidRPr="006070EA" w:rsidRDefault="00EE4D29" w:rsidP="00461350">
      <w:pPr>
        <w:pStyle w:val="Norml"/>
        <w:spacing w:before="60" w:after="60"/>
        <w:ind w:firstLine="709"/>
        <w:rPr>
          <w:rFonts w:asciiTheme="majorHAnsi" w:hAnsiTheme="majorHAnsi" w:cstheme="majorHAnsi"/>
          <w:szCs w:val="18"/>
        </w:rPr>
      </w:pPr>
      <w:r w:rsidRPr="006070EA">
        <w:rPr>
          <w:rFonts w:asciiTheme="majorHAnsi" w:hAnsiTheme="majorHAnsi" w:cstheme="majorHAnsi"/>
          <w:szCs w:val="18"/>
        </w:rPr>
        <w:t>Pěší a cyklistická doprava je zpravidla provozována jako součástí veřejných prostranství v souladu s § 7, odst. 2, vyhlášky č. 501/2006 Sb., ve znění pozdějších předpisů a dále dopravy silniční, v souladu s § 9, odst. 2, vyhlášky č. 501/2006 Sb., ve znění pozdějších předpisů. Plochy zajišťující prostupnost území pro chodce a</w:t>
      </w:r>
      <w:r w:rsidR="005973B4" w:rsidRPr="006070EA">
        <w:rPr>
          <w:rFonts w:asciiTheme="majorHAnsi" w:hAnsiTheme="majorHAnsi" w:cstheme="majorHAnsi"/>
          <w:szCs w:val="18"/>
        </w:rPr>
        <w:t> </w:t>
      </w:r>
      <w:r w:rsidRPr="006070EA">
        <w:rPr>
          <w:rFonts w:asciiTheme="majorHAnsi" w:hAnsiTheme="majorHAnsi" w:cstheme="majorHAnsi"/>
          <w:szCs w:val="18"/>
        </w:rPr>
        <w:t xml:space="preserve">cyklisty představují součást veřejné infrastruktury (veřejná prostranství, dopravní infrastruktura) z důvodu zajištění ochrany a rozvoje veřejně přístupných cest v řešeném území pro účely dostupnosti ploch, prostupnosti celého území (sídel i volné krajiny), napojení cest na okolní území a také pro účely ochrany a rozvoje infrastruktury cestovního ruchu. </w:t>
      </w:r>
    </w:p>
    <w:p w14:paraId="22D2E3F4" w14:textId="7060BDA0" w:rsidR="00EE4D29" w:rsidRPr="006070EA" w:rsidRDefault="00EE4D29" w:rsidP="00461350">
      <w:pPr>
        <w:pStyle w:val="Norml"/>
        <w:spacing w:before="60" w:after="60"/>
        <w:ind w:firstLine="709"/>
        <w:rPr>
          <w:rFonts w:asciiTheme="majorHAnsi" w:hAnsiTheme="majorHAnsi" w:cstheme="majorHAnsi"/>
          <w:szCs w:val="18"/>
        </w:rPr>
      </w:pPr>
      <w:r w:rsidRPr="006070EA">
        <w:rPr>
          <w:rFonts w:asciiTheme="majorHAnsi" w:hAnsiTheme="majorHAnsi" w:cstheme="majorHAnsi"/>
          <w:szCs w:val="18"/>
        </w:rPr>
        <w:lastRenderedPageBreak/>
        <w:t xml:space="preserve">Turistická infrastruktura je významným předpokladem pro rozvoj cestovního ruchu a turistiky v území, proto je nutné ji chránit a rozvíjet, zcela vyloučit jakoukoliv redukci. </w:t>
      </w:r>
      <w:r w:rsidR="0007706A" w:rsidRPr="006070EA">
        <w:rPr>
          <w:rFonts w:asciiTheme="majorHAnsi" w:hAnsiTheme="majorHAnsi" w:cstheme="majorHAnsi"/>
          <w:szCs w:val="18"/>
        </w:rPr>
        <w:t>Trasy místního charakteru lze vést obecně po všech komunikacích v</w:t>
      </w:r>
      <w:r w:rsidR="00E82842" w:rsidRPr="006070EA">
        <w:rPr>
          <w:rFonts w:asciiTheme="majorHAnsi" w:hAnsiTheme="majorHAnsi" w:cstheme="majorHAnsi"/>
          <w:szCs w:val="18"/>
        </w:rPr>
        <w:t> </w:t>
      </w:r>
      <w:r w:rsidR="0007706A" w:rsidRPr="006070EA">
        <w:rPr>
          <w:rFonts w:asciiTheme="majorHAnsi" w:hAnsiTheme="majorHAnsi" w:cstheme="majorHAnsi"/>
          <w:szCs w:val="18"/>
        </w:rPr>
        <w:t>řešeném území a po většině zpevněných a částečně zpevněných cest. Kvalitu cyklistických a cykloturistických tras lze zvyšovat jejich oddělením od společného vedení se silniční dopravou, čímž dojde k výraznému zvýšení bezpečnosti účastníků dopravy. V souladu s principy udržitelné mobility v rámci zvyšováním podílu, bezpečnosti a komfortu pěší dopravy je navrženo zřizovat nová bezpečná a komfortní propojení pro pěší a zvyšovat prostupnost území. Územní plán navrhuje vedení nové cyklotrasy / cyklostezky přednostně ve směru vymezeném ve výkrese 2 Hlavní výkres, kde je navržené orientační liniové vedení nové cyklotrasy / cyklostezky, viz níže.</w:t>
      </w:r>
    </w:p>
    <w:p w14:paraId="4597D8C2" w14:textId="6646870F" w:rsidR="0007706A" w:rsidRPr="006070EA" w:rsidRDefault="0007706A" w:rsidP="00461350">
      <w:pPr>
        <w:pStyle w:val="Norml"/>
        <w:spacing w:before="60" w:after="60"/>
        <w:ind w:firstLine="709"/>
        <w:rPr>
          <w:rFonts w:asciiTheme="majorHAnsi" w:hAnsiTheme="majorHAnsi" w:cstheme="majorHAnsi"/>
          <w:szCs w:val="18"/>
        </w:rPr>
      </w:pPr>
      <w:r w:rsidRPr="006070EA">
        <w:rPr>
          <w:rFonts w:asciiTheme="majorHAnsi" w:hAnsiTheme="majorHAnsi" w:cstheme="majorHAnsi"/>
          <w:szCs w:val="18"/>
        </w:rPr>
        <w:t>Podmínky pro rozvoj pěší a cyklistické dopravy jsou územním plánem zajištěny také v rámci vymezených směrů zajištění prostupnosti území veřejným prostranstvím (liniové prvky) a vymezením konkrétních rozvojových ploch.</w:t>
      </w:r>
    </w:p>
    <w:p w14:paraId="36A10CE0" w14:textId="6A8911B6" w:rsidR="00BD0624" w:rsidRPr="006070EA" w:rsidRDefault="00BD0624" w:rsidP="00BD0624">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7F6EAE">
        <w:rPr>
          <w:rFonts w:asciiTheme="majorHAnsi" w:hAnsiTheme="majorHAnsi" w:cstheme="majorHAnsi"/>
          <w:b/>
          <w:i/>
          <w:snapToGrid w:val="0"/>
          <w:u w:val="single"/>
        </w:rPr>
        <w:t>28</w:t>
      </w:r>
      <w:r w:rsidRPr="006070EA">
        <w:rPr>
          <w:rFonts w:asciiTheme="majorHAnsi" w:hAnsiTheme="majorHAnsi" w:cstheme="majorHAnsi"/>
          <w:b/>
          <w:i/>
          <w:snapToGrid w:val="0"/>
          <w:u w:val="single"/>
        </w:rPr>
        <w:t>)</w:t>
      </w:r>
      <w:r w:rsidR="00AB20AC" w:rsidRPr="006070EA">
        <w:rPr>
          <w:rFonts w:asciiTheme="majorHAnsi" w:hAnsiTheme="majorHAnsi" w:cstheme="majorHAnsi"/>
          <w:b/>
          <w:i/>
          <w:snapToGrid w:val="0"/>
          <w:u w:val="single"/>
        </w:rPr>
        <w:t xml:space="preserve"> </w:t>
      </w:r>
      <w:r w:rsidR="007F6EAE">
        <w:rPr>
          <w:rFonts w:asciiTheme="majorHAnsi" w:hAnsiTheme="majorHAnsi" w:cstheme="majorHAnsi"/>
          <w:bCs w:val="0"/>
          <w:i/>
          <w:snapToGrid w:val="0"/>
          <w:u w:val="single"/>
        </w:rPr>
        <w:t>-</w:t>
      </w:r>
      <w:r w:rsidR="00AB20AC" w:rsidRPr="006070EA">
        <w:rPr>
          <w:rFonts w:asciiTheme="majorHAnsi" w:hAnsiTheme="majorHAnsi" w:cstheme="majorHAnsi"/>
          <w:b/>
          <w:i/>
          <w:snapToGrid w:val="0"/>
          <w:u w:val="single"/>
        </w:rPr>
        <w:t xml:space="preserve"> (3</w:t>
      </w:r>
      <w:r w:rsidR="007F6EAE">
        <w:rPr>
          <w:rFonts w:asciiTheme="majorHAnsi" w:hAnsiTheme="majorHAnsi" w:cstheme="majorHAnsi"/>
          <w:b/>
          <w:i/>
          <w:snapToGrid w:val="0"/>
          <w:u w:val="single"/>
        </w:rPr>
        <w:t>0</w:t>
      </w:r>
      <w:r w:rsidR="00AB20AC" w:rsidRPr="006070EA">
        <w:rPr>
          <w:rFonts w:asciiTheme="majorHAnsi" w:hAnsiTheme="majorHAnsi" w:cstheme="majorHAnsi"/>
          <w:b/>
          <w:i/>
          <w:snapToGrid w:val="0"/>
          <w:u w:val="single"/>
        </w:rPr>
        <w:t>)</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0A2570DE" w14:textId="23A2E7F8" w:rsidR="00AB20AC" w:rsidRPr="006070EA" w:rsidRDefault="00AB20AC" w:rsidP="00AB20AC">
      <w:pPr>
        <w:pStyle w:val="Atext"/>
        <w:rPr>
          <w:rFonts w:asciiTheme="majorHAnsi" w:hAnsiTheme="majorHAnsi" w:cstheme="majorHAnsi"/>
        </w:rPr>
      </w:pPr>
      <w:r w:rsidRPr="006070EA">
        <w:rPr>
          <w:rFonts w:asciiTheme="majorHAnsi" w:hAnsiTheme="majorHAnsi" w:cstheme="majorHAnsi"/>
        </w:rPr>
        <w:t>Podrobné odůvodnění vymezení zastavitelné plochy Z</w:t>
      </w:r>
      <w:r w:rsidR="00E82842" w:rsidRPr="006070EA">
        <w:rPr>
          <w:rFonts w:asciiTheme="majorHAnsi" w:hAnsiTheme="majorHAnsi" w:cstheme="majorHAnsi"/>
        </w:rPr>
        <w:t>.</w:t>
      </w:r>
      <w:r w:rsidRPr="006070EA">
        <w:rPr>
          <w:rFonts w:asciiTheme="majorHAnsi" w:hAnsiTheme="majorHAnsi" w:cstheme="majorHAnsi"/>
        </w:rPr>
        <w:t xml:space="preserve">22 pro rozvoj veřejných prostranství, jež současně vytváří podmínky pro zvýšení prostupnosti území pro pěší a cyklisty je součástí komplexního zdůvodnění přijatého řešení a podrobně je uvedeno v kapitole 11.3.3. </w:t>
      </w:r>
    </w:p>
    <w:p w14:paraId="5B77C291" w14:textId="6FC1C85E" w:rsidR="00BD0624" w:rsidRPr="007F6EAE" w:rsidRDefault="00BD0624" w:rsidP="00BD0624">
      <w:pPr>
        <w:pStyle w:val="Atext"/>
        <w:spacing w:before="0"/>
        <w:ind w:firstLine="0"/>
        <w:rPr>
          <w:rFonts w:asciiTheme="majorHAnsi" w:hAnsiTheme="majorHAnsi" w:cstheme="majorHAnsi"/>
          <w:i/>
          <w:iCs w:val="0"/>
        </w:rPr>
      </w:pPr>
      <w:r w:rsidRPr="007F6EAE">
        <w:rPr>
          <w:rFonts w:asciiTheme="majorHAnsi" w:hAnsiTheme="majorHAnsi" w:cstheme="majorHAnsi"/>
          <w:i/>
          <w:iCs w:val="0"/>
        </w:rPr>
        <w:t xml:space="preserve">Odůvodnění vymezení </w:t>
      </w:r>
      <w:r w:rsidR="00AB20AC" w:rsidRPr="007F6EAE">
        <w:rPr>
          <w:rFonts w:asciiTheme="majorHAnsi" w:hAnsiTheme="majorHAnsi" w:cstheme="majorHAnsi"/>
          <w:i/>
          <w:iCs w:val="0"/>
        </w:rPr>
        <w:t xml:space="preserve">koridoru nemotorové dopravy </w:t>
      </w:r>
      <w:r w:rsidR="00E82842" w:rsidRPr="007F6EAE">
        <w:rPr>
          <w:rFonts w:asciiTheme="majorHAnsi" w:hAnsiTheme="majorHAnsi" w:cstheme="majorHAnsi"/>
          <w:i/>
          <w:iCs w:val="0"/>
        </w:rPr>
        <w:t>CNU.</w:t>
      </w:r>
      <w:r w:rsidR="00AB20AC" w:rsidRPr="007F6EAE">
        <w:rPr>
          <w:rFonts w:asciiTheme="majorHAnsi" w:hAnsiTheme="majorHAnsi" w:cstheme="majorHAnsi"/>
          <w:i/>
          <w:iCs w:val="0"/>
        </w:rPr>
        <w:t>KDN1 a trasy (směru) cyklotrasy / cyklostezky</w:t>
      </w:r>
    </w:p>
    <w:p w14:paraId="1C7022AC" w14:textId="1A172166" w:rsidR="007300BE" w:rsidRPr="006070EA" w:rsidRDefault="0003001F" w:rsidP="0003001F">
      <w:pPr>
        <w:spacing w:after="60" w:line="240" w:lineRule="auto"/>
        <w:jc w:val="both"/>
        <w:rPr>
          <w:rFonts w:asciiTheme="majorHAnsi" w:hAnsiTheme="majorHAnsi" w:cstheme="majorHAnsi"/>
          <w:sz w:val="18"/>
        </w:rPr>
      </w:pPr>
      <w:r w:rsidRPr="006070EA">
        <w:rPr>
          <w:rFonts w:asciiTheme="majorHAnsi" w:hAnsiTheme="majorHAnsi" w:cstheme="majorHAnsi"/>
          <w:i/>
          <w:sz w:val="18"/>
        </w:rPr>
        <w:tab/>
      </w:r>
      <w:r w:rsidRPr="006070EA">
        <w:rPr>
          <w:rFonts w:asciiTheme="majorHAnsi" w:hAnsiTheme="majorHAnsi" w:cstheme="majorHAnsi"/>
          <w:sz w:val="18"/>
        </w:rPr>
        <w:t>Evidované značené cyklotrasy v řešeném území jsou územním plánem respektovány a stabilizovány v rámci dopravního systému území</w:t>
      </w:r>
      <w:r w:rsidR="00AB20AC" w:rsidRPr="006070EA">
        <w:rPr>
          <w:rFonts w:asciiTheme="majorHAnsi" w:hAnsiTheme="majorHAnsi" w:cstheme="majorHAnsi"/>
          <w:sz w:val="18"/>
        </w:rPr>
        <w:t xml:space="preserve"> (v rámci jednotlivých ploch s rozdílným způsobem využití) a současně jsou graficky znázorněny liniovými prvky v koordinačním výkrese grafické části odůvodnění územního plánu</w:t>
      </w:r>
      <w:r w:rsidRPr="006070EA">
        <w:rPr>
          <w:rFonts w:asciiTheme="majorHAnsi" w:hAnsiTheme="majorHAnsi" w:cstheme="majorHAnsi"/>
          <w:sz w:val="18"/>
        </w:rPr>
        <w:t xml:space="preserve">. Za účelem rozvoje cyklodopravy v řešeném území je územním plánem </w:t>
      </w:r>
      <w:r w:rsidRPr="006070EA">
        <w:rPr>
          <w:rFonts w:asciiTheme="majorHAnsi" w:hAnsiTheme="majorHAnsi" w:cstheme="majorHAnsi"/>
          <w:b/>
          <w:bCs/>
          <w:sz w:val="18"/>
        </w:rPr>
        <w:t>vymezen</w:t>
      </w:r>
      <w:r w:rsidR="00AB20AC" w:rsidRPr="006070EA">
        <w:rPr>
          <w:rFonts w:asciiTheme="majorHAnsi" w:hAnsiTheme="majorHAnsi" w:cstheme="majorHAnsi"/>
          <w:b/>
          <w:bCs/>
          <w:sz w:val="18"/>
        </w:rPr>
        <w:t>a trasa pro cyklotrasu / cyklostezku</w:t>
      </w:r>
      <w:r w:rsidR="00AB20AC" w:rsidRPr="006070EA">
        <w:rPr>
          <w:rFonts w:asciiTheme="majorHAnsi" w:hAnsiTheme="majorHAnsi" w:cstheme="majorHAnsi"/>
          <w:sz w:val="18"/>
        </w:rPr>
        <w:t xml:space="preserve"> přes řeku Labe, navazující na stabilizovanou trasu stávající cyklotrasy. Předmětná navržená cyklotrasa současně prochází </w:t>
      </w:r>
      <w:r w:rsidR="00AB20AC" w:rsidRPr="006070EA">
        <w:rPr>
          <w:rFonts w:asciiTheme="majorHAnsi" w:hAnsiTheme="majorHAnsi" w:cstheme="majorHAnsi"/>
          <w:b/>
          <w:bCs/>
          <w:sz w:val="18"/>
        </w:rPr>
        <w:t xml:space="preserve">koridorem nemotorové dopravy </w:t>
      </w:r>
      <w:r w:rsidR="005A3C1E" w:rsidRPr="006070EA">
        <w:rPr>
          <w:rFonts w:asciiTheme="majorHAnsi" w:hAnsiTheme="majorHAnsi" w:cstheme="majorHAnsi"/>
          <w:b/>
          <w:bCs/>
          <w:sz w:val="18"/>
        </w:rPr>
        <w:t>CNU.</w:t>
      </w:r>
      <w:r w:rsidR="00AB20AC" w:rsidRPr="006070EA">
        <w:rPr>
          <w:rFonts w:asciiTheme="majorHAnsi" w:hAnsiTheme="majorHAnsi" w:cstheme="majorHAnsi"/>
          <w:b/>
          <w:bCs/>
          <w:sz w:val="18"/>
        </w:rPr>
        <w:t>KDN1</w:t>
      </w:r>
      <w:r w:rsidR="00AB20AC" w:rsidRPr="006070EA">
        <w:rPr>
          <w:rFonts w:asciiTheme="majorHAnsi" w:hAnsiTheme="majorHAnsi" w:cstheme="majorHAnsi"/>
          <w:sz w:val="18"/>
        </w:rPr>
        <w:t>, vymezeným v ÚP Kostomlaty nad Labem za účelem realizace lávky přes řeku Labe pro pěší a cyklisty. Koridor</w:t>
      </w:r>
      <w:r w:rsidRPr="006070EA">
        <w:rPr>
          <w:rFonts w:asciiTheme="majorHAnsi" w:hAnsiTheme="majorHAnsi" w:cstheme="majorHAnsi"/>
          <w:sz w:val="18"/>
        </w:rPr>
        <w:t xml:space="preserve"> vytváří </w:t>
      </w:r>
      <w:r w:rsidR="00AB20AC" w:rsidRPr="006070EA">
        <w:rPr>
          <w:rFonts w:asciiTheme="majorHAnsi" w:hAnsiTheme="majorHAnsi" w:cstheme="majorHAnsi"/>
          <w:sz w:val="18"/>
        </w:rPr>
        <w:t xml:space="preserve">současně </w:t>
      </w:r>
      <w:r w:rsidRPr="006070EA">
        <w:rPr>
          <w:rFonts w:asciiTheme="majorHAnsi" w:hAnsiTheme="majorHAnsi" w:cstheme="majorHAnsi"/>
          <w:sz w:val="18"/>
        </w:rPr>
        <w:t xml:space="preserve">podmínky pro realizaci </w:t>
      </w:r>
      <w:r w:rsidR="00BD0624" w:rsidRPr="006070EA">
        <w:rPr>
          <w:rFonts w:asciiTheme="majorHAnsi" w:hAnsiTheme="majorHAnsi" w:cstheme="majorHAnsi"/>
          <w:sz w:val="18"/>
        </w:rPr>
        <w:t>cyklotras</w:t>
      </w:r>
      <w:r w:rsidR="00AB20AC" w:rsidRPr="006070EA">
        <w:rPr>
          <w:rFonts w:asciiTheme="majorHAnsi" w:hAnsiTheme="majorHAnsi" w:cstheme="majorHAnsi"/>
          <w:sz w:val="18"/>
        </w:rPr>
        <w:t>y</w:t>
      </w:r>
      <w:r w:rsidR="00BD0624" w:rsidRPr="006070EA">
        <w:rPr>
          <w:rFonts w:asciiTheme="majorHAnsi" w:hAnsiTheme="majorHAnsi" w:cstheme="majorHAnsi"/>
          <w:sz w:val="18"/>
        </w:rPr>
        <w:t xml:space="preserve"> (příp. cyklostezk</w:t>
      </w:r>
      <w:r w:rsidR="00AB20AC" w:rsidRPr="006070EA">
        <w:rPr>
          <w:rFonts w:asciiTheme="majorHAnsi" w:hAnsiTheme="majorHAnsi" w:cstheme="majorHAnsi"/>
          <w:sz w:val="18"/>
        </w:rPr>
        <w:t>y</w:t>
      </w:r>
      <w:r w:rsidR="00BD0624" w:rsidRPr="006070EA">
        <w:rPr>
          <w:rFonts w:asciiTheme="majorHAnsi" w:hAnsiTheme="majorHAnsi" w:cstheme="majorHAnsi"/>
          <w:sz w:val="18"/>
        </w:rPr>
        <w:t>)</w:t>
      </w:r>
      <w:r w:rsidRPr="006070EA">
        <w:rPr>
          <w:rFonts w:asciiTheme="majorHAnsi" w:hAnsiTheme="majorHAnsi" w:cstheme="majorHAnsi"/>
          <w:sz w:val="18"/>
        </w:rPr>
        <w:t xml:space="preserve">, propojující řešené území se </w:t>
      </w:r>
      <w:r w:rsidR="00AB20AC" w:rsidRPr="006070EA">
        <w:rPr>
          <w:rFonts w:asciiTheme="majorHAnsi" w:hAnsiTheme="majorHAnsi" w:cstheme="majorHAnsi"/>
          <w:sz w:val="18"/>
        </w:rPr>
        <w:t>sousední obcí Hradištko</w:t>
      </w:r>
      <w:r w:rsidRPr="006070EA">
        <w:rPr>
          <w:rFonts w:asciiTheme="majorHAnsi" w:hAnsiTheme="majorHAnsi" w:cstheme="majorHAnsi"/>
          <w:sz w:val="18"/>
        </w:rPr>
        <w:t>.</w:t>
      </w:r>
      <w:r w:rsidR="00AB20AC" w:rsidRPr="006070EA">
        <w:rPr>
          <w:rFonts w:asciiTheme="majorHAnsi" w:hAnsiTheme="majorHAnsi" w:cstheme="majorHAnsi"/>
          <w:sz w:val="18"/>
        </w:rPr>
        <w:t xml:space="preserve"> Vymezení koridoru </w:t>
      </w:r>
      <w:r w:rsidR="005A3C1E" w:rsidRPr="006070EA">
        <w:rPr>
          <w:rFonts w:asciiTheme="majorHAnsi" w:hAnsiTheme="majorHAnsi" w:cstheme="majorHAnsi"/>
          <w:sz w:val="18"/>
        </w:rPr>
        <w:t>CNU.</w:t>
      </w:r>
      <w:r w:rsidR="00AB20AC" w:rsidRPr="006070EA">
        <w:rPr>
          <w:rFonts w:asciiTheme="majorHAnsi" w:hAnsiTheme="majorHAnsi" w:cstheme="majorHAnsi"/>
          <w:sz w:val="18"/>
        </w:rPr>
        <w:t>KDN1 i trasy (směru) cyklotrasy / cyklostezky reaguje současně na záměr k prověření v územním plánu, identifikovaný v rámci etapy doplňujících průzkumů a rozborů a zahrnutý v zadání ÚP Kostomlaty nad Labem (viz kapitola 9 tohoto odůvodnění) – „Lávka pro pěší a cyklisty přes Labe mezi Kostomlaty nad Labem a Hradištkem“. Vymezení koridoru i navrženého směru cyklotrasy / cyklostezky rovněž souvisí s vysokou rekreační atraktivitou řeky Labe.</w:t>
      </w:r>
    </w:p>
    <w:p w14:paraId="04BBDE47" w14:textId="4BECBFC1" w:rsidR="00043B66" w:rsidRPr="006070EA" w:rsidRDefault="00043B66" w:rsidP="0003001F">
      <w:pPr>
        <w:spacing w:after="60" w:line="240" w:lineRule="auto"/>
        <w:jc w:val="both"/>
        <w:rPr>
          <w:rFonts w:asciiTheme="majorHAnsi" w:hAnsiTheme="majorHAnsi" w:cstheme="majorHAnsi"/>
          <w:sz w:val="18"/>
        </w:rPr>
      </w:pPr>
      <w:r w:rsidRPr="006070EA">
        <w:rPr>
          <w:rFonts w:asciiTheme="majorHAnsi" w:hAnsiTheme="majorHAnsi" w:cstheme="majorHAnsi"/>
          <w:sz w:val="18"/>
        </w:rPr>
        <w:tab/>
        <w:t xml:space="preserve">Záměr realizace lávky přes řeku Labe pro pěší a cyklisty (v rámci koridoru </w:t>
      </w:r>
      <w:r w:rsidR="005A3C1E" w:rsidRPr="006070EA">
        <w:rPr>
          <w:rFonts w:asciiTheme="majorHAnsi" w:hAnsiTheme="majorHAnsi" w:cstheme="majorHAnsi"/>
          <w:sz w:val="18"/>
        </w:rPr>
        <w:t>CNU.</w:t>
      </w:r>
      <w:r w:rsidRPr="006070EA">
        <w:rPr>
          <w:rFonts w:asciiTheme="majorHAnsi" w:hAnsiTheme="majorHAnsi" w:cstheme="majorHAnsi"/>
          <w:sz w:val="18"/>
        </w:rPr>
        <w:t>KDN1) byl již projednán se Správou Labe, s. p. K záměru byla vydána stanoviska Povodí Labe, s. p.  č. j. PLa/2020/052338 ze dne 8. 1. 2021 a č. j. PLa/2022/025108 ze dne 23. 6. 2022.</w:t>
      </w:r>
    </w:p>
    <w:p w14:paraId="1C212DC9" w14:textId="69318DE2" w:rsidR="0013478F" w:rsidRPr="006070EA" w:rsidRDefault="0013478F" w:rsidP="007832F6">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Letecká doprava</w:t>
      </w:r>
      <w:r w:rsidR="007832F6" w:rsidRPr="006070EA">
        <w:rPr>
          <w:rFonts w:asciiTheme="majorHAnsi" w:hAnsiTheme="majorHAnsi" w:cstheme="majorHAnsi"/>
          <w:b/>
          <w:sz w:val="20"/>
        </w:rPr>
        <w:t xml:space="preserve"> a rekreační létání</w:t>
      </w:r>
    </w:p>
    <w:p w14:paraId="3FE64B31" w14:textId="1421E313" w:rsidR="0013478F" w:rsidRPr="006070EA" w:rsidRDefault="0013478F" w:rsidP="0013478F">
      <w:pPr>
        <w:pStyle w:val="Atext"/>
        <w:rPr>
          <w:rFonts w:asciiTheme="majorHAnsi" w:hAnsiTheme="majorHAnsi" w:cstheme="majorHAnsi"/>
          <w:color w:val="000000"/>
        </w:rPr>
      </w:pPr>
      <w:r w:rsidRPr="006070EA">
        <w:rPr>
          <w:rFonts w:asciiTheme="majorHAnsi" w:hAnsiTheme="majorHAnsi" w:cstheme="majorHAnsi"/>
          <w:color w:val="000000"/>
        </w:rPr>
        <w:t>V rámci správního území obce Kostomlaty nad Labem se nenacházejí žádná letiště ani letecké stavby. Do řešeného území zasahuje ochranné pásmo OP radaru Kbely zajišťující letecký provoz</w:t>
      </w:r>
      <w:r w:rsidR="007832F6" w:rsidRPr="006070EA">
        <w:rPr>
          <w:rFonts w:asciiTheme="majorHAnsi" w:hAnsiTheme="majorHAnsi" w:cstheme="majorHAnsi"/>
          <w:color w:val="000000"/>
        </w:rPr>
        <w:t>, které je respektováno jako limit využití území a</w:t>
      </w:r>
      <w:r w:rsidR="005A3C1E" w:rsidRPr="006070EA">
        <w:rPr>
          <w:rFonts w:asciiTheme="majorHAnsi" w:hAnsiTheme="majorHAnsi" w:cstheme="majorHAnsi"/>
          <w:color w:val="000000"/>
        </w:rPr>
        <w:t> </w:t>
      </w:r>
      <w:r w:rsidR="007832F6" w:rsidRPr="006070EA">
        <w:rPr>
          <w:rFonts w:asciiTheme="majorHAnsi" w:hAnsiTheme="majorHAnsi" w:cstheme="majorHAnsi"/>
          <w:color w:val="000000"/>
        </w:rPr>
        <w:t>zakresleno v koordinačním výkrese grafické části odůvodnění</w:t>
      </w:r>
      <w:r w:rsidRPr="006070EA">
        <w:rPr>
          <w:rFonts w:asciiTheme="majorHAnsi" w:hAnsiTheme="majorHAnsi" w:cstheme="majorHAnsi"/>
          <w:color w:val="000000"/>
        </w:rPr>
        <w:t>.</w:t>
      </w:r>
      <w:r w:rsidR="007832F6" w:rsidRPr="006070EA">
        <w:rPr>
          <w:rFonts w:asciiTheme="majorHAnsi" w:hAnsiTheme="majorHAnsi" w:cstheme="majorHAnsi"/>
          <w:color w:val="000000"/>
        </w:rPr>
        <w:t xml:space="preserve"> </w:t>
      </w:r>
      <w:r w:rsidRPr="006070EA">
        <w:rPr>
          <w:rFonts w:asciiTheme="majorHAnsi" w:hAnsiTheme="majorHAnsi" w:cstheme="majorHAnsi"/>
          <w:color w:val="000000"/>
        </w:rPr>
        <w:t xml:space="preserve"> </w:t>
      </w:r>
    </w:p>
    <w:p w14:paraId="74A9929E" w14:textId="117813D9" w:rsidR="007832F6" w:rsidRPr="006070EA" w:rsidRDefault="007832F6" w:rsidP="0013478F">
      <w:pPr>
        <w:pStyle w:val="Atext"/>
        <w:rPr>
          <w:rFonts w:asciiTheme="majorHAnsi" w:hAnsiTheme="majorHAnsi" w:cstheme="majorHAnsi"/>
          <w:color w:val="000000"/>
        </w:rPr>
      </w:pPr>
      <w:r w:rsidRPr="006070EA">
        <w:rPr>
          <w:rFonts w:asciiTheme="majorHAnsi" w:hAnsiTheme="majorHAnsi" w:cstheme="majorHAnsi"/>
          <w:color w:val="000000"/>
        </w:rPr>
        <w:t xml:space="preserve">Ve vazbě na uplatněný požadavek na změnu využití území (viz kapitola 10.5) územní plán vytváří podmínky pro realizaci sportovního letiště pro letecké modely, a to v rámci stanovených podmínek využití ploch smíšených nezastavěného území – </w:t>
      </w:r>
      <w:r w:rsidR="005A3C1E" w:rsidRPr="006070EA">
        <w:rPr>
          <w:rFonts w:asciiTheme="majorHAnsi" w:hAnsiTheme="majorHAnsi" w:cstheme="majorHAnsi"/>
          <w:color w:val="000000"/>
        </w:rPr>
        <w:t>sportovní využití</w:t>
      </w:r>
      <w:r w:rsidRPr="006070EA">
        <w:rPr>
          <w:rFonts w:asciiTheme="majorHAnsi" w:hAnsiTheme="majorHAnsi" w:cstheme="majorHAnsi"/>
          <w:color w:val="000000"/>
        </w:rPr>
        <w:t xml:space="preserve"> (</w:t>
      </w:r>
      <w:proofErr w:type="gramStart"/>
      <w:r w:rsidR="005A3C1E" w:rsidRPr="006070EA">
        <w:rPr>
          <w:rFonts w:asciiTheme="majorHAnsi" w:hAnsiTheme="majorHAnsi" w:cstheme="majorHAnsi"/>
          <w:color w:val="000000"/>
        </w:rPr>
        <w:t>MU.s</w:t>
      </w:r>
      <w:proofErr w:type="gramEnd"/>
      <w:r w:rsidRPr="006070EA">
        <w:rPr>
          <w:rFonts w:asciiTheme="majorHAnsi" w:hAnsiTheme="majorHAnsi" w:cstheme="majorHAnsi"/>
          <w:color w:val="000000"/>
        </w:rPr>
        <w:t>).</w:t>
      </w:r>
    </w:p>
    <w:p w14:paraId="00DF621C" w14:textId="03E24F95" w:rsidR="0013478F" w:rsidRPr="006070EA" w:rsidRDefault="007832F6" w:rsidP="007832F6">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Doprava vodní</w:t>
      </w:r>
    </w:p>
    <w:p w14:paraId="3B6183AE" w14:textId="6C4F979F" w:rsidR="00E939E5" w:rsidRPr="006070EA" w:rsidRDefault="00E939E5" w:rsidP="00E939E5">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7F6EAE">
        <w:rPr>
          <w:rFonts w:asciiTheme="majorHAnsi" w:hAnsiTheme="majorHAnsi" w:cstheme="majorHAnsi"/>
          <w:b/>
          <w:i/>
          <w:snapToGrid w:val="0"/>
          <w:u w:val="single"/>
        </w:rPr>
        <w:t>31</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3338322D" w14:textId="183C1A93" w:rsidR="00E939E5" w:rsidRPr="006070EA" w:rsidRDefault="00E939E5" w:rsidP="00E939E5">
      <w:pPr>
        <w:pStyle w:val="Norml"/>
        <w:rPr>
          <w:rFonts w:asciiTheme="majorHAnsi" w:hAnsiTheme="majorHAnsi" w:cstheme="majorHAnsi"/>
          <w:szCs w:val="18"/>
        </w:rPr>
      </w:pPr>
      <w:r w:rsidRPr="006070EA">
        <w:rPr>
          <w:rFonts w:asciiTheme="majorHAnsi" w:hAnsiTheme="majorHAnsi" w:cstheme="majorHAnsi"/>
          <w:szCs w:val="18"/>
        </w:rPr>
        <w:t>V souladu s ust. § 9, odst. 2 vyhl. č. 501/2006 Sb., ve znění pozdějších předpisů vodních ploch, určené pro vodní cesty, například kanály a splavněné úseky řek, pozemky nábřeží pro vodní dopravu, pozemky přístavů, zdymadel, překladišť a</w:t>
      </w:r>
      <w:r w:rsidR="00433C39" w:rsidRPr="006070EA">
        <w:rPr>
          <w:rFonts w:asciiTheme="majorHAnsi" w:hAnsiTheme="majorHAnsi" w:cstheme="majorHAnsi"/>
          <w:szCs w:val="18"/>
        </w:rPr>
        <w:t> </w:t>
      </w:r>
      <w:r w:rsidRPr="006070EA">
        <w:rPr>
          <w:rFonts w:asciiTheme="majorHAnsi" w:hAnsiTheme="majorHAnsi" w:cstheme="majorHAnsi"/>
          <w:szCs w:val="18"/>
        </w:rPr>
        <w:t xml:space="preserve">související pozemky dopravní a technické infrastruktury zahrnuty do ploch </w:t>
      </w:r>
      <w:r w:rsidR="005A3C1E" w:rsidRPr="006070EA">
        <w:rPr>
          <w:rFonts w:asciiTheme="majorHAnsi" w:hAnsiTheme="majorHAnsi" w:cstheme="majorHAnsi"/>
          <w:szCs w:val="18"/>
        </w:rPr>
        <w:t>dopravy</w:t>
      </w:r>
      <w:r w:rsidRPr="006070EA">
        <w:rPr>
          <w:rFonts w:asciiTheme="majorHAnsi" w:hAnsiTheme="majorHAnsi" w:cstheme="majorHAnsi"/>
          <w:szCs w:val="18"/>
        </w:rPr>
        <w:t xml:space="preserve"> vodní (DV). Důvodem jsou zejména její potenciální negativní vlivy, které vylučují začlenění těchto pozemků do ploch jiného způsobu využití. Dle metodiky MINIS je doporučeno u splavněných vodních toků upřednostnit jejich vodohospodářský význam a zařadit je do ploch vodních a</w:t>
      </w:r>
      <w:r w:rsidR="00433C39" w:rsidRPr="006070EA">
        <w:rPr>
          <w:rFonts w:asciiTheme="majorHAnsi" w:hAnsiTheme="majorHAnsi" w:cstheme="majorHAnsi"/>
          <w:szCs w:val="18"/>
        </w:rPr>
        <w:t> </w:t>
      </w:r>
      <w:r w:rsidRPr="006070EA">
        <w:rPr>
          <w:rFonts w:asciiTheme="majorHAnsi" w:hAnsiTheme="majorHAnsi" w:cstheme="majorHAnsi"/>
          <w:szCs w:val="18"/>
        </w:rPr>
        <w:t>vodohospodářských a v plochách dopravní infrastruktury vodní ponechat pouze např. přístavy apod. Tento princip je v</w:t>
      </w:r>
      <w:r w:rsidR="001C7E4C" w:rsidRPr="006070EA">
        <w:rPr>
          <w:rFonts w:asciiTheme="majorHAnsi" w:hAnsiTheme="majorHAnsi" w:cstheme="majorHAnsi"/>
          <w:szCs w:val="18"/>
        </w:rPr>
        <w:t> </w:t>
      </w:r>
      <w:r w:rsidRPr="006070EA">
        <w:rPr>
          <w:rFonts w:asciiTheme="majorHAnsi" w:hAnsiTheme="majorHAnsi" w:cstheme="majorHAnsi"/>
          <w:szCs w:val="18"/>
        </w:rPr>
        <w:t>ÚP</w:t>
      </w:r>
      <w:r w:rsidR="001C7E4C" w:rsidRPr="006070EA">
        <w:rPr>
          <w:rFonts w:asciiTheme="majorHAnsi" w:hAnsiTheme="majorHAnsi" w:cstheme="majorHAnsi"/>
          <w:szCs w:val="18"/>
        </w:rPr>
        <w:t> </w:t>
      </w:r>
      <w:r w:rsidRPr="006070EA">
        <w:rPr>
          <w:rFonts w:asciiTheme="majorHAnsi" w:hAnsiTheme="majorHAnsi" w:cstheme="majorHAnsi"/>
          <w:szCs w:val="18"/>
        </w:rPr>
        <w:t>Kostomlaty nad Labem jednoznačně respektován. Vodní tok – řeka Labe (jeho nezastavěné části) je zařazen do ploch vodních a vodohospodářských</w:t>
      </w:r>
      <w:r w:rsidR="001C7E4C" w:rsidRPr="006070EA">
        <w:rPr>
          <w:rFonts w:asciiTheme="majorHAnsi" w:hAnsiTheme="majorHAnsi" w:cstheme="majorHAnsi"/>
          <w:szCs w:val="18"/>
        </w:rPr>
        <w:t xml:space="preserve"> všeobecných (WU)</w:t>
      </w:r>
      <w:r w:rsidRPr="006070EA">
        <w:rPr>
          <w:rFonts w:asciiTheme="majorHAnsi" w:hAnsiTheme="majorHAnsi" w:cstheme="majorHAnsi"/>
          <w:szCs w:val="18"/>
        </w:rPr>
        <w:t xml:space="preserve">. Stavby na vodním toku (zdymadla apod.) jsou pak zařazeny do ploch </w:t>
      </w:r>
      <w:r w:rsidR="001C7E4C" w:rsidRPr="006070EA">
        <w:rPr>
          <w:rFonts w:asciiTheme="majorHAnsi" w:hAnsiTheme="majorHAnsi" w:cstheme="majorHAnsi"/>
          <w:szCs w:val="18"/>
        </w:rPr>
        <w:t>dopravy</w:t>
      </w:r>
      <w:r w:rsidRPr="006070EA">
        <w:rPr>
          <w:rFonts w:asciiTheme="majorHAnsi" w:hAnsiTheme="majorHAnsi" w:cstheme="majorHAnsi"/>
          <w:szCs w:val="18"/>
        </w:rPr>
        <w:t xml:space="preserve"> vodní (DV).</w:t>
      </w:r>
    </w:p>
    <w:p w14:paraId="296C8BA5" w14:textId="4F769802" w:rsidR="007832F6" w:rsidRPr="006070EA" w:rsidRDefault="0013478F" w:rsidP="0013478F">
      <w:pPr>
        <w:pStyle w:val="Atext"/>
        <w:rPr>
          <w:rFonts w:asciiTheme="majorHAnsi" w:hAnsiTheme="majorHAnsi" w:cstheme="majorHAnsi"/>
          <w:color w:val="000000"/>
        </w:rPr>
      </w:pPr>
      <w:r w:rsidRPr="006070EA">
        <w:rPr>
          <w:rFonts w:asciiTheme="majorHAnsi" w:hAnsiTheme="majorHAnsi" w:cstheme="majorHAnsi"/>
          <w:color w:val="000000"/>
        </w:rPr>
        <w:t xml:space="preserve">Vodní doprava v současné době </w:t>
      </w:r>
      <w:r w:rsidR="007832F6" w:rsidRPr="006070EA">
        <w:rPr>
          <w:rFonts w:asciiTheme="majorHAnsi" w:hAnsiTheme="majorHAnsi" w:cstheme="majorHAnsi"/>
          <w:color w:val="000000"/>
        </w:rPr>
        <w:t>nemá zásadní</w:t>
      </w:r>
      <w:r w:rsidRPr="006070EA">
        <w:rPr>
          <w:rFonts w:asciiTheme="majorHAnsi" w:hAnsiTheme="majorHAnsi" w:cstheme="majorHAnsi"/>
          <w:color w:val="000000"/>
        </w:rPr>
        <w:t xml:space="preserve"> dopravní význam v porovnáni se silniční či železniční dopravou. </w:t>
      </w:r>
      <w:r w:rsidR="007832F6" w:rsidRPr="006070EA">
        <w:rPr>
          <w:rFonts w:asciiTheme="majorHAnsi" w:hAnsiTheme="majorHAnsi" w:cstheme="majorHAnsi"/>
          <w:color w:val="000000"/>
        </w:rPr>
        <w:t>Přesto je nezbytné zohlednit polohu obce na největší české řece Labe a s tím spojené požadavky na rozvoj vodní dopravy</w:t>
      </w:r>
      <w:r w:rsidR="00A8638F" w:rsidRPr="006070EA">
        <w:rPr>
          <w:rFonts w:asciiTheme="majorHAnsi" w:hAnsiTheme="majorHAnsi" w:cstheme="majorHAnsi"/>
          <w:color w:val="000000"/>
        </w:rPr>
        <w:t>, konkrétně v souvislosti s požadavky na rozvoj Labské vodní cesty (viz PUR ČR)</w:t>
      </w:r>
      <w:r w:rsidR="007832F6" w:rsidRPr="006070EA">
        <w:rPr>
          <w:rFonts w:asciiTheme="majorHAnsi" w:hAnsiTheme="majorHAnsi" w:cstheme="majorHAnsi"/>
          <w:color w:val="000000"/>
        </w:rPr>
        <w:t xml:space="preserve">. </w:t>
      </w:r>
    </w:p>
    <w:p w14:paraId="40787B4F" w14:textId="2D890AF7" w:rsidR="00A8638F" w:rsidRPr="006070EA" w:rsidRDefault="00A8638F" w:rsidP="00A8638F">
      <w:pPr>
        <w:pStyle w:val="Atext"/>
        <w:rPr>
          <w:rFonts w:asciiTheme="majorHAnsi" w:hAnsiTheme="majorHAnsi" w:cstheme="majorHAnsi"/>
          <w:color w:val="000000"/>
        </w:rPr>
      </w:pPr>
      <w:r w:rsidRPr="006070EA">
        <w:rPr>
          <w:rFonts w:asciiTheme="majorHAnsi" w:hAnsiTheme="majorHAnsi" w:cstheme="majorHAnsi"/>
          <w:color w:val="000000"/>
        </w:rPr>
        <w:t>Klasifikace a jednotlivé zatřídění úseků Labské vodní cesty je dáno mezinárodními dohodami a pro úpravy těchto tras byly také zpracovány potřebné podklady (Generel splavnění Labe a Vltavy, Vodní cesty a.s. 2002-2003), které řešily nezbytné úpravy vodních cest, a to jednak úpravy související s dodržením doporučovaných směrových oblouků a dále týkajících se přestaveb jednotlivých plavebních komor či výstavby nových druhých komor. Z hlediska současného využívání vodních cest a</w:t>
      </w:r>
      <w:r w:rsidR="001C7E4C" w:rsidRPr="006070EA">
        <w:rPr>
          <w:rFonts w:asciiTheme="majorHAnsi" w:hAnsiTheme="majorHAnsi" w:cstheme="majorHAnsi"/>
          <w:color w:val="000000"/>
        </w:rPr>
        <w:t> </w:t>
      </w:r>
      <w:r w:rsidRPr="006070EA">
        <w:rPr>
          <w:rFonts w:asciiTheme="majorHAnsi" w:hAnsiTheme="majorHAnsi" w:cstheme="majorHAnsi"/>
          <w:color w:val="000000"/>
        </w:rPr>
        <w:t>s</w:t>
      </w:r>
      <w:r w:rsidR="001C7E4C" w:rsidRPr="006070EA">
        <w:rPr>
          <w:rFonts w:asciiTheme="majorHAnsi" w:hAnsiTheme="majorHAnsi" w:cstheme="majorHAnsi"/>
          <w:color w:val="000000"/>
        </w:rPr>
        <w:t> </w:t>
      </w:r>
      <w:r w:rsidRPr="006070EA">
        <w:rPr>
          <w:rFonts w:asciiTheme="majorHAnsi" w:hAnsiTheme="majorHAnsi" w:cstheme="majorHAnsi"/>
          <w:color w:val="000000"/>
        </w:rPr>
        <w:t>ohledem na značné investiční nároky přestavby vodní cesty na cílovou kategorii je z časového hlediska značně dlouhodobým záměrem.</w:t>
      </w:r>
    </w:p>
    <w:p w14:paraId="4744C0B7" w14:textId="571AF172" w:rsidR="007832F6" w:rsidRPr="006070EA" w:rsidRDefault="007832F6" w:rsidP="007832F6">
      <w:pPr>
        <w:pStyle w:val="Atext"/>
        <w:rPr>
          <w:rFonts w:asciiTheme="majorHAnsi" w:hAnsiTheme="majorHAnsi" w:cstheme="majorHAnsi"/>
          <w:szCs w:val="18"/>
        </w:rPr>
      </w:pPr>
      <w:r w:rsidRPr="006070EA">
        <w:rPr>
          <w:rFonts w:asciiTheme="majorHAnsi" w:hAnsiTheme="majorHAnsi" w:cstheme="majorHAnsi"/>
          <w:szCs w:val="18"/>
        </w:rPr>
        <w:lastRenderedPageBreak/>
        <w:t xml:space="preserve">Na Labské vodní cestě je v úseku státní hranice </w:t>
      </w:r>
      <w:r w:rsidR="00A8638F" w:rsidRPr="006070EA">
        <w:rPr>
          <w:rFonts w:asciiTheme="majorHAnsi" w:hAnsiTheme="majorHAnsi" w:cstheme="majorHAnsi"/>
          <w:szCs w:val="18"/>
        </w:rPr>
        <w:t>–</w:t>
      </w:r>
      <w:r w:rsidRPr="006070EA">
        <w:rPr>
          <w:rFonts w:asciiTheme="majorHAnsi" w:hAnsiTheme="majorHAnsi" w:cstheme="majorHAnsi"/>
          <w:szCs w:val="18"/>
        </w:rPr>
        <w:t xml:space="preserve"> Mělník uvažováno s třídou Vb. Od Mělníka ve vazbě na záměry na území Pardubického kraje se uvažuje se splavněním Labe do Pardubic na třídu Va (výhledově Vb) podle mezinárodní klasifikace. </w:t>
      </w:r>
      <w:r w:rsidR="00A8638F" w:rsidRPr="006070EA">
        <w:rPr>
          <w:rFonts w:asciiTheme="majorHAnsi" w:hAnsiTheme="majorHAnsi" w:cstheme="majorHAnsi"/>
          <w:szCs w:val="18"/>
        </w:rPr>
        <w:t xml:space="preserve">Úsek Mělník – Pardubice zahrnuje také řešené území obce Kostomlaty nad Labem. </w:t>
      </w:r>
      <w:r w:rsidRPr="006070EA">
        <w:rPr>
          <w:rFonts w:asciiTheme="majorHAnsi" w:hAnsiTheme="majorHAnsi" w:cstheme="majorHAnsi"/>
          <w:szCs w:val="18"/>
        </w:rPr>
        <w:t xml:space="preserve">Tato vodní cesta je podle Evropské dohody o hlavních vnitrozemských vodních cestách mezinárodního významu (AGN) označena E-20. Z hlediska současného využívání této vodní cesty a s ohledem na značné investiční nároky je však přestavba vodní cesty na cílovou kategorii z časového hlediska dlouhodobým záměrem. Z PÚR ČR ani ZÚR SK nevyplývají žádné požadavky. PÚR ČR pouze ukládá prověřit reálnost a účelnost splavnění a potřebu zlepšování parametrů vodní cesty a prověřit minimalizaci dopadů na životní prostředí. </w:t>
      </w:r>
    </w:p>
    <w:p w14:paraId="33A21096" w14:textId="77777777" w:rsidR="007832F6" w:rsidRPr="006070EA" w:rsidRDefault="007832F6" w:rsidP="007832F6">
      <w:pPr>
        <w:pStyle w:val="Norml"/>
        <w:ind w:left="1701" w:hanging="1701"/>
        <w:rPr>
          <w:rFonts w:asciiTheme="majorHAnsi" w:hAnsiTheme="majorHAnsi" w:cstheme="majorHAnsi"/>
          <w:szCs w:val="18"/>
        </w:rPr>
      </w:pPr>
      <w:r w:rsidRPr="006070EA">
        <w:rPr>
          <w:rFonts w:asciiTheme="majorHAnsi" w:hAnsiTheme="majorHAnsi" w:cstheme="majorHAnsi"/>
          <w:b/>
          <w:szCs w:val="18"/>
        </w:rPr>
        <w:t>Labská vodní cesta</w:t>
      </w:r>
      <w:r w:rsidRPr="006070EA">
        <w:rPr>
          <w:rFonts w:asciiTheme="majorHAnsi" w:hAnsiTheme="majorHAnsi" w:cstheme="majorHAnsi"/>
          <w:b/>
          <w:szCs w:val="18"/>
        </w:rPr>
        <w:tab/>
      </w:r>
      <w:r w:rsidRPr="006070EA">
        <w:rPr>
          <w:rFonts w:asciiTheme="majorHAnsi" w:hAnsiTheme="majorHAnsi" w:cstheme="majorHAnsi"/>
          <w:szCs w:val="18"/>
        </w:rPr>
        <w:t xml:space="preserve">Pardubice (0 km) - Chvaletice (P) - Kolín (P) - </w:t>
      </w:r>
      <w:proofErr w:type="gramStart"/>
      <w:r w:rsidRPr="006070EA">
        <w:rPr>
          <w:rFonts w:asciiTheme="majorHAnsi" w:hAnsiTheme="majorHAnsi" w:cstheme="majorHAnsi"/>
          <w:szCs w:val="18"/>
        </w:rPr>
        <w:t>Poděbrady - Nymburk</w:t>
      </w:r>
      <w:proofErr w:type="gramEnd"/>
      <w:r w:rsidRPr="006070EA">
        <w:rPr>
          <w:rFonts w:asciiTheme="majorHAnsi" w:hAnsiTheme="majorHAnsi" w:cstheme="majorHAnsi"/>
          <w:szCs w:val="18"/>
        </w:rPr>
        <w:t xml:space="preserve"> (P) - Lysá nad </w:t>
      </w:r>
      <w:proofErr w:type="gramStart"/>
      <w:r w:rsidRPr="006070EA">
        <w:rPr>
          <w:rFonts w:asciiTheme="majorHAnsi" w:hAnsiTheme="majorHAnsi" w:cstheme="majorHAnsi"/>
          <w:szCs w:val="18"/>
        </w:rPr>
        <w:t>Labem - Brandýs</w:t>
      </w:r>
      <w:proofErr w:type="gramEnd"/>
      <w:r w:rsidRPr="006070EA">
        <w:rPr>
          <w:rFonts w:asciiTheme="majorHAnsi" w:hAnsiTheme="majorHAnsi" w:cstheme="majorHAnsi"/>
          <w:szCs w:val="18"/>
        </w:rPr>
        <w:t xml:space="preserve"> nad </w:t>
      </w:r>
      <w:proofErr w:type="gramStart"/>
      <w:r w:rsidRPr="006070EA">
        <w:rPr>
          <w:rFonts w:asciiTheme="majorHAnsi" w:hAnsiTheme="majorHAnsi" w:cstheme="majorHAnsi"/>
          <w:szCs w:val="18"/>
        </w:rPr>
        <w:t>Labem - Kostelec</w:t>
      </w:r>
      <w:proofErr w:type="gramEnd"/>
      <w:r w:rsidRPr="006070EA">
        <w:rPr>
          <w:rFonts w:asciiTheme="majorHAnsi" w:hAnsiTheme="majorHAnsi" w:cstheme="majorHAnsi"/>
          <w:szCs w:val="18"/>
        </w:rPr>
        <w:t xml:space="preserve"> nad Labem (P) - </w:t>
      </w:r>
      <w:r w:rsidRPr="006070EA">
        <w:rPr>
          <w:rFonts w:asciiTheme="majorHAnsi" w:hAnsiTheme="majorHAnsi" w:cstheme="majorHAnsi"/>
          <w:szCs w:val="18"/>
          <w:u w:val="single"/>
        </w:rPr>
        <w:t>Mělník (P, 133 km)</w:t>
      </w:r>
      <w:r w:rsidRPr="006070EA">
        <w:rPr>
          <w:rFonts w:asciiTheme="majorHAnsi" w:hAnsiTheme="majorHAnsi" w:cstheme="majorHAnsi"/>
          <w:szCs w:val="18"/>
        </w:rPr>
        <w:t xml:space="preserve"> - Roudnice nad </w:t>
      </w:r>
      <w:proofErr w:type="gramStart"/>
      <w:r w:rsidRPr="006070EA">
        <w:rPr>
          <w:rFonts w:asciiTheme="majorHAnsi" w:hAnsiTheme="majorHAnsi" w:cstheme="majorHAnsi"/>
          <w:szCs w:val="18"/>
        </w:rPr>
        <w:t>Labem - Lovosice</w:t>
      </w:r>
      <w:proofErr w:type="gramEnd"/>
      <w:r w:rsidRPr="006070EA">
        <w:rPr>
          <w:rFonts w:asciiTheme="majorHAnsi" w:hAnsiTheme="majorHAnsi" w:cstheme="majorHAnsi"/>
          <w:szCs w:val="18"/>
        </w:rPr>
        <w:t xml:space="preserve"> (P) - Ústí nad Labem, Vaňov (P) - Ústí nad Labem, Krásné Březno (P) - Děčín, Rozbělesy (P) - Děčín, Loubí (P) - hraniční přechod Hřensko/Schöna (CZ/D, 241 km) - dále po řece Elbe přes Drážďany a Magdeburg do Hamburku (967 km) s ústím do Severního moře</w:t>
      </w:r>
    </w:p>
    <w:p w14:paraId="3A0C2A9B" w14:textId="652AA80F" w:rsidR="00E939E5" w:rsidRPr="00A76411" w:rsidRDefault="00E939E5" w:rsidP="00E939E5">
      <w:pPr>
        <w:pStyle w:val="Atext"/>
        <w:keepNext/>
        <w:ind w:firstLine="0"/>
        <w:jc w:val="right"/>
        <w:rPr>
          <w:rFonts w:asciiTheme="majorHAnsi" w:hAnsiTheme="majorHAnsi" w:cstheme="majorHAnsi"/>
          <w:i/>
          <w:snapToGrid w:val="0"/>
          <w:u w:val="single"/>
        </w:rPr>
      </w:pPr>
      <w:r w:rsidRPr="00A76411">
        <w:rPr>
          <w:rFonts w:asciiTheme="majorHAnsi" w:hAnsiTheme="majorHAnsi" w:cstheme="majorHAnsi"/>
          <w:i/>
          <w:snapToGrid w:val="0"/>
          <w:u w:val="single"/>
        </w:rPr>
        <w:t xml:space="preserve">Odůvodnění odst. </w:t>
      </w:r>
      <w:r w:rsidRPr="00A76411">
        <w:rPr>
          <w:rFonts w:asciiTheme="majorHAnsi" w:hAnsiTheme="majorHAnsi" w:cstheme="majorHAnsi"/>
          <w:b/>
          <w:i/>
          <w:snapToGrid w:val="0"/>
          <w:u w:val="single"/>
        </w:rPr>
        <w:t>(3</w:t>
      </w:r>
      <w:r w:rsidR="007F6EAE" w:rsidRPr="00A76411">
        <w:rPr>
          <w:rFonts w:asciiTheme="majorHAnsi" w:hAnsiTheme="majorHAnsi" w:cstheme="majorHAnsi"/>
          <w:b/>
          <w:i/>
          <w:snapToGrid w:val="0"/>
          <w:u w:val="single"/>
        </w:rPr>
        <w:t>2</w:t>
      </w:r>
      <w:r w:rsidRPr="00A76411">
        <w:rPr>
          <w:rFonts w:asciiTheme="majorHAnsi" w:hAnsiTheme="majorHAnsi" w:cstheme="majorHAnsi"/>
          <w:b/>
          <w:i/>
          <w:snapToGrid w:val="0"/>
          <w:u w:val="single"/>
        </w:rPr>
        <w:t xml:space="preserve">) </w:t>
      </w:r>
      <w:r w:rsidRPr="00A76411">
        <w:rPr>
          <w:rFonts w:asciiTheme="majorHAnsi" w:hAnsiTheme="majorHAnsi" w:cstheme="majorHAnsi"/>
          <w:i/>
          <w:snapToGrid w:val="0"/>
          <w:u w:val="single"/>
        </w:rPr>
        <w:t>výrokové části</w:t>
      </w:r>
    </w:p>
    <w:p w14:paraId="04B0FE0C" w14:textId="22FC0FAB" w:rsidR="00E939E5" w:rsidRPr="00A76411" w:rsidRDefault="00E939E5" w:rsidP="00E939E5">
      <w:pPr>
        <w:pStyle w:val="Atext"/>
        <w:rPr>
          <w:rFonts w:asciiTheme="majorHAnsi" w:hAnsiTheme="majorHAnsi" w:cstheme="majorHAnsi"/>
        </w:rPr>
      </w:pPr>
      <w:r w:rsidRPr="00A76411">
        <w:rPr>
          <w:rFonts w:asciiTheme="majorHAnsi" w:hAnsiTheme="majorHAnsi" w:cstheme="majorHAnsi"/>
        </w:rPr>
        <w:t xml:space="preserve">Ve vazbě na výše uvedené a s ohledem na požadavek PÚR ČR a potřebu koordinace řešení ÚP s územně plánovací dokumentací sousedních obcí (ÚP sousední obce Kostomlátky vymezuje koridor vodní dopravy na řece Labe pro Labskou vodní cestu) vymezuje Územní plán Kostomlaty nad Labem koridor </w:t>
      </w:r>
      <w:r w:rsidR="001C7E4C" w:rsidRPr="00A76411">
        <w:rPr>
          <w:rFonts w:asciiTheme="majorHAnsi" w:hAnsiTheme="majorHAnsi" w:cstheme="majorHAnsi"/>
        </w:rPr>
        <w:t>dopravy</w:t>
      </w:r>
      <w:r w:rsidRPr="00A76411">
        <w:rPr>
          <w:rFonts w:asciiTheme="majorHAnsi" w:hAnsiTheme="majorHAnsi" w:cstheme="majorHAnsi"/>
        </w:rPr>
        <w:t xml:space="preserve"> vodní </w:t>
      </w:r>
      <w:r w:rsidR="001C7E4C" w:rsidRPr="00A76411">
        <w:rPr>
          <w:rFonts w:asciiTheme="majorHAnsi" w:hAnsiTheme="majorHAnsi" w:cstheme="majorHAnsi"/>
        </w:rPr>
        <w:t>CNZ.</w:t>
      </w:r>
      <w:r w:rsidR="007F6EAE" w:rsidRPr="00A76411">
        <w:rPr>
          <w:rFonts w:asciiTheme="majorHAnsi" w:hAnsiTheme="majorHAnsi" w:cstheme="majorHAnsi"/>
        </w:rPr>
        <w:t>VD</w:t>
      </w:r>
      <w:r w:rsidRPr="00A76411">
        <w:rPr>
          <w:rFonts w:asciiTheme="majorHAnsi" w:hAnsiTheme="majorHAnsi" w:cstheme="majorHAnsi"/>
        </w:rPr>
        <w:t xml:space="preserve">1 pro Labskou vodní cestu, a to na základě podkladu společnosti </w:t>
      </w:r>
      <w:r w:rsidRPr="00A76411">
        <w:rPr>
          <w:rFonts w:asciiTheme="majorHAnsi" w:hAnsiTheme="majorHAnsi" w:cstheme="majorHAnsi"/>
          <w:color w:val="000000"/>
        </w:rPr>
        <w:t>Vodní cesty a.s. 2002</w:t>
      </w:r>
      <w:r w:rsidRPr="00A76411">
        <w:rPr>
          <w:rFonts w:asciiTheme="majorHAnsi" w:hAnsiTheme="majorHAnsi" w:cstheme="majorHAnsi"/>
        </w:rPr>
        <w:t xml:space="preserve">. </w:t>
      </w:r>
      <w:r w:rsidR="007F6EAE" w:rsidRPr="00A76411">
        <w:rPr>
          <w:rFonts w:asciiTheme="majorHAnsi" w:hAnsiTheme="majorHAnsi" w:cstheme="majorHAnsi"/>
        </w:rPr>
        <w:t>Koridor vodní dopravy byl při posledních aktualizacích ZÚR Středočeského kraje zapracován rovněž do nadřazené územně plánovací dokumentace a v této souvislosti bylo vymezení koridoru upraveno, resp. původní vymezení koridoru v návrhu ÚP pro společné jednání a veřejné projednání bylo ve fázi úprav pro opakované veřejné projednání zredukováno tak, aby koridor nevybočoval z koridoru vymezeného v ZÚR SK, v aktuálním znění, pod ozn. VD1.</w:t>
      </w:r>
      <w:r w:rsidR="000172E3" w:rsidRPr="00A76411">
        <w:rPr>
          <w:rFonts w:asciiTheme="majorHAnsi" w:hAnsiTheme="majorHAnsi" w:cstheme="majorHAnsi"/>
        </w:rPr>
        <w:t xml:space="preserve"> V souladu s požadavkem ZÚR SK je koridor CNZ.VD1 zařazen mezi veřejně prospěšné stavby dopravní infrastruktury, pod ozn. VD.8.</w:t>
      </w:r>
    </w:p>
    <w:p w14:paraId="5E80C911" w14:textId="77777777" w:rsidR="007F6EAE" w:rsidRPr="00A76411" w:rsidRDefault="007F6EAE" w:rsidP="007F6EAE">
      <w:pPr>
        <w:spacing w:before="120" w:after="120"/>
        <w:ind w:firstLine="709"/>
        <w:jc w:val="both"/>
        <w:rPr>
          <w:rFonts w:asciiTheme="majorHAnsi" w:hAnsiTheme="majorHAnsi" w:cstheme="majorHAnsi"/>
          <w:sz w:val="18"/>
          <w:szCs w:val="18"/>
        </w:rPr>
      </w:pPr>
      <w:r w:rsidRPr="00A76411">
        <w:rPr>
          <w:rFonts w:asciiTheme="majorHAnsi" w:hAnsiTheme="majorHAnsi" w:cstheme="majorHAnsi"/>
          <w:sz w:val="18"/>
          <w:szCs w:val="18"/>
        </w:rPr>
        <w:t xml:space="preserve">Záměr koridoru vodní dopravy na řece Labi je obsaženi v Politice územního rozvoje ČR, kde je vymezen jako koridor </w:t>
      </w:r>
      <w:r w:rsidRPr="00A76411">
        <w:rPr>
          <w:rFonts w:asciiTheme="majorHAnsi" w:hAnsiTheme="majorHAnsi" w:cstheme="majorHAnsi"/>
          <w:i/>
          <w:sz w:val="18"/>
          <w:szCs w:val="18"/>
        </w:rPr>
        <w:t>VD1</w:t>
      </w:r>
      <w:r w:rsidRPr="00A76411">
        <w:rPr>
          <w:rFonts w:asciiTheme="majorHAnsi" w:hAnsiTheme="majorHAnsi" w:cstheme="majorHAnsi"/>
          <w:sz w:val="18"/>
          <w:szCs w:val="18"/>
        </w:rPr>
        <w:t xml:space="preserve">. Vztahuje se na něj článek 123, který je citován v kapitole 3.1 tohoto Odůvodnění. PÚR ČR současně s vymezením koridoru </w:t>
      </w:r>
      <w:r w:rsidRPr="00A76411">
        <w:rPr>
          <w:rFonts w:asciiTheme="majorHAnsi" w:hAnsiTheme="majorHAnsi" w:cstheme="majorHAnsi"/>
          <w:i/>
          <w:iCs/>
          <w:sz w:val="18"/>
          <w:szCs w:val="18"/>
        </w:rPr>
        <w:t>VD1</w:t>
      </w:r>
      <w:r w:rsidRPr="00A76411">
        <w:rPr>
          <w:rFonts w:asciiTheme="majorHAnsi" w:hAnsiTheme="majorHAnsi" w:cstheme="majorHAnsi"/>
          <w:sz w:val="18"/>
          <w:szCs w:val="18"/>
        </w:rPr>
        <w:t xml:space="preserve"> vymezuje také stávající plavební úsek, který je veden souběžně se zmíněným koridorem. </w:t>
      </w:r>
    </w:p>
    <w:p w14:paraId="7109B653" w14:textId="77777777" w:rsidR="007F6EAE" w:rsidRPr="00A76411" w:rsidRDefault="007F6EAE" w:rsidP="007F6EAE">
      <w:pPr>
        <w:spacing w:before="120" w:after="120"/>
        <w:ind w:firstLine="709"/>
        <w:jc w:val="both"/>
        <w:rPr>
          <w:rFonts w:asciiTheme="majorHAnsi" w:hAnsiTheme="majorHAnsi" w:cstheme="majorHAnsi"/>
          <w:sz w:val="18"/>
          <w:szCs w:val="18"/>
        </w:rPr>
      </w:pPr>
      <w:r w:rsidRPr="00A76411">
        <w:rPr>
          <w:rFonts w:asciiTheme="majorHAnsi" w:hAnsiTheme="majorHAnsi" w:cstheme="majorHAnsi"/>
          <w:sz w:val="18"/>
          <w:szCs w:val="18"/>
        </w:rPr>
        <w:t xml:space="preserve">ZÚR SK zpřesňují vymezení koridoru vodní dopravy vymezeného v PÚR, přičemž řešeného území se týká článek (130), písm. a), vymezující koridor VD1 – koridor stávající vodní cesty na Labi, úsek na území Středočeského kraje (Horní Počaply – Týnec nad Labem), včetně staveb souvisejících. </w:t>
      </w:r>
    </w:p>
    <w:p w14:paraId="0DAE6F10" w14:textId="7DF9BE62" w:rsidR="007F6EAE" w:rsidRPr="00A76411" w:rsidRDefault="007F6EAE" w:rsidP="007F6EAE">
      <w:pPr>
        <w:spacing w:before="120" w:after="120"/>
        <w:ind w:firstLine="709"/>
        <w:jc w:val="both"/>
        <w:rPr>
          <w:rFonts w:asciiTheme="majorHAnsi" w:hAnsiTheme="majorHAnsi" w:cstheme="majorHAnsi"/>
          <w:sz w:val="18"/>
          <w:szCs w:val="18"/>
        </w:rPr>
      </w:pPr>
      <w:r w:rsidRPr="00A76411">
        <w:rPr>
          <w:rFonts w:asciiTheme="majorHAnsi" w:hAnsiTheme="majorHAnsi" w:cstheme="majorHAnsi"/>
          <w:sz w:val="18"/>
          <w:szCs w:val="18"/>
        </w:rPr>
        <w:t>Labská vodní cesta je v současné době vymezena od hranice se Spolkovou republikou Německo až po Chvaletice. Od hranice SRN po Mělník ve třídě Va a z Mělníka po Chvaletice ve třídě IV. Do budoucna se počítá s úpravou Labe na kategorii Vb (klasifikace dle Přílohy č. 1 k Vyhlášce Ministerstva dopravy 222/1995 Sb., o vodních cestách, plavebním provozu v přístavech, společné havárii a dopravě nebezpečných věcí ve znění pozdějších předpisů).</w:t>
      </w:r>
    </w:p>
    <w:p w14:paraId="77E78323" w14:textId="77777777" w:rsidR="007F6EAE" w:rsidRPr="00A76411" w:rsidRDefault="007F6EAE" w:rsidP="007F6EAE">
      <w:pPr>
        <w:spacing w:before="120" w:after="120"/>
        <w:ind w:firstLine="709"/>
        <w:jc w:val="both"/>
        <w:rPr>
          <w:rFonts w:asciiTheme="majorHAnsi" w:hAnsiTheme="majorHAnsi" w:cstheme="majorHAnsi"/>
          <w:sz w:val="18"/>
          <w:szCs w:val="18"/>
        </w:rPr>
      </w:pPr>
      <w:r w:rsidRPr="00A76411">
        <w:rPr>
          <w:rFonts w:asciiTheme="majorHAnsi" w:hAnsiTheme="majorHAnsi" w:cstheme="majorHAnsi"/>
          <w:sz w:val="18"/>
          <w:szCs w:val="18"/>
        </w:rPr>
        <w:t xml:space="preserve">Koridor je vymezen rovněž z důvodu nutnosti zajištění koordinace s ÚPD sousední obce Kostomlátky (ÚP Kostomlátky), jež vymezuje pro záměr koridor KVL (labská vodní cesta) na základě totožných podkladů jako ÚP Kostomlaty nad Labem. V ÚP Kostomlátky je vymezení koridoru pro záměr labské vodní cesty komentováno následovně (citace kurzívou): </w:t>
      </w:r>
    </w:p>
    <w:p w14:paraId="079EDD1D" w14:textId="77777777" w:rsidR="007F6EAE" w:rsidRPr="00A76411" w:rsidRDefault="007F6EAE" w:rsidP="007F6EAE">
      <w:pPr>
        <w:spacing w:before="120" w:after="120"/>
        <w:ind w:firstLine="709"/>
        <w:jc w:val="both"/>
        <w:rPr>
          <w:rFonts w:asciiTheme="majorHAnsi" w:hAnsiTheme="majorHAnsi" w:cstheme="majorHAnsi"/>
          <w:i/>
          <w:iCs/>
          <w:sz w:val="18"/>
          <w:szCs w:val="18"/>
        </w:rPr>
      </w:pPr>
      <w:r w:rsidRPr="00A76411">
        <w:rPr>
          <w:rFonts w:asciiTheme="majorHAnsi" w:hAnsiTheme="majorHAnsi" w:cstheme="majorHAnsi"/>
          <w:i/>
          <w:iCs/>
          <w:sz w:val="18"/>
          <w:szCs w:val="18"/>
        </w:rPr>
        <w:t>Projektant územního plánu v této záležitosti oslovil Ředitelství vodních cest ČR, Praha. Pro řešené území byl zpracovateli poskytnut podklad pro koridor výhledového rozvoje Labské vodní cesty „Generální řešení splavnění Labe pro třídu Vb., Digitalizace úseku Mělník – Chvaletice“ (Zhotovitel: Vodní cesty, a.s., 2002). Na základě tohoto sdělení a poskytnutého podkladu byl do návrhu ÚP Kostomlátky zapracován předmětný koridor KVL jako záležitost nadmístního významu, která není součástí ZÚR SK.</w:t>
      </w:r>
    </w:p>
    <w:p w14:paraId="74955DB3" w14:textId="1FB4CC06" w:rsidR="007F6EAE" w:rsidRPr="00A76411" w:rsidRDefault="007F6EAE" w:rsidP="007F6EAE">
      <w:pPr>
        <w:spacing w:before="120" w:after="120"/>
        <w:ind w:firstLine="709"/>
        <w:jc w:val="both"/>
        <w:rPr>
          <w:rFonts w:asciiTheme="majorHAnsi" w:hAnsiTheme="majorHAnsi" w:cstheme="majorHAnsi"/>
          <w:sz w:val="18"/>
          <w:szCs w:val="18"/>
        </w:rPr>
      </w:pPr>
      <w:r w:rsidRPr="00A76411">
        <w:rPr>
          <w:rFonts w:asciiTheme="majorHAnsi" w:hAnsiTheme="majorHAnsi" w:cstheme="majorHAnsi"/>
          <w:sz w:val="18"/>
          <w:szCs w:val="18"/>
        </w:rPr>
        <w:t>Rozsah koridoru CNZ.VD1 vychází z výše uvedeného podkladu (vodní cesty a.s.), který v řešeném území vyžaduje prostorové nároky, které jsou patrné z níže uvedeného obrázku. Rozsah vymezení byl revidován na základě aktuálního znění ZÚR SK, která stanovuje koridor VD1 vymezit korytem vodního toku (čl. (</w:t>
      </w:r>
      <w:proofErr w:type="gramStart"/>
      <w:r w:rsidRPr="00A76411">
        <w:rPr>
          <w:rFonts w:asciiTheme="majorHAnsi" w:hAnsiTheme="majorHAnsi" w:cstheme="majorHAnsi"/>
          <w:sz w:val="18"/>
          <w:szCs w:val="18"/>
        </w:rPr>
        <w:t>131b</w:t>
      </w:r>
      <w:proofErr w:type="gramEnd"/>
      <w:r w:rsidRPr="00A76411">
        <w:rPr>
          <w:rFonts w:asciiTheme="majorHAnsi" w:hAnsiTheme="majorHAnsi" w:cstheme="majorHAnsi"/>
          <w:sz w:val="18"/>
          <w:szCs w:val="18"/>
        </w:rPr>
        <w:t xml:space="preserve">) ZÚR SK). </w:t>
      </w:r>
    </w:p>
    <w:p w14:paraId="213896C3" w14:textId="77777777" w:rsidR="007F6EAE" w:rsidRPr="00A76411" w:rsidRDefault="007F6EAE" w:rsidP="007F6EAE">
      <w:pPr>
        <w:spacing w:after="120"/>
        <w:rPr>
          <w:rFonts w:asciiTheme="majorHAnsi" w:hAnsiTheme="majorHAnsi" w:cstheme="majorHAnsi"/>
          <w:color w:val="FF0000"/>
          <w:sz w:val="18"/>
          <w:szCs w:val="18"/>
        </w:rPr>
      </w:pPr>
      <w:r w:rsidRPr="00A76411">
        <w:rPr>
          <w:rFonts w:asciiTheme="majorHAnsi" w:hAnsiTheme="majorHAnsi" w:cstheme="majorHAnsi"/>
          <w:noProof/>
          <w:color w:val="FF0000"/>
          <w:sz w:val="18"/>
          <w:szCs w:val="18"/>
        </w:rPr>
        <w:lastRenderedPageBreak/>
        <w:drawing>
          <wp:inline distT="0" distB="0" distL="0" distR="0" wp14:anchorId="7B9553EB" wp14:editId="2AC155BC">
            <wp:extent cx="5753100" cy="2943225"/>
            <wp:effectExtent l="0" t="0" r="0" b="0"/>
            <wp:docPr id="9" name="Obrázek 9" descr="Obsah obrázku obraz, umění, mapa, kresb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ázek 9" descr="Obsah obrázku obraz, umění, mapa, kresba&#10;&#10;Popis byl vytvořen automaticky"/>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53100" cy="2943225"/>
                    </a:xfrm>
                    <a:prstGeom prst="rect">
                      <a:avLst/>
                    </a:prstGeom>
                    <a:noFill/>
                    <a:ln>
                      <a:noFill/>
                    </a:ln>
                  </pic:spPr>
                </pic:pic>
              </a:graphicData>
            </a:graphic>
          </wp:inline>
        </w:drawing>
      </w:r>
      <w:r w:rsidRPr="00A76411">
        <w:rPr>
          <w:rFonts w:asciiTheme="majorHAnsi" w:hAnsiTheme="majorHAnsi" w:cstheme="majorHAnsi"/>
          <w:color w:val="FF0000"/>
          <w:sz w:val="18"/>
          <w:szCs w:val="18"/>
        </w:rPr>
        <w:t xml:space="preserve"> </w:t>
      </w:r>
    </w:p>
    <w:p w14:paraId="150EC83C" w14:textId="1C98ABFC" w:rsidR="00E939E5" w:rsidRPr="006070EA" w:rsidRDefault="00E939E5" w:rsidP="00E939E5">
      <w:pPr>
        <w:pStyle w:val="Atext"/>
        <w:rPr>
          <w:rFonts w:asciiTheme="majorHAnsi" w:hAnsiTheme="majorHAnsi" w:cstheme="majorHAnsi"/>
        </w:rPr>
      </w:pPr>
      <w:r w:rsidRPr="006070EA">
        <w:rPr>
          <w:rFonts w:asciiTheme="majorHAnsi" w:hAnsiTheme="majorHAnsi" w:cstheme="majorHAnsi"/>
        </w:rPr>
        <w:t>Koridor dopravní infrastruktury pro rozvoj vodní dopravy je vymezen vzhledem ke skutečnosti, že přesné umístění všech staveb, souvisejících se záměrem, není přesně známo a je nutné je prověřit a zpřesnit v rámci podrobnějších podkladů a</w:t>
      </w:r>
      <w:r w:rsidR="001C7E4C" w:rsidRPr="006070EA">
        <w:rPr>
          <w:rFonts w:asciiTheme="majorHAnsi" w:hAnsiTheme="majorHAnsi" w:cstheme="majorHAnsi"/>
        </w:rPr>
        <w:t> </w:t>
      </w:r>
      <w:r w:rsidRPr="006070EA">
        <w:rPr>
          <w:rFonts w:asciiTheme="majorHAnsi" w:hAnsiTheme="majorHAnsi" w:cstheme="majorHAnsi"/>
        </w:rPr>
        <w:t xml:space="preserve">dokumentací, a současně pro zajištění dostatečného prostoru pro realizaci souvisejících staveb a opatření. Vymezení překryvného koridoru nad odlišnými plochami s rozdílným způsobem využití představuje způsob, jak vytvořit předpoklady pro umístění dopravních staveb v optimální poloze bez nutnosti změny ÚP; jedná se o výhodnější variantu, než je varianta vymezení konkrétní užší zastavitelné plochy či plochy přestavby, která se uplatní v případě, kdy je trasa dopravní stavby již podrobněji prověřena. </w:t>
      </w:r>
    </w:p>
    <w:p w14:paraId="73247046" w14:textId="77777777" w:rsidR="00E939E5" w:rsidRDefault="00E939E5" w:rsidP="00E939E5">
      <w:pPr>
        <w:pStyle w:val="Atext"/>
        <w:rPr>
          <w:rFonts w:asciiTheme="majorHAnsi" w:hAnsiTheme="majorHAnsi" w:cstheme="majorHAnsi"/>
        </w:rPr>
      </w:pPr>
      <w:r w:rsidRPr="006070EA">
        <w:rPr>
          <w:rFonts w:asciiTheme="majorHAnsi" w:hAnsiTheme="majorHAnsi" w:cstheme="majorHAnsi"/>
        </w:rPr>
        <w:t xml:space="preserve">Pro rozhodování o změnách v území v rozsahu jednotlivých vymezených koridorů jsou stanoveny podmínky využití koridorů, zajišťující ochranu území pro účely realizace staveb, pro něž jsou koridory vymezeny. </w:t>
      </w:r>
    </w:p>
    <w:p w14:paraId="57F41C66" w14:textId="7467E7AD" w:rsidR="00E939E5" w:rsidRPr="006070EA" w:rsidRDefault="00E939E5" w:rsidP="00E939E5">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(3</w:t>
      </w:r>
      <w:r w:rsidR="007F6EAE">
        <w:rPr>
          <w:rFonts w:asciiTheme="majorHAnsi" w:hAnsiTheme="majorHAnsi" w:cstheme="majorHAnsi"/>
          <w:b/>
          <w:i/>
          <w:snapToGrid w:val="0"/>
          <w:u w:val="single"/>
        </w:rPr>
        <w:t>3</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4AF24F58" w14:textId="77777777" w:rsidR="00E939E5" w:rsidRPr="006070EA" w:rsidRDefault="00E939E5" w:rsidP="00E939E5">
      <w:pPr>
        <w:pStyle w:val="Atext"/>
        <w:rPr>
          <w:rFonts w:asciiTheme="majorHAnsi" w:hAnsiTheme="majorHAnsi" w:cstheme="majorHAnsi"/>
        </w:rPr>
      </w:pPr>
      <w:r w:rsidRPr="006070EA">
        <w:rPr>
          <w:rFonts w:asciiTheme="majorHAnsi" w:hAnsiTheme="majorHAnsi" w:cstheme="majorHAnsi"/>
        </w:rPr>
        <w:t>Po realizaci stavby, pro kterou je koridor vymezen, podmínky stanovené v koridoru automaticky zanikají a platí pouze podmínky stanovené v plochách s rozdílným způsobem využití vymezených pod koridorem. Pokud by pro dopravní stavby byly vymezeny širší plochy s rozdílným způsobem využití nebo koridor nepřekryvný, bylo by po realizaci staveb nutné „zbytkové“ části území po dokončení dopravní stavby změnit (formou změny územního plánu) na požadované (případně i stabilizované) plochy s rozdílným způsobem využití. Z tohoto důvodu je řešení v podobě překryvného koridoru výhodnější a zajišťuje větší flexibilitu územního plánu v případě umisťování dopravních staveb.</w:t>
      </w:r>
    </w:p>
    <w:p w14:paraId="70EEA30A" w14:textId="77777777" w:rsidR="00AB1F4C" w:rsidRPr="006070EA" w:rsidRDefault="00AB1F4C"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55" w:name="_Toc424119855"/>
      <w:bookmarkStart w:id="356" w:name="_Toc204678201"/>
      <w:r w:rsidRPr="006070EA">
        <w:rPr>
          <w:rFonts w:asciiTheme="majorHAnsi" w:hAnsiTheme="majorHAnsi" w:cstheme="majorHAnsi"/>
          <w:b/>
        </w:rPr>
        <w:t>Odůvodnění koncepce technické infrastruktur</w:t>
      </w:r>
      <w:bookmarkEnd w:id="355"/>
      <w:r w:rsidRPr="006070EA">
        <w:rPr>
          <w:rFonts w:asciiTheme="majorHAnsi" w:hAnsiTheme="majorHAnsi" w:cstheme="majorHAnsi"/>
          <w:b/>
        </w:rPr>
        <w:t>y</w:t>
      </w:r>
      <w:bookmarkEnd w:id="356"/>
    </w:p>
    <w:p w14:paraId="4AC56329" w14:textId="3014985A" w:rsidR="00857BC4" w:rsidRPr="006070EA" w:rsidRDefault="00857BC4" w:rsidP="00857BC4">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7F6EAE">
        <w:rPr>
          <w:rFonts w:asciiTheme="majorHAnsi" w:hAnsiTheme="majorHAnsi" w:cstheme="majorHAnsi"/>
          <w:b/>
          <w:i/>
          <w:snapToGrid w:val="0"/>
          <w:u w:val="single"/>
        </w:rPr>
        <w:t>34</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0DF19CB0" w14:textId="5ED029AE" w:rsidR="00AB1F4C" w:rsidRPr="006070EA" w:rsidRDefault="00AB1F4C" w:rsidP="00BF1668">
      <w:pPr>
        <w:keepNext/>
        <w:spacing w:after="60" w:line="240" w:lineRule="auto"/>
        <w:jc w:val="both"/>
        <w:rPr>
          <w:rFonts w:asciiTheme="majorHAnsi" w:hAnsiTheme="majorHAnsi" w:cstheme="majorHAnsi"/>
          <w:sz w:val="18"/>
        </w:rPr>
      </w:pPr>
      <w:r w:rsidRPr="006070EA">
        <w:rPr>
          <w:rFonts w:asciiTheme="majorHAnsi" w:hAnsiTheme="majorHAnsi" w:cstheme="majorHAnsi"/>
          <w:sz w:val="18"/>
        </w:rPr>
        <w:t>Koncepce technické infrastruktury vychází zejména z následujících dokumentů a podkladů:</w:t>
      </w:r>
    </w:p>
    <w:p w14:paraId="38F39107" w14:textId="0D77F36E" w:rsidR="00857BC4" w:rsidRPr="006070EA" w:rsidRDefault="00857BC4" w:rsidP="00857BC4">
      <w:pPr>
        <w:pStyle w:val="Odstavecseseznamem"/>
        <w:numPr>
          <w:ilvl w:val="0"/>
          <w:numId w:val="4"/>
        </w:numPr>
        <w:spacing w:after="0" w:line="240" w:lineRule="auto"/>
        <w:jc w:val="both"/>
        <w:rPr>
          <w:rFonts w:asciiTheme="majorHAnsi" w:hAnsiTheme="majorHAnsi" w:cstheme="majorHAnsi"/>
          <w:sz w:val="18"/>
        </w:rPr>
      </w:pPr>
      <w:r w:rsidRPr="006070EA">
        <w:rPr>
          <w:rFonts w:asciiTheme="majorHAnsi" w:hAnsiTheme="majorHAnsi" w:cstheme="majorHAnsi"/>
          <w:sz w:val="18"/>
        </w:rPr>
        <w:t xml:space="preserve">ZÚR Středočeského kraje </w:t>
      </w:r>
      <w:r w:rsidR="005922F8">
        <w:rPr>
          <w:rFonts w:asciiTheme="majorHAnsi" w:hAnsiTheme="majorHAnsi" w:cstheme="majorHAnsi"/>
          <w:sz w:val="18"/>
        </w:rPr>
        <w:t>v aktuálním znění (2024)</w:t>
      </w:r>
    </w:p>
    <w:p w14:paraId="730F97F3" w14:textId="1387BA9B" w:rsidR="00857BC4" w:rsidRPr="006070EA" w:rsidRDefault="00857BC4" w:rsidP="00857BC4">
      <w:pPr>
        <w:pStyle w:val="Odstavecseseznamem"/>
        <w:numPr>
          <w:ilvl w:val="0"/>
          <w:numId w:val="4"/>
        </w:numPr>
        <w:spacing w:after="0" w:line="240" w:lineRule="auto"/>
        <w:jc w:val="both"/>
        <w:rPr>
          <w:rFonts w:asciiTheme="majorHAnsi" w:hAnsiTheme="majorHAnsi" w:cstheme="majorHAnsi"/>
          <w:sz w:val="18"/>
        </w:rPr>
      </w:pPr>
      <w:r w:rsidRPr="006070EA">
        <w:rPr>
          <w:rFonts w:asciiTheme="majorHAnsi" w:hAnsiTheme="majorHAnsi" w:cstheme="majorHAnsi"/>
          <w:sz w:val="18"/>
        </w:rPr>
        <w:t xml:space="preserve">PÚR ČR </w:t>
      </w:r>
      <w:r w:rsidR="005922F8">
        <w:rPr>
          <w:rFonts w:asciiTheme="majorHAnsi" w:hAnsiTheme="majorHAnsi" w:cstheme="majorHAnsi"/>
          <w:sz w:val="18"/>
        </w:rPr>
        <w:t xml:space="preserve">v aktuálním znění </w:t>
      </w:r>
      <w:r w:rsidRPr="006070EA">
        <w:rPr>
          <w:rFonts w:asciiTheme="majorHAnsi" w:hAnsiTheme="majorHAnsi" w:cstheme="majorHAnsi"/>
          <w:sz w:val="18"/>
        </w:rPr>
        <w:t>(202</w:t>
      </w:r>
      <w:r w:rsidR="005922F8">
        <w:rPr>
          <w:rFonts w:asciiTheme="majorHAnsi" w:hAnsiTheme="majorHAnsi" w:cstheme="majorHAnsi"/>
          <w:sz w:val="18"/>
        </w:rPr>
        <w:t>4</w:t>
      </w:r>
      <w:r w:rsidRPr="006070EA">
        <w:rPr>
          <w:rFonts w:asciiTheme="majorHAnsi" w:hAnsiTheme="majorHAnsi" w:cstheme="majorHAnsi"/>
          <w:sz w:val="18"/>
        </w:rPr>
        <w:t>)</w:t>
      </w:r>
    </w:p>
    <w:p w14:paraId="38454063" w14:textId="481E23D7" w:rsidR="00857BC4" w:rsidRPr="006070EA" w:rsidRDefault="00857BC4" w:rsidP="00857BC4">
      <w:pPr>
        <w:pStyle w:val="Odstavecseseznamem"/>
        <w:numPr>
          <w:ilvl w:val="0"/>
          <w:numId w:val="4"/>
        </w:numPr>
        <w:spacing w:after="0" w:line="240" w:lineRule="auto"/>
        <w:jc w:val="both"/>
        <w:rPr>
          <w:rFonts w:asciiTheme="majorHAnsi" w:hAnsiTheme="majorHAnsi" w:cstheme="majorHAnsi"/>
          <w:sz w:val="18"/>
        </w:rPr>
      </w:pPr>
      <w:r w:rsidRPr="006070EA">
        <w:rPr>
          <w:rFonts w:asciiTheme="majorHAnsi" w:hAnsiTheme="majorHAnsi" w:cstheme="majorHAnsi"/>
          <w:sz w:val="18"/>
        </w:rPr>
        <w:t xml:space="preserve">ÚAP SO ORP </w:t>
      </w:r>
      <w:r w:rsidR="00887C15" w:rsidRPr="006070EA">
        <w:rPr>
          <w:rFonts w:asciiTheme="majorHAnsi" w:hAnsiTheme="majorHAnsi" w:cstheme="majorHAnsi"/>
          <w:sz w:val="18"/>
        </w:rPr>
        <w:t>Nymburk</w:t>
      </w:r>
      <w:r w:rsidRPr="006070EA">
        <w:rPr>
          <w:rFonts w:asciiTheme="majorHAnsi" w:hAnsiTheme="majorHAnsi" w:cstheme="majorHAnsi"/>
          <w:sz w:val="18"/>
        </w:rPr>
        <w:t xml:space="preserve"> </w:t>
      </w:r>
    </w:p>
    <w:p w14:paraId="53C3DA39" w14:textId="77777777" w:rsidR="00857BC4" w:rsidRPr="006070EA" w:rsidRDefault="00857BC4" w:rsidP="00857BC4">
      <w:pPr>
        <w:pStyle w:val="Atext"/>
        <w:numPr>
          <w:ilvl w:val="0"/>
          <w:numId w:val="4"/>
        </w:numPr>
        <w:spacing w:before="0" w:after="0"/>
        <w:rPr>
          <w:rFonts w:asciiTheme="majorHAnsi" w:hAnsiTheme="majorHAnsi" w:cstheme="majorHAnsi"/>
        </w:rPr>
      </w:pPr>
      <w:r w:rsidRPr="006070EA">
        <w:rPr>
          <w:rFonts w:asciiTheme="majorHAnsi" w:hAnsiTheme="majorHAnsi" w:cstheme="majorHAnsi"/>
        </w:rPr>
        <w:t>Plán rozvoje vodovodů a kanalizací Středočeského kraje (2004+)</w:t>
      </w:r>
    </w:p>
    <w:p w14:paraId="1B97A8C2" w14:textId="77777777" w:rsidR="00857BC4" w:rsidRPr="006070EA" w:rsidRDefault="00857BC4" w:rsidP="00857BC4">
      <w:pPr>
        <w:pStyle w:val="Atext"/>
        <w:numPr>
          <w:ilvl w:val="0"/>
          <w:numId w:val="4"/>
        </w:numPr>
        <w:spacing w:before="0" w:after="0"/>
        <w:rPr>
          <w:rFonts w:asciiTheme="majorHAnsi" w:hAnsiTheme="majorHAnsi" w:cstheme="majorHAnsi"/>
        </w:rPr>
      </w:pPr>
      <w:r w:rsidRPr="006070EA">
        <w:rPr>
          <w:rFonts w:asciiTheme="majorHAnsi" w:hAnsiTheme="majorHAnsi" w:cstheme="majorHAnsi"/>
        </w:rPr>
        <w:t>Plán odpadového hospodářství Středočeského kraje pro období 2016 až 2025 (2016)</w:t>
      </w:r>
    </w:p>
    <w:p w14:paraId="2431CB1B" w14:textId="77777777" w:rsidR="00857BC4" w:rsidRPr="006070EA" w:rsidRDefault="00857BC4" w:rsidP="00857BC4">
      <w:pPr>
        <w:pStyle w:val="Atext"/>
        <w:numPr>
          <w:ilvl w:val="0"/>
          <w:numId w:val="4"/>
        </w:numPr>
        <w:spacing w:before="0" w:after="0"/>
        <w:rPr>
          <w:rFonts w:asciiTheme="majorHAnsi" w:hAnsiTheme="majorHAnsi" w:cstheme="majorHAnsi"/>
        </w:rPr>
      </w:pPr>
      <w:r w:rsidRPr="006070EA">
        <w:rPr>
          <w:rFonts w:asciiTheme="majorHAnsi" w:hAnsiTheme="majorHAnsi" w:cstheme="majorHAnsi"/>
        </w:rPr>
        <w:t>Územní energetická koncepce Středočeského kraje 2019-2043</w:t>
      </w:r>
    </w:p>
    <w:p w14:paraId="2549A03B" w14:textId="77777777" w:rsidR="00857BC4" w:rsidRPr="006070EA" w:rsidRDefault="00857BC4" w:rsidP="00857BC4">
      <w:pPr>
        <w:pStyle w:val="Odstavecseseznamem"/>
        <w:numPr>
          <w:ilvl w:val="0"/>
          <w:numId w:val="4"/>
        </w:numPr>
        <w:spacing w:after="0" w:line="240" w:lineRule="auto"/>
        <w:jc w:val="both"/>
        <w:rPr>
          <w:rFonts w:asciiTheme="majorHAnsi" w:hAnsiTheme="majorHAnsi" w:cstheme="majorHAnsi"/>
          <w:sz w:val="18"/>
        </w:rPr>
      </w:pPr>
      <w:r w:rsidRPr="006070EA">
        <w:rPr>
          <w:rFonts w:asciiTheme="majorHAnsi" w:hAnsiTheme="majorHAnsi" w:cstheme="majorHAnsi"/>
          <w:sz w:val="18"/>
        </w:rPr>
        <w:t>platná legislativa a ČSN</w:t>
      </w:r>
    </w:p>
    <w:p w14:paraId="1494AD9C" w14:textId="483E70E7" w:rsidR="00857BC4" w:rsidRPr="006070EA" w:rsidRDefault="00857BC4" w:rsidP="00857BC4">
      <w:pPr>
        <w:pStyle w:val="Odstavecseseznamem"/>
        <w:numPr>
          <w:ilvl w:val="0"/>
          <w:numId w:val="4"/>
        </w:numPr>
        <w:spacing w:after="0" w:line="240" w:lineRule="auto"/>
        <w:ind w:left="1066" w:hanging="357"/>
        <w:contextualSpacing w:val="0"/>
        <w:jc w:val="both"/>
        <w:rPr>
          <w:rFonts w:asciiTheme="majorHAnsi" w:hAnsiTheme="majorHAnsi" w:cstheme="majorHAnsi"/>
          <w:sz w:val="18"/>
        </w:rPr>
      </w:pPr>
      <w:r w:rsidRPr="006070EA">
        <w:rPr>
          <w:rFonts w:asciiTheme="majorHAnsi" w:hAnsiTheme="majorHAnsi" w:cstheme="majorHAnsi"/>
          <w:sz w:val="18"/>
        </w:rPr>
        <w:t>ÚP</w:t>
      </w:r>
      <w:r w:rsidR="00887C15" w:rsidRPr="006070EA">
        <w:rPr>
          <w:rFonts w:asciiTheme="majorHAnsi" w:hAnsiTheme="majorHAnsi" w:cstheme="majorHAnsi"/>
          <w:sz w:val="18"/>
        </w:rPr>
        <w:t>O Kostomlaty nad Labem (</w:t>
      </w:r>
      <w:r w:rsidRPr="006070EA">
        <w:rPr>
          <w:rFonts w:asciiTheme="majorHAnsi" w:hAnsiTheme="majorHAnsi" w:cstheme="majorHAnsi"/>
          <w:sz w:val="18"/>
        </w:rPr>
        <w:t>200</w:t>
      </w:r>
      <w:r w:rsidR="00887C15" w:rsidRPr="006070EA">
        <w:rPr>
          <w:rFonts w:asciiTheme="majorHAnsi" w:hAnsiTheme="majorHAnsi" w:cstheme="majorHAnsi"/>
          <w:sz w:val="18"/>
        </w:rPr>
        <w:t>3</w:t>
      </w:r>
      <w:r w:rsidRPr="006070EA">
        <w:rPr>
          <w:rFonts w:asciiTheme="majorHAnsi" w:hAnsiTheme="majorHAnsi" w:cstheme="majorHAnsi"/>
          <w:sz w:val="18"/>
        </w:rPr>
        <w:t>)</w:t>
      </w:r>
    </w:p>
    <w:p w14:paraId="26D4F9AA" w14:textId="0D5E8344" w:rsidR="00857BC4" w:rsidRPr="006070EA" w:rsidRDefault="00857BC4" w:rsidP="00857BC4">
      <w:pPr>
        <w:pStyle w:val="Odstavecseseznamem"/>
        <w:numPr>
          <w:ilvl w:val="0"/>
          <w:numId w:val="4"/>
        </w:numPr>
        <w:spacing w:after="0" w:line="240" w:lineRule="auto"/>
        <w:ind w:left="1066" w:hanging="357"/>
        <w:contextualSpacing w:val="0"/>
        <w:jc w:val="both"/>
        <w:rPr>
          <w:rFonts w:asciiTheme="majorHAnsi" w:hAnsiTheme="majorHAnsi" w:cstheme="majorHAnsi"/>
          <w:sz w:val="18"/>
        </w:rPr>
      </w:pPr>
      <w:r w:rsidRPr="006070EA">
        <w:rPr>
          <w:rFonts w:asciiTheme="majorHAnsi" w:hAnsiTheme="majorHAnsi" w:cstheme="majorHAnsi"/>
          <w:sz w:val="18"/>
        </w:rPr>
        <w:t xml:space="preserve">Zadání ÚP </w:t>
      </w:r>
      <w:r w:rsidR="00887C15" w:rsidRPr="006070EA">
        <w:rPr>
          <w:rFonts w:asciiTheme="majorHAnsi" w:hAnsiTheme="majorHAnsi" w:cstheme="majorHAnsi"/>
          <w:sz w:val="18"/>
        </w:rPr>
        <w:t xml:space="preserve">Kostomlaty nad Labem </w:t>
      </w:r>
      <w:r w:rsidRPr="006070EA">
        <w:rPr>
          <w:rFonts w:asciiTheme="majorHAnsi" w:hAnsiTheme="majorHAnsi" w:cstheme="majorHAnsi"/>
          <w:sz w:val="18"/>
        </w:rPr>
        <w:t>(20</w:t>
      </w:r>
      <w:r w:rsidR="00887C15" w:rsidRPr="006070EA">
        <w:rPr>
          <w:rFonts w:asciiTheme="majorHAnsi" w:hAnsiTheme="majorHAnsi" w:cstheme="majorHAnsi"/>
          <w:sz w:val="18"/>
        </w:rPr>
        <w:t>21</w:t>
      </w:r>
      <w:r w:rsidRPr="006070EA">
        <w:rPr>
          <w:rFonts w:asciiTheme="majorHAnsi" w:hAnsiTheme="majorHAnsi" w:cstheme="majorHAnsi"/>
          <w:sz w:val="18"/>
        </w:rPr>
        <w:t>)</w:t>
      </w:r>
    </w:p>
    <w:p w14:paraId="537AA6E1" w14:textId="2155BCD9" w:rsidR="00857BC4" w:rsidRPr="006070EA" w:rsidRDefault="00887C15" w:rsidP="00857BC4">
      <w:pPr>
        <w:pStyle w:val="Odstavecseseznamem"/>
        <w:numPr>
          <w:ilvl w:val="0"/>
          <w:numId w:val="4"/>
        </w:numPr>
        <w:spacing w:after="0" w:line="240" w:lineRule="auto"/>
        <w:ind w:left="1066" w:hanging="357"/>
        <w:contextualSpacing w:val="0"/>
        <w:jc w:val="both"/>
        <w:rPr>
          <w:rFonts w:asciiTheme="majorHAnsi" w:hAnsiTheme="majorHAnsi" w:cstheme="majorHAnsi"/>
          <w:sz w:val="18"/>
        </w:rPr>
      </w:pPr>
      <w:r w:rsidRPr="006070EA">
        <w:rPr>
          <w:rFonts w:asciiTheme="majorHAnsi" w:hAnsiTheme="majorHAnsi" w:cstheme="majorHAnsi"/>
          <w:sz w:val="18"/>
        </w:rPr>
        <w:t>Projektová dokumentace (DÚR+DSP) Kostomlaty nad Labem – Kanalizace a vodovod – Vápensko a Rozkoš (FIALA PROJEKTY s.r.o., 11/2019)</w:t>
      </w:r>
    </w:p>
    <w:p w14:paraId="713A8761" w14:textId="3E4D72E1" w:rsidR="00085FAA" w:rsidRPr="006070EA" w:rsidRDefault="00085FAA" w:rsidP="00857BC4">
      <w:pPr>
        <w:pStyle w:val="Odstavecseseznamem"/>
        <w:numPr>
          <w:ilvl w:val="0"/>
          <w:numId w:val="4"/>
        </w:numPr>
        <w:spacing w:after="0" w:line="240" w:lineRule="auto"/>
        <w:ind w:left="1066" w:hanging="357"/>
        <w:contextualSpacing w:val="0"/>
        <w:jc w:val="both"/>
        <w:rPr>
          <w:rFonts w:asciiTheme="majorHAnsi" w:hAnsiTheme="majorHAnsi" w:cstheme="majorHAnsi"/>
          <w:sz w:val="18"/>
        </w:rPr>
      </w:pPr>
      <w:r w:rsidRPr="006070EA">
        <w:rPr>
          <w:rFonts w:asciiTheme="majorHAnsi" w:hAnsiTheme="majorHAnsi" w:cstheme="majorHAnsi"/>
          <w:sz w:val="18"/>
        </w:rPr>
        <w:t>Splašková kanalizace Vápensko a Rozkoš s variantami řešení (IKKO Hradec Králové, s.r.o.)</w:t>
      </w:r>
    </w:p>
    <w:p w14:paraId="2360E174" w14:textId="77777777" w:rsidR="00857BC4" w:rsidRPr="006070EA" w:rsidRDefault="00857BC4" w:rsidP="00857BC4">
      <w:pPr>
        <w:pStyle w:val="Odstavecseseznamem"/>
        <w:numPr>
          <w:ilvl w:val="0"/>
          <w:numId w:val="4"/>
        </w:numPr>
        <w:spacing w:after="0" w:line="240" w:lineRule="auto"/>
        <w:ind w:left="1066" w:hanging="357"/>
        <w:contextualSpacing w:val="0"/>
        <w:jc w:val="both"/>
        <w:rPr>
          <w:rFonts w:asciiTheme="majorHAnsi" w:hAnsiTheme="majorHAnsi" w:cstheme="majorHAnsi"/>
          <w:sz w:val="18"/>
        </w:rPr>
      </w:pPr>
      <w:r w:rsidRPr="006070EA">
        <w:rPr>
          <w:rFonts w:asciiTheme="majorHAnsi" w:hAnsiTheme="majorHAnsi" w:cstheme="majorHAnsi"/>
          <w:sz w:val="18"/>
        </w:rPr>
        <w:t>terénní průzkum zpracovatele ÚP</w:t>
      </w:r>
    </w:p>
    <w:p w14:paraId="60334C71" w14:textId="6EF9E592" w:rsidR="00741649" w:rsidRPr="006070EA" w:rsidRDefault="00741649" w:rsidP="009E07E1">
      <w:pPr>
        <w:pStyle w:val="Atext"/>
        <w:spacing w:before="60" w:after="60"/>
        <w:rPr>
          <w:rFonts w:asciiTheme="majorHAnsi" w:hAnsiTheme="majorHAnsi" w:cstheme="majorHAnsi"/>
        </w:rPr>
      </w:pPr>
      <w:r w:rsidRPr="006070EA">
        <w:rPr>
          <w:rFonts w:asciiTheme="majorHAnsi" w:hAnsiTheme="majorHAnsi" w:cstheme="majorHAnsi"/>
        </w:rPr>
        <w:t xml:space="preserve">V souladu s § 10, odst. 1 a 2 vyhl. č. 501/2006 Sb., ve znění pozdějších předpisů, jsou pozemky technické infrastruktury zahrnuty do ploch </w:t>
      </w:r>
      <w:r w:rsidRPr="006070EA">
        <w:rPr>
          <w:rFonts w:asciiTheme="majorHAnsi" w:hAnsiTheme="majorHAnsi" w:cstheme="majorHAnsi"/>
          <w:i/>
        </w:rPr>
        <w:t xml:space="preserve">technické infrastruktury </w:t>
      </w:r>
      <w:r w:rsidR="001C7E4C" w:rsidRPr="006070EA">
        <w:rPr>
          <w:rFonts w:asciiTheme="majorHAnsi" w:hAnsiTheme="majorHAnsi" w:cstheme="majorHAnsi"/>
          <w:i/>
        </w:rPr>
        <w:t xml:space="preserve">všeobecné </w:t>
      </w:r>
      <w:r w:rsidRPr="006070EA">
        <w:rPr>
          <w:rFonts w:asciiTheme="majorHAnsi" w:hAnsiTheme="majorHAnsi" w:cstheme="majorHAnsi"/>
        </w:rPr>
        <w:t>(T</w:t>
      </w:r>
      <w:r w:rsidR="001C7E4C" w:rsidRPr="006070EA">
        <w:rPr>
          <w:rFonts w:asciiTheme="majorHAnsi" w:hAnsiTheme="majorHAnsi" w:cstheme="majorHAnsi"/>
        </w:rPr>
        <w:t>U</w:t>
      </w:r>
      <w:r w:rsidRPr="006070EA">
        <w:rPr>
          <w:rFonts w:asciiTheme="majorHAnsi" w:hAnsiTheme="majorHAnsi" w:cstheme="majorHAnsi"/>
        </w:rPr>
        <w:t>). Dle vyhlášky se plochy technické infrastruktury obvykle samostatně vymezují v případech, kdy využití pozemků pro tuto infrastrukturu vylučuje jejich začlenění do ploch jiného způsobu využití a</w:t>
      </w:r>
      <w:r w:rsidR="001C7E4C" w:rsidRPr="006070EA">
        <w:rPr>
          <w:rFonts w:asciiTheme="majorHAnsi" w:hAnsiTheme="majorHAnsi" w:cstheme="majorHAnsi"/>
        </w:rPr>
        <w:t> </w:t>
      </w:r>
      <w:r w:rsidRPr="006070EA">
        <w:rPr>
          <w:rFonts w:asciiTheme="majorHAnsi" w:hAnsiTheme="majorHAnsi" w:cstheme="majorHAnsi"/>
        </w:rPr>
        <w:t>kdy jiné využití těchto pozemků není možné. V</w:t>
      </w:r>
      <w:r w:rsidR="00C42395" w:rsidRPr="006070EA">
        <w:rPr>
          <w:rFonts w:asciiTheme="majorHAnsi" w:hAnsiTheme="majorHAnsi" w:cstheme="majorHAnsi"/>
        </w:rPr>
        <w:t> </w:t>
      </w:r>
      <w:r w:rsidRPr="006070EA">
        <w:rPr>
          <w:rFonts w:asciiTheme="majorHAnsi" w:hAnsiTheme="majorHAnsi" w:cstheme="majorHAnsi"/>
        </w:rPr>
        <w:t>ostatních případech se v</w:t>
      </w:r>
      <w:r w:rsidR="00461350" w:rsidRPr="006070EA">
        <w:rPr>
          <w:rFonts w:asciiTheme="majorHAnsi" w:hAnsiTheme="majorHAnsi" w:cstheme="majorHAnsi"/>
        </w:rPr>
        <w:t> </w:t>
      </w:r>
      <w:r w:rsidRPr="006070EA">
        <w:rPr>
          <w:rFonts w:asciiTheme="majorHAnsi" w:hAnsiTheme="majorHAnsi" w:cstheme="majorHAnsi"/>
        </w:rPr>
        <w:t xml:space="preserve">plochách jiného způsobu využití vymezují pouze trasy vedení technické infrastruktury. Plochy technické infrastruktury zahrnují zejména pozemky vedení, staveb a s nimi provozně </w:t>
      </w:r>
      <w:r w:rsidRPr="006070EA">
        <w:rPr>
          <w:rFonts w:asciiTheme="majorHAnsi" w:hAnsiTheme="majorHAnsi" w:cstheme="majorHAnsi"/>
        </w:rPr>
        <w:lastRenderedPageBreak/>
        <w:t>související zařízení technického vybavení, například vodovodů, vodojemů, kanalizace, čistíren odpadních vod, staveb a zařízení pro nakládání s odpady, trafostanic, energetických vedení, komunikačních vedení veřejné komunikační sítě, elektronických komunikačních zařízení veřejné komunikační sítě a</w:t>
      </w:r>
      <w:r w:rsidR="00461350" w:rsidRPr="006070EA">
        <w:rPr>
          <w:rFonts w:asciiTheme="majorHAnsi" w:hAnsiTheme="majorHAnsi" w:cstheme="majorHAnsi"/>
        </w:rPr>
        <w:t> </w:t>
      </w:r>
      <w:r w:rsidRPr="006070EA">
        <w:rPr>
          <w:rFonts w:asciiTheme="majorHAnsi" w:hAnsiTheme="majorHAnsi" w:cstheme="majorHAnsi"/>
        </w:rPr>
        <w:t>produktovody. Součástí těchto ploch mohou být i pozemky související dopravní infrastruktury.</w:t>
      </w:r>
    </w:p>
    <w:p w14:paraId="2B086F62" w14:textId="03A2BA38" w:rsidR="006F0B23" w:rsidRPr="006070EA" w:rsidRDefault="00741649" w:rsidP="009E07E1">
      <w:pPr>
        <w:pStyle w:val="Atext"/>
        <w:spacing w:before="60" w:after="60"/>
        <w:rPr>
          <w:rFonts w:asciiTheme="majorHAnsi" w:hAnsiTheme="majorHAnsi" w:cstheme="majorHAnsi"/>
        </w:rPr>
      </w:pPr>
      <w:r w:rsidRPr="006070EA">
        <w:rPr>
          <w:rFonts w:asciiTheme="majorHAnsi" w:hAnsiTheme="majorHAnsi" w:cstheme="majorHAnsi"/>
        </w:rPr>
        <w:t>V souladu s výše uvedeným jsou jednotlivé prvky systémů technické infrastruktury součástí také ostatních ploch s rozdílným způsobem využití, v rámci jejichž podmínek využití jsou umožněny jako hlavní, přípustné</w:t>
      </w:r>
      <w:r w:rsidR="006F0B23" w:rsidRPr="006070EA">
        <w:rPr>
          <w:rFonts w:asciiTheme="majorHAnsi" w:hAnsiTheme="majorHAnsi" w:cstheme="majorHAnsi"/>
        </w:rPr>
        <w:t xml:space="preserve"> či podmíněně přípustné využití.</w:t>
      </w:r>
    </w:p>
    <w:p w14:paraId="57B1AAD2" w14:textId="77777777" w:rsidR="0083483C" w:rsidRPr="006070EA" w:rsidRDefault="0083483C" w:rsidP="00EF7B4B">
      <w:pPr>
        <w:autoSpaceDE w:val="0"/>
        <w:autoSpaceDN w:val="0"/>
        <w:adjustRightInd w:val="0"/>
        <w:spacing w:after="60"/>
        <w:jc w:val="both"/>
        <w:rPr>
          <w:rFonts w:asciiTheme="majorHAnsi" w:hAnsiTheme="majorHAnsi" w:cstheme="majorHAnsi"/>
          <w:i/>
          <w:iCs/>
          <w:color w:val="000000"/>
          <w:sz w:val="18"/>
          <w:szCs w:val="18"/>
        </w:rPr>
      </w:pPr>
      <w:r w:rsidRPr="006070EA">
        <w:rPr>
          <w:rFonts w:asciiTheme="majorHAnsi" w:hAnsiTheme="majorHAnsi" w:cstheme="majorHAnsi"/>
          <w:i/>
          <w:iCs/>
          <w:color w:val="000000"/>
          <w:sz w:val="18"/>
          <w:szCs w:val="18"/>
        </w:rPr>
        <w:t xml:space="preserve">Tab.: Podíl a počet obyvatel s připojením na vodovod a kanalizaci – data SLDB 2011 </w:t>
      </w:r>
    </w:p>
    <w:tbl>
      <w:tblPr>
        <w:tblW w:w="0" w:type="auto"/>
        <w:tblBorders>
          <w:insideH w:val="single" w:sz="6" w:space="0" w:color="000000"/>
          <w:insideV w:val="single" w:sz="6" w:space="0" w:color="000000"/>
        </w:tblBorders>
        <w:tblLook w:val="0000" w:firstRow="0" w:lastRow="0" w:firstColumn="0" w:lastColumn="0" w:noHBand="0" w:noVBand="0"/>
      </w:tblPr>
      <w:tblGrid>
        <w:gridCol w:w="2037"/>
        <w:gridCol w:w="1760"/>
        <w:gridCol w:w="1760"/>
        <w:gridCol w:w="1756"/>
        <w:gridCol w:w="1757"/>
      </w:tblGrid>
      <w:tr w:rsidR="0083483C" w:rsidRPr="006070EA" w14:paraId="3087F110" w14:textId="77777777" w:rsidTr="00EF7B4B">
        <w:trPr>
          <w:trHeight w:val="470"/>
        </w:trPr>
        <w:tc>
          <w:tcPr>
            <w:tcW w:w="2093" w:type="dxa"/>
            <w:vAlign w:val="center"/>
          </w:tcPr>
          <w:p w14:paraId="55F32942" w14:textId="77777777"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Obec</w:t>
            </w:r>
          </w:p>
        </w:tc>
        <w:tc>
          <w:tcPr>
            <w:tcW w:w="1798" w:type="dxa"/>
            <w:vAlign w:val="center"/>
          </w:tcPr>
          <w:p w14:paraId="6C82A330" w14:textId="03E90DF9"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Počet obyvatel v obydl.</w:t>
            </w:r>
            <w:r w:rsidR="001C7E4C"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bytech s vodovodem</w:t>
            </w:r>
          </w:p>
        </w:tc>
        <w:tc>
          <w:tcPr>
            <w:tcW w:w="1798" w:type="dxa"/>
            <w:vAlign w:val="center"/>
          </w:tcPr>
          <w:p w14:paraId="6ABB5CF3" w14:textId="1EC9CDB8"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obyvatel v obydl.</w:t>
            </w:r>
            <w:r w:rsidR="001C7E4C"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bytech s vodovodem (%)</w:t>
            </w:r>
          </w:p>
        </w:tc>
        <w:tc>
          <w:tcPr>
            <w:tcW w:w="1798" w:type="dxa"/>
            <w:vAlign w:val="center"/>
          </w:tcPr>
          <w:p w14:paraId="30E9C180" w14:textId="3EE5D187"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Počet obyvatel v obydl.</w:t>
            </w:r>
            <w:r w:rsidR="001C7E4C"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bytech s přípojem na kanalizační síť</w:t>
            </w:r>
          </w:p>
        </w:tc>
        <w:tc>
          <w:tcPr>
            <w:tcW w:w="1799" w:type="dxa"/>
            <w:vAlign w:val="center"/>
          </w:tcPr>
          <w:p w14:paraId="12B12292" w14:textId="11A3FF0A"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obyvatel v obydl.</w:t>
            </w:r>
            <w:r w:rsidR="001C7E4C" w:rsidRPr="006070EA">
              <w:rPr>
                <w:rFonts w:asciiTheme="majorHAnsi" w:hAnsiTheme="majorHAnsi" w:cstheme="majorHAnsi"/>
                <w:b/>
                <w:bCs/>
                <w:color w:val="000000"/>
                <w:sz w:val="18"/>
                <w:szCs w:val="18"/>
              </w:rPr>
              <w:t xml:space="preserve"> </w:t>
            </w:r>
            <w:r w:rsidRPr="006070EA">
              <w:rPr>
                <w:rFonts w:asciiTheme="majorHAnsi" w:hAnsiTheme="majorHAnsi" w:cstheme="majorHAnsi"/>
                <w:b/>
                <w:bCs/>
                <w:color w:val="000000"/>
                <w:sz w:val="18"/>
                <w:szCs w:val="18"/>
              </w:rPr>
              <w:t>bytech s přípojem na kanalizační síť (%)</w:t>
            </w:r>
          </w:p>
        </w:tc>
      </w:tr>
      <w:tr w:rsidR="0083483C" w:rsidRPr="006070EA" w14:paraId="2AC6EC2C" w14:textId="77777777" w:rsidTr="00EF7B4B">
        <w:trPr>
          <w:trHeight w:val="200"/>
        </w:trPr>
        <w:tc>
          <w:tcPr>
            <w:tcW w:w="2093" w:type="dxa"/>
            <w:vAlign w:val="center"/>
          </w:tcPr>
          <w:p w14:paraId="6A37CB3A" w14:textId="77777777"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Kostomlaty nad Labem</w:t>
            </w:r>
          </w:p>
        </w:tc>
        <w:tc>
          <w:tcPr>
            <w:tcW w:w="1798" w:type="dxa"/>
            <w:vAlign w:val="center"/>
          </w:tcPr>
          <w:p w14:paraId="797C56CB" w14:textId="77777777"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1606</w:t>
            </w:r>
          </w:p>
        </w:tc>
        <w:tc>
          <w:tcPr>
            <w:tcW w:w="1798" w:type="dxa"/>
            <w:vAlign w:val="center"/>
          </w:tcPr>
          <w:p w14:paraId="321AAB13" w14:textId="77777777"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99,2</w:t>
            </w:r>
          </w:p>
        </w:tc>
        <w:tc>
          <w:tcPr>
            <w:tcW w:w="1798" w:type="dxa"/>
            <w:vAlign w:val="center"/>
          </w:tcPr>
          <w:p w14:paraId="4421BF29" w14:textId="77777777"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1353</w:t>
            </w:r>
          </w:p>
        </w:tc>
        <w:tc>
          <w:tcPr>
            <w:tcW w:w="1799" w:type="dxa"/>
            <w:vAlign w:val="center"/>
          </w:tcPr>
          <w:p w14:paraId="5DAF57C4" w14:textId="77777777" w:rsidR="0083483C" w:rsidRPr="006070EA" w:rsidRDefault="0083483C" w:rsidP="00E00A8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76,7</w:t>
            </w:r>
          </w:p>
        </w:tc>
      </w:tr>
    </w:tbl>
    <w:p w14:paraId="7F85EFA3" w14:textId="365BCC27" w:rsidR="00857BC4" w:rsidRPr="006070EA" w:rsidRDefault="00857BC4" w:rsidP="00857BC4">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887C15" w:rsidRPr="006070EA">
        <w:rPr>
          <w:rFonts w:asciiTheme="majorHAnsi" w:hAnsiTheme="majorHAnsi" w:cstheme="majorHAnsi"/>
          <w:b/>
          <w:i/>
          <w:snapToGrid w:val="0"/>
          <w:u w:val="single"/>
        </w:rPr>
        <w:t>3</w:t>
      </w:r>
      <w:r w:rsidR="007F6EAE">
        <w:rPr>
          <w:rFonts w:asciiTheme="majorHAnsi" w:hAnsiTheme="majorHAnsi" w:cstheme="majorHAnsi"/>
          <w:b/>
          <w:i/>
          <w:snapToGrid w:val="0"/>
          <w:u w:val="single"/>
        </w:rPr>
        <w:t>5</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50473B06" w14:textId="5E6971B6" w:rsidR="00857BC4" w:rsidRPr="006070EA" w:rsidRDefault="00857BC4" w:rsidP="00857BC4">
      <w:pPr>
        <w:pStyle w:val="Atext"/>
        <w:rPr>
          <w:rFonts w:asciiTheme="majorHAnsi" w:hAnsiTheme="majorHAnsi" w:cstheme="majorHAnsi"/>
        </w:rPr>
      </w:pPr>
      <w:r w:rsidRPr="006070EA">
        <w:rPr>
          <w:rFonts w:asciiTheme="majorHAnsi" w:hAnsiTheme="majorHAnsi" w:cstheme="majorHAnsi"/>
        </w:rPr>
        <w:t>Územní plán pro rozvoj technické infrastruktury explicitně nevymezuje nové páteřní trasy vedení inženýrských sítí ani konkrétní umístění objektů a zařízení vyjma koridor</w:t>
      </w:r>
      <w:r w:rsidR="00243861" w:rsidRPr="006070EA">
        <w:rPr>
          <w:rFonts w:asciiTheme="majorHAnsi" w:hAnsiTheme="majorHAnsi" w:cstheme="majorHAnsi"/>
        </w:rPr>
        <w:t>u</w:t>
      </w:r>
      <w:r w:rsidRPr="006070EA">
        <w:rPr>
          <w:rFonts w:asciiTheme="majorHAnsi" w:hAnsiTheme="majorHAnsi" w:cstheme="majorHAnsi"/>
        </w:rPr>
        <w:t xml:space="preserve"> pro </w:t>
      </w:r>
      <w:r w:rsidR="00243861" w:rsidRPr="006070EA">
        <w:rPr>
          <w:rFonts w:asciiTheme="majorHAnsi" w:hAnsiTheme="majorHAnsi" w:cstheme="majorHAnsi"/>
        </w:rPr>
        <w:t>vodovod a kanalizaci včetně souvisejících staveb a zařízení</w:t>
      </w:r>
      <w:r w:rsidRPr="006070EA">
        <w:rPr>
          <w:rFonts w:asciiTheme="majorHAnsi" w:hAnsiTheme="majorHAnsi" w:cstheme="majorHAnsi"/>
        </w:rPr>
        <w:t>. Podmínky pro rozvoj sítí technické infrastruktury – vedení inženýrských sítí – jsou vytvořeny v rámci podmínek využití jednotlivých ploch s rozdílným způsobem využití. Jejich konkrétní polohu je nutné prověřit a určit v územních studiích, regulačních plánech nebo v navazujících řízeních dle podrobného řešení a kapacit budoucí zástavby.</w:t>
      </w:r>
    </w:p>
    <w:p w14:paraId="4CFA180B" w14:textId="77777777" w:rsidR="00AB1F4C" w:rsidRPr="006070EA" w:rsidRDefault="00461350" w:rsidP="009E07E1">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Zásobování vodou</w:t>
      </w:r>
    </w:p>
    <w:p w14:paraId="317938E3" w14:textId="5E017F43" w:rsidR="00741649" w:rsidRPr="006070EA" w:rsidRDefault="00741649" w:rsidP="009E07E1">
      <w:pPr>
        <w:pStyle w:val="Atext"/>
        <w:keepNext/>
        <w:ind w:firstLine="0"/>
        <w:jc w:val="right"/>
        <w:rPr>
          <w:rFonts w:asciiTheme="majorHAnsi" w:hAnsiTheme="majorHAnsi" w:cstheme="majorHAnsi"/>
          <w:i/>
          <w:snapToGrid w:val="0"/>
          <w:szCs w:val="18"/>
          <w:u w:val="single"/>
        </w:rPr>
      </w:pPr>
      <w:r w:rsidRPr="006070EA">
        <w:rPr>
          <w:rFonts w:asciiTheme="majorHAnsi" w:hAnsiTheme="majorHAnsi" w:cstheme="majorHAnsi"/>
          <w:i/>
          <w:snapToGrid w:val="0"/>
          <w:szCs w:val="18"/>
          <w:u w:val="single"/>
        </w:rPr>
        <w:t xml:space="preserve">Odůvodnění odst. </w:t>
      </w:r>
      <w:r w:rsidRPr="006070EA">
        <w:rPr>
          <w:rFonts w:asciiTheme="majorHAnsi" w:hAnsiTheme="majorHAnsi" w:cstheme="majorHAnsi"/>
          <w:b/>
          <w:i/>
          <w:snapToGrid w:val="0"/>
          <w:szCs w:val="18"/>
          <w:u w:val="single"/>
        </w:rPr>
        <w:t>(</w:t>
      </w:r>
      <w:r w:rsidR="00243861" w:rsidRPr="006070EA">
        <w:rPr>
          <w:rFonts w:asciiTheme="majorHAnsi" w:hAnsiTheme="majorHAnsi" w:cstheme="majorHAnsi"/>
          <w:b/>
          <w:i/>
          <w:snapToGrid w:val="0"/>
          <w:szCs w:val="18"/>
          <w:u w:val="single"/>
        </w:rPr>
        <w:t>3</w:t>
      </w:r>
      <w:r w:rsidR="007F6EAE">
        <w:rPr>
          <w:rFonts w:asciiTheme="majorHAnsi" w:hAnsiTheme="majorHAnsi" w:cstheme="majorHAnsi"/>
          <w:b/>
          <w:i/>
          <w:snapToGrid w:val="0"/>
          <w:szCs w:val="18"/>
          <w:u w:val="single"/>
        </w:rPr>
        <w:t>6</w:t>
      </w:r>
      <w:r w:rsidRPr="006070EA">
        <w:rPr>
          <w:rFonts w:asciiTheme="majorHAnsi" w:hAnsiTheme="majorHAnsi" w:cstheme="majorHAnsi"/>
          <w:b/>
          <w:i/>
          <w:snapToGrid w:val="0"/>
          <w:szCs w:val="18"/>
          <w:u w:val="single"/>
        </w:rPr>
        <w:t xml:space="preserve">) </w:t>
      </w:r>
      <w:r w:rsidRPr="006070EA">
        <w:rPr>
          <w:rFonts w:asciiTheme="majorHAnsi" w:hAnsiTheme="majorHAnsi" w:cstheme="majorHAnsi"/>
          <w:i/>
          <w:snapToGrid w:val="0"/>
          <w:szCs w:val="18"/>
          <w:u w:val="single"/>
        </w:rPr>
        <w:t>výrokové části</w:t>
      </w:r>
    </w:p>
    <w:p w14:paraId="12881C9B" w14:textId="77777777" w:rsidR="00D208ED" w:rsidRPr="006070EA" w:rsidRDefault="00D208ED" w:rsidP="009E07E1">
      <w:pPr>
        <w:pStyle w:val="Anadpispodtren"/>
        <w:rPr>
          <w:rFonts w:asciiTheme="majorHAnsi" w:hAnsiTheme="majorHAnsi" w:cstheme="majorHAnsi"/>
          <w:b/>
          <w:szCs w:val="18"/>
          <w:u w:val="none"/>
        </w:rPr>
      </w:pPr>
      <w:r w:rsidRPr="006070EA">
        <w:rPr>
          <w:rFonts w:asciiTheme="majorHAnsi" w:hAnsiTheme="majorHAnsi" w:cstheme="majorHAnsi"/>
          <w:b/>
          <w:szCs w:val="18"/>
          <w:u w:val="none"/>
        </w:rPr>
        <w:t>Popis stávající situace</w:t>
      </w:r>
      <w:r w:rsidR="004D10E6" w:rsidRPr="006070EA">
        <w:rPr>
          <w:rFonts w:asciiTheme="majorHAnsi" w:hAnsiTheme="majorHAnsi" w:cstheme="majorHAnsi"/>
          <w:b/>
          <w:szCs w:val="18"/>
          <w:u w:val="none"/>
        </w:rPr>
        <w:t xml:space="preserve"> </w:t>
      </w:r>
      <w:r w:rsidR="00EB289F" w:rsidRPr="006070EA">
        <w:rPr>
          <w:rFonts w:asciiTheme="majorHAnsi" w:hAnsiTheme="majorHAnsi" w:cstheme="majorHAnsi"/>
          <w:b/>
          <w:szCs w:val="18"/>
          <w:u w:val="none"/>
        </w:rPr>
        <w:t>a návrh</w:t>
      </w:r>
    </w:p>
    <w:p w14:paraId="5C527D54" w14:textId="6828FA84" w:rsidR="0013478F" w:rsidRPr="006070EA" w:rsidRDefault="0013478F" w:rsidP="0013478F">
      <w:pPr>
        <w:pStyle w:val="Atext"/>
        <w:rPr>
          <w:rFonts w:asciiTheme="majorHAnsi" w:hAnsiTheme="majorHAnsi" w:cstheme="majorHAnsi"/>
        </w:rPr>
      </w:pPr>
      <w:r w:rsidRPr="006070EA">
        <w:rPr>
          <w:rFonts w:asciiTheme="majorHAnsi" w:hAnsiTheme="majorHAnsi" w:cstheme="majorHAnsi"/>
        </w:rPr>
        <w:t>Vodárenská soustava Nymburska a Poděbradska a na ni napojený skupinový vodovod Nymburk – Chotuc jsou hlavním zdrojem pitné vody s nezastupitelnou úlohou pro většinu obyvatel SO ORP. Součástí skupinového vodovodu je také čerpací stanice v Sovenicích, dvě automatické tlakové stanice a vodojem Chotuc. V některých obcích plní tato soustava a</w:t>
      </w:r>
      <w:r w:rsidR="008D028B" w:rsidRPr="006070EA">
        <w:rPr>
          <w:rFonts w:asciiTheme="majorHAnsi" w:hAnsiTheme="majorHAnsi" w:cstheme="majorHAnsi"/>
        </w:rPr>
        <w:t> </w:t>
      </w:r>
      <w:r w:rsidRPr="006070EA">
        <w:rPr>
          <w:rFonts w:asciiTheme="majorHAnsi" w:hAnsiTheme="majorHAnsi" w:cstheme="majorHAnsi"/>
        </w:rPr>
        <w:t>vodovod úlohu primárního zdroje pitné vody a obecní zdroje jsou využívány pouze jako záložní zdroje v případě nenadálé události. Některé obce naopak používají soustavu jako záložní zdroj pitné vody k obecním zdrojům. Napojení obyvatel na veřejné vodovody se tak dá charakterizovat jako velmi dobré, stále ale existují především lokální problémy s kvalitou a</w:t>
      </w:r>
      <w:r w:rsidR="008D028B" w:rsidRPr="006070EA">
        <w:rPr>
          <w:rFonts w:asciiTheme="majorHAnsi" w:hAnsiTheme="majorHAnsi" w:cstheme="majorHAnsi"/>
        </w:rPr>
        <w:t> </w:t>
      </w:r>
      <w:r w:rsidRPr="006070EA">
        <w:rPr>
          <w:rFonts w:asciiTheme="majorHAnsi" w:hAnsiTheme="majorHAnsi" w:cstheme="majorHAnsi"/>
        </w:rPr>
        <w:t xml:space="preserve">zajištěním dostatečného zdroje pitné vody. Kapacita podzemních a povrchových zdrojů vody je zatím dostatečná a pokrývá potřeby oblasti. </w:t>
      </w:r>
    </w:p>
    <w:p w14:paraId="639ED3E2" w14:textId="24D97873" w:rsidR="0013478F" w:rsidRPr="006070EA" w:rsidRDefault="008D028B" w:rsidP="0013478F">
      <w:pPr>
        <w:pStyle w:val="Atext"/>
        <w:rPr>
          <w:rFonts w:asciiTheme="majorHAnsi" w:hAnsiTheme="majorHAnsi" w:cstheme="majorHAnsi"/>
          <w:shd w:val="clear" w:color="auto" w:fill="FFFFFF"/>
        </w:rPr>
      </w:pPr>
      <w:r w:rsidRPr="006070EA">
        <w:rPr>
          <w:rFonts w:asciiTheme="majorHAnsi" w:hAnsiTheme="majorHAnsi" w:cstheme="majorHAnsi"/>
        </w:rPr>
        <w:t>V řešeném území je z</w:t>
      </w:r>
      <w:r w:rsidR="0013478F" w:rsidRPr="006070EA">
        <w:rPr>
          <w:rFonts w:asciiTheme="majorHAnsi" w:hAnsiTheme="majorHAnsi" w:cstheme="majorHAnsi"/>
        </w:rPr>
        <w:t xml:space="preserve">ásobována pitnou vodou pouze místní část Kostomlaty nad Labem. Ostatní obyvatelé používají ke svému zásobení soukromé zdroje a obecní studny. </w:t>
      </w:r>
      <w:r w:rsidR="0013478F" w:rsidRPr="006070EA">
        <w:rPr>
          <w:rFonts w:asciiTheme="majorHAnsi" w:hAnsiTheme="majorHAnsi" w:cstheme="majorHAnsi"/>
          <w:shd w:val="clear" w:color="auto" w:fill="FFFFFF"/>
        </w:rPr>
        <w:t xml:space="preserve">Zásobování pitnou vodou je zajištěno z vodovodního řadu Nymburk – Doubrava – Kostomlaty. </w:t>
      </w:r>
    </w:p>
    <w:p w14:paraId="433510F6" w14:textId="77777777" w:rsidR="00AB1F4C" w:rsidRPr="006070EA" w:rsidRDefault="00AB1F4C" w:rsidP="00F61BC8">
      <w:pPr>
        <w:keepNext/>
        <w:spacing w:before="120" w:after="60" w:line="240" w:lineRule="auto"/>
        <w:jc w:val="both"/>
        <w:rPr>
          <w:rFonts w:asciiTheme="majorHAnsi" w:hAnsiTheme="majorHAnsi" w:cstheme="majorHAnsi"/>
          <w:sz w:val="18"/>
          <w:szCs w:val="18"/>
          <w:u w:val="single"/>
        </w:rPr>
      </w:pPr>
      <w:r w:rsidRPr="006070EA">
        <w:rPr>
          <w:rFonts w:asciiTheme="majorHAnsi" w:hAnsiTheme="majorHAnsi" w:cstheme="majorHAnsi"/>
          <w:sz w:val="18"/>
          <w:szCs w:val="18"/>
          <w:u w:val="single"/>
        </w:rPr>
        <w:t>Bilance potřeby pro návrh</w:t>
      </w:r>
    </w:p>
    <w:p w14:paraId="65D88F99" w14:textId="77777777" w:rsidR="00AB1F4C" w:rsidRPr="006070EA" w:rsidRDefault="00AB1F4C" w:rsidP="009E07E1">
      <w:pPr>
        <w:keepNext/>
        <w:spacing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Jako základ vývoje bilance jsou uvažovány kapacity zastavitelných ploch, skutečný počet obyvatel a</w:t>
      </w:r>
      <w:r w:rsidR="0097640E" w:rsidRPr="006070EA">
        <w:rPr>
          <w:rFonts w:asciiTheme="majorHAnsi" w:hAnsiTheme="majorHAnsi" w:cstheme="majorHAnsi"/>
          <w:sz w:val="18"/>
          <w:szCs w:val="18"/>
        </w:rPr>
        <w:t> </w:t>
      </w:r>
      <w:r w:rsidRPr="006070EA">
        <w:rPr>
          <w:rFonts w:asciiTheme="majorHAnsi" w:hAnsiTheme="majorHAnsi" w:cstheme="majorHAnsi"/>
          <w:sz w:val="18"/>
          <w:szCs w:val="18"/>
        </w:rPr>
        <w:t>jeho předpokládaný vývoj. Bilanční údaje jsou uvedeny k roku 203</w:t>
      </w:r>
      <w:r w:rsidR="00642E4C" w:rsidRPr="006070EA">
        <w:rPr>
          <w:rFonts w:asciiTheme="majorHAnsi" w:hAnsiTheme="majorHAnsi" w:cstheme="majorHAnsi"/>
          <w:sz w:val="18"/>
          <w:szCs w:val="18"/>
        </w:rPr>
        <w:t>5</w:t>
      </w:r>
      <w:r w:rsidRPr="006070EA">
        <w:rPr>
          <w:rFonts w:asciiTheme="majorHAnsi" w:hAnsiTheme="majorHAnsi" w:cstheme="majorHAnsi"/>
          <w:sz w:val="18"/>
          <w:szCs w:val="18"/>
        </w:rPr>
        <w:t xml:space="preserve">. </w:t>
      </w:r>
    </w:p>
    <w:tbl>
      <w:tblPr>
        <w:tblStyle w:val="Mkatabulky"/>
        <w:tblW w:w="9073" w:type="dxa"/>
        <w:jc w:val="center"/>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3118"/>
        <w:gridCol w:w="1134"/>
        <w:gridCol w:w="1134"/>
        <w:gridCol w:w="1843"/>
        <w:gridCol w:w="1844"/>
      </w:tblGrid>
      <w:tr w:rsidR="009D5E28" w:rsidRPr="006070EA" w14:paraId="28000A0D" w14:textId="77777777" w:rsidTr="00AD6D48">
        <w:trPr>
          <w:cantSplit/>
          <w:tblHeader/>
          <w:jc w:val="center"/>
        </w:trPr>
        <w:tc>
          <w:tcPr>
            <w:tcW w:w="3118" w:type="dxa"/>
            <w:vMerge w:val="restart"/>
            <w:tcBorders>
              <w:top w:val="nil"/>
              <w:bottom w:val="single" w:sz="12" w:space="0" w:color="auto"/>
              <w:right w:val="single" w:sz="12" w:space="0" w:color="auto"/>
            </w:tcBorders>
            <w:vAlign w:val="center"/>
          </w:tcPr>
          <w:p w14:paraId="4009CAE8" w14:textId="77777777" w:rsidR="00AB1F4C" w:rsidRPr="006070EA" w:rsidRDefault="00AB1F4C" w:rsidP="009E07E1">
            <w:pPr>
              <w:jc w:val="center"/>
              <w:rPr>
                <w:rFonts w:asciiTheme="majorHAnsi" w:hAnsiTheme="majorHAnsi" w:cstheme="majorHAnsi"/>
                <w:b/>
                <w:sz w:val="18"/>
                <w:szCs w:val="18"/>
              </w:rPr>
            </w:pPr>
            <w:r w:rsidRPr="006070EA">
              <w:rPr>
                <w:rFonts w:asciiTheme="majorHAnsi" w:hAnsiTheme="majorHAnsi" w:cstheme="majorHAnsi"/>
                <w:b/>
                <w:sz w:val="18"/>
                <w:szCs w:val="18"/>
              </w:rPr>
              <w:t>položka</w:t>
            </w:r>
          </w:p>
        </w:tc>
        <w:tc>
          <w:tcPr>
            <w:tcW w:w="1134" w:type="dxa"/>
            <w:vMerge w:val="restart"/>
            <w:tcBorders>
              <w:top w:val="nil"/>
              <w:left w:val="single" w:sz="12" w:space="0" w:color="auto"/>
              <w:bottom w:val="single" w:sz="12" w:space="0" w:color="auto"/>
              <w:right w:val="single" w:sz="12" w:space="0" w:color="auto"/>
            </w:tcBorders>
            <w:vAlign w:val="center"/>
          </w:tcPr>
          <w:p w14:paraId="52B9F674" w14:textId="77777777" w:rsidR="00AB1F4C" w:rsidRPr="006070EA" w:rsidRDefault="00AB1F4C" w:rsidP="009E07E1">
            <w:pPr>
              <w:jc w:val="center"/>
              <w:rPr>
                <w:rFonts w:asciiTheme="majorHAnsi" w:hAnsiTheme="majorHAnsi" w:cstheme="majorHAnsi"/>
                <w:b/>
                <w:sz w:val="18"/>
                <w:szCs w:val="18"/>
              </w:rPr>
            </w:pPr>
            <w:r w:rsidRPr="006070EA">
              <w:rPr>
                <w:rFonts w:asciiTheme="majorHAnsi" w:hAnsiTheme="majorHAnsi" w:cstheme="majorHAnsi"/>
                <w:b/>
                <w:sz w:val="18"/>
                <w:szCs w:val="18"/>
              </w:rPr>
              <w:t>ozn.</w:t>
            </w:r>
          </w:p>
        </w:tc>
        <w:tc>
          <w:tcPr>
            <w:tcW w:w="1134" w:type="dxa"/>
            <w:vMerge w:val="restart"/>
            <w:tcBorders>
              <w:top w:val="nil"/>
              <w:left w:val="single" w:sz="12" w:space="0" w:color="auto"/>
              <w:bottom w:val="single" w:sz="12" w:space="0" w:color="auto"/>
              <w:right w:val="single" w:sz="12" w:space="0" w:color="auto"/>
            </w:tcBorders>
            <w:vAlign w:val="center"/>
          </w:tcPr>
          <w:p w14:paraId="4330A79E" w14:textId="77777777" w:rsidR="00AB1F4C" w:rsidRPr="006070EA" w:rsidRDefault="00AB1F4C" w:rsidP="009E07E1">
            <w:pPr>
              <w:jc w:val="center"/>
              <w:rPr>
                <w:rFonts w:asciiTheme="majorHAnsi" w:hAnsiTheme="majorHAnsi" w:cstheme="majorHAnsi"/>
                <w:b/>
                <w:sz w:val="18"/>
                <w:szCs w:val="18"/>
              </w:rPr>
            </w:pPr>
            <w:r w:rsidRPr="006070EA">
              <w:rPr>
                <w:rFonts w:asciiTheme="majorHAnsi" w:hAnsiTheme="majorHAnsi" w:cstheme="majorHAnsi"/>
                <w:b/>
                <w:sz w:val="18"/>
                <w:szCs w:val="18"/>
              </w:rPr>
              <w:t>jednotka</w:t>
            </w:r>
          </w:p>
        </w:tc>
        <w:tc>
          <w:tcPr>
            <w:tcW w:w="3687" w:type="dxa"/>
            <w:gridSpan w:val="2"/>
            <w:tcBorders>
              <w:top w:val="nil"/>
              <w:left w:val="single" w:sz="12" w:space="0" w:color="auto"/>
              <w:bottom w:val="single" w:sz="12" w:space="0" w:color="auto"/>
            </w:tcBorders>
            <w:vAlign w:val="center"/>
          </w:tcPr>
          <w:p w14:paraId="3C9B2C52" w14:textId="77777777" w:rsidR="00AB1F4C" w:rsidRPr="006070EA" w:rsidRDefault="00AB1F4C" w:rsidP="009E07E1">
            <w:pPr>
              <w:jc w:val="center"/>
              <w:rPr>
                <w:rFonts w:asciiTheme="majorHAnsi" w:hAnsiTheme="majorHAnsi" w:cstheme="majorHAnsi"/>
                <w:b/>
                <w:sz w:val="18"/>
                <w:szCs w:val="18"/>
              </w:rPr>
            </w:pPr>
            <w:r w:rsidRPr="006070EA">
              <w:rPr>
                <w:rFonts w:asciiTheme="majorHAnsi" w:hAnsiTheme="majorHAnsi" w:cstheme="majorHAnsi"/>
                <w:b/>
                <w:sz w:val="18"/>
                <w:szCs w:val="18"/>
              </w:rPr>
              <w:t>rok</w:t>
            </w:r>
          </w:p>
        </w:tc>
      </w:tr>
      <w:tr w:rsidR="009D5E28" w:rsidRPr="006070EA" w14:paraId="70D5C27B" w14:textId="77777777" w:rsidTr="00AD6D48">
        <w:trPr>
          <w:cantSplit/>
          <w:tblHeader/>
          <w:jc w:val="center"/>
        </w:trPr>
        <w:tc>
          <w:tcPr>
            <w:tcW w:w="3118" w:type="dxa"/>
            <w:vMerge/>
            <w:tcBorders>
              <w:top w:val="single" w:sz="12" w:space="0" w:color="auto"/>
              <w:bottom w:val="single" w:sz="12" w:space="0" w:color="auto"/>
              <w:right w:val="single" w:sz="12" w:space="0" w:color="auto"/>
            </w:tcBorders>
            <w:vAlign w:val="center"/>
          </w:tcPr>
          <w:p w14:paraId="248E5A68" w14:textId="77777777" w:rsidR="00AB1F4C" w:rsidRPr="006070EA" w:rsidRDefault="00AB1F4C" w:rsidP="009E07E1">
            <w:pPr>
              <w:jc w:val="center"/>
              <w:rPr>
                <w:rFonts w:asciiTheme="majorHAnsi" w:hAnsiTheme="majorHAnsi" w:cstheme="majorHAnsi"/>
                <w:b/>
                <w:sz w:val="18"/>
                <w:szCs w:val="18"/>
              </w:rPr>
            </w:pPr>
          </w:p>
        </w:tc>
        <w:tc>
          <w:tcPr>
            <w:tcW w:w="1134" w:type="dxa"/>
            <w:vMerge/>
            <w:tcBorders>
              <w:top w:val="single" w:sz="12" w:space="0" w:color="auto"/>
              <w:left w:val="single" w:sz="12" w:space="0" w:color="auto"/>
              <w:bottom w:val="single" w:sz="12" w:space="0" w:color="auto"/>
              <w:right w:val="single" w:sz="12" w:space="0" w:color="auto"/>
            </w:tcBorders>
            <w:vAlign w:val="center"/>
          </w:tcPr>
          <w:p w14:paraId="042F1EC7" w14:textId="77777777" w:rsidR="00AB1F4C" w:rsidRPr="006070EA" w:rsidRDefault="00AB1F4C" w:rsidP="009E07E1">
            <w:pPr>
              <w:jc w:val="center"/>
              <w:rPr>
                <w:rFonts w:asciiTheme="majorHAnsi" w:hAnsiTheme="majorHAnsi" w:cstheme="majorHAnsi"/>
                <w:b/>
                <w:sz w:val="18"/>
                <w:szCs w:val="18"/>
              </w:rPr>
            </w:pPr>
          </w:p>
        </w:tc>
        <w:tc>
          <w:tcPr>
            <w:tcW w:w="1134" w:type="dxa"/>
            <w:vMerge/>
            <w:tcBorders>
              <w:top w:val="single" w:sz="12" w:space="0" w:color="auto"/>
              <w:left w:val="single" w:sz="12" w:space="0" w:color="auto"/>
              <w:bottom w:val="single" w:sz="12" w:space="0" w:color="auto"/>
              <w:right w:val="single" w:sz="12" w:space="0" w:color="auto"/>
            </w:tcBorders>
            <w:vAlign w:val="center"/>
          </w:tcPr>
          <w:p w14:paraId="1EBC675A" w14:textId="77777777" w:rsidR="00AB1F4C" w:rsidRPr="006070EA" w:rsidRDefault="00AB1F4C" w:rsidP="009E07E1">
            <w:pPr>
              <w:jc w:val="center"/>
              <w:rPr>
                <w:rFonts w:asciiTheme="majorHAnsi" w:hAnsiTheme="majorHAnsi" w:cstheme="majorHAnsi"/>
                <w:b/>
                <w:sz w:val="18"/>
                <w:szCs w:val="18"/>
              </w:rPr>
            </w:pPr>
          </w:p>
        </w:tc>
        <w:tc>
          <w:tcPr>
            <w:tcW w:w="1843" w:type="dxa"/>
            <w:tcBorders>
              <w:top w:val="single" w:sz="12" w:space="0" w:color="auto"/>
              <w:left w:val="single" w:sz="12" w:space="0" w:color="auto"/>
              <w:bottom w:val="single" w:sz="12" w:space="0" w:color="auto"/>
              <w:right w:val="single" w:sz="12" w:space="0" w:color="auto"/>
            </w:tcBorders>
            <w:vAlign w:val="center"/>
          </w:tcPr>
          <w:p w14:paraId="3CD59DDE" w14:textId="3B410C35" w:rsidR="00AB1F4C" w:rsidRPr="006070EA" w:rsidRDefault="0083483C" w:rsidP="009E07E1">
            <w:pPr>
              <w:jc w:val="center"/>
              <w:rPr>
                <w:rFonts w:asciiTheme="majorHAnsi" w:hAnsiTheme="majorHAnsi" w:cstheme="majorHAnsi"/>
                <w:b/>
                <w:sz w:val="18"/>
                <w:szCs w:val="18"/>
              </w:rPr>
            </w:pPr>
            <w:r w:rsidRPr="006070EA">
              <w:rPr>
                <w:rFonts w:asciiTheme="majorHAnsi" w:hAnsiTheme="majorHAnsi" w:cstheme="majorHAnsi"/>
                <w:b/>
                <w:sz w:val="18"/>
                <w:szCs w:val="18"/>
              </w:rPr>
              <w:t>2021</w:t>
            </w:r>
          </w:p>
        </w:tc>
        <w:tc>
          <w:tcPr>
            <w:tcW w:w="1844" w:type="dxa"/>
            <w:tcBorders>
              <w:top w:val="single" w:sz="12" w:space="0" w:color="auto"/>
              <w:left w:val="single" w:sz="12" w:space="0" w:color="auto"/>
              <w:bottom w:val="single" w:sz="12" w:space="0" w:color="auto"/>
            </w:tcBorders>
            <w:vAlign w:val="center"/>
          </w:tcPr>
          <w:p w14:paraId="6A163400" w14:textId="77777777" w:rsidR="00AB1F4C" w:rsidRPr="006070EA" w:rsidRDefault="00642E4C" w:rsidP="009E07E1">
            <w:pPr>
              <w:jc w:val="center"/>
              <w:rPr>
                <w:rFonts w:asciiTheme="majorHAnsi" w:hAnsiTheme="majorHAnsi" w:cstheme="majorHAnsi"/>
                <w:b/>
                <w:sz w:val="18"/>
                <w:szCs w:val="18"/>
              </w:rPr>
            </w:pPr>
            <w:r w:rsidRPr="006070EA">
              <w:rPr>
                <w:rFonts w:asciiTheme="majorHAnsi" w:hAnsiTheme="majorHAnsi" w:cstheme="majorHAnsi"/>
                <w:b/>
                <w:sz w:val="18"/>
                <w:szCs w:val="18"/>
              </w:rPr>
              <w:t>2035</w:t>
            </w:r>
          </w:p>
        </w:tc>
      </w:tr>
      <w:tr w:rsidR="009D5E28" w:rsidRPr="006070EA" w14:paraId="1EAACBD2" w14:textId="77777777" w:rsidTr="00AD6D48">
        <w:trPr>
          <w:jc w:val="center"/>
        </w:trPr>
        <w:tc>
          <w:tcPr>
            <w:tcW w:w="3118" w:type="dxa"/>
            <w:tcBorders>
              <w:top w:val="single" w:sz="12" w:space="0" w:color="auto"/>
            </w:tcBorders>
            <w:vAlign w:val="center"/>
          </w:tcPr>
          <w:p w14:paraId="5392EAC2" w14:textId="6075963A"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 xml:space="preserve">počet obyvatel </w:t>
            </w:r>
          </w:p>
        </w:tc>
        <w:tc>
          <w:tcPr>
            <w:tcW w:w="1134" w:type="dxa"/>
            <w:tcBorders>
              <w:top w:val="single" w:sz="12" w:space="0" w:color="auto"/>
            </w:tcBorders>
            <w:vAlign w:val="center"/>
          </w:tcPr>
          <w:p w14:paraId="4644FAE7"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N</w:t>
            </w:r>
            <w:r w:rsidRPr="006070EA">
              <w:rPr>
                <w:rFonts w:asciiTheme="majorHAnsi" w:hAnsiTheme="majorHAnsi" w:cstheme="majorHAnsi"/>
                <w:sz w:val="18"/>
                <w:szCs w:val="18"/>
                <w:vertAlign w:val="subscript"/>
              </w:rPr>
              <w:t>z</w:t>
            </w:r>
          </w:p>
        </w:tc>
        <w:tc>
          <w:tcPr>
            <w:tcW w:w="1134" w:type="dxa"/>
            <w:tcBorders>
              <w:top w:val="single" w:sz="12" w:space="0" w:color="auto"/>
            </w:tcBorders>
            <w:vAlign w:val="center"/>
          </w:tcPr>
          <w:p w14:paraId="5F5A555F"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obyv.</w:t>
            </w:r>
          </w:p>
        </w:tc>
        <w:tc>
          <w:tcPr>
            <w:tcW w:w="1843" w:type="dxa"/>
            <w:tcBorders>
              <w:top w:val="single" w:sz="12" w:space="0" w:color="auto"/>
            </w:tcBorders>
            <w:vAlign w:val="center"/>
          </w:tcPr>
          <w:p w14:paraId="2789F51B" w14:textId="720FD97B" w:rsidR="00AB1F4C" w:rsidRPr="006070EA" w:rsidRDefault="009D5E28" w:rsidP="009E07E1">
            <w:pPr>
              <w:jc w:val="center"/>
              <w:rPr>
                <w:rFonts w:asciiTheme="majorHAnsi" w:hAnsiTheme="majorHAnsi" w:cstheme="majorHAnsi"/>
                <w:sz w:val="18"/>
                <w:szCs w:val="18"/>
              </w:rPr>
            </w:pPr>
            <w:r w:rsidRPr="006070EA">
              <w:rPr>
                <w:rFonts w:asciiTheme="majorHAnsi" w:hAnsiTheme="majorHAnsi" w:cstheme="majorHAnsi"/>
                <w:sz w:val="18"/>
                <w:szCs w:val="18"/>
              </w:rPr>
              <w:t>1 885</w:t>
            </w:r>
          </w:p>
        </w:tc>
        <w:tc>
          <w:tcPr>
            <w:tcW w:w="1844" w:type="dxa"/>
            <w:tcBorders>
              <w:top w:val="single" w:sz="12" w:space="0" w:color="auto"/>
            </w:tcBorders>
            <w:vAlign w:val="center"/>
          </w:tcPr>
          <w:p w14:paraId="728CCD3F" w14:textId="06DEB8D9" w:rsidR="00AB1F4C" w:rsidRPr="006070EA" w:rsidRDefault="009D5E28" w:rsidP="009E07E1">
            <w:pPr>
              <w:jc w:val="center"/>
              <w:rPr>
                <w:rFonts w:asciiTheme="majorHAnsi" w:hAnsiTheme="majorHAnsi" w:cstheme="majorHAnsi"/>
                <w:sz w:val="18"/>
                <w:szCs w:val="18"/>
              </w:rPr>
            </w:pPr>
            <w:r w:rsidRPr="006070EA">
              <w:rPr>
                <w:rFonts w:asciiTheme="majorHAnsi" w:hAnsiTheme="majorHAnsi" w:cstheme="majorHAnsi"/>
                <w:sz w:val="18"/>
                <w:szCs w:val="18"/>
              </w:rPr>
              <w:t>2 039</w:t>
            </w:r>
          </w:p>
        </w:tc>
      </w:tr>
      <w:tr w:rsidR="009D5E28" w:rsidRPr="006070EA" w14:paraId="06509914" w14:textId="77777777" w:rsidTr="001A0DBB">
        <w:trPr>
          <w:jc w:val="center"/>
        </w:trPr>
        <w:tc>
          <w:tcPr>
            <w:tcW w:w="3118" w:type="dxa"/>
            <w:vAlign w:val="center"/>
          </w:tcPr>
          <w:p w14:paraId="1959FA5A"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průměrná denní potřeba</w:t>
            </w:r>
          </w:p>
        </w:tc>
        <w:tc>
          <w:tcPr>
            <w:tcW w:w="1134" w:type="dxa"/>
            <w:vAlign w:val="center"/>
          </w:tcPr>
          <w:p w14:paraId="2BE617FA"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Q</w:t>
            </w:r>
            <w:r w:rsidRPr="006070EA">
              <w:rPr>
                <w:rFonts w:asciiTheme="majorHAnsi" w:hAnsiTheme="majorHAnsi" w:cstheme="majorHAnsi"/>
                <w:sz w:val="18"/>
                <w:szCs w:val="18"/>
                <w:vertAlign w:val="subscript"/>
              </w:rPr>
              <w:t>p</w:t>
            </w:r>
          </w:p>
        </w:tc>
        <w:tc>
          <w:tcPr>
            <w:tcW w:w="1134" w:type="dxa"/>
            <w:vAlign w:val="center"/>
          </w:tcPr>
          <w:p w14:paraId="35329E06"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m</w:t>
            </w:r>
            <w:r w:rsidRPr="006070EA">
              <w:rPr>
                <w:rFonts w:asciiTheme="majorHAnsi" w:hAnsiTheme="majorHAnsi" w:cstheme="majorHAnsi"/>
                <w:sz w:val="18"/>
                <w:szCs w:val="18"/>
                <w:vertAlign w:val="superscript"/>
              </w:rPr>
              <w:t>3</w:t>
            </w:r>
            <w:r w:rsidRPr="006070EA">
              <w:rPr>
                <w:rFonts w:asciiTheme="majorHAnsi" w:hAnsiTheme="majorHAnsi" w:cstheme="majorHAnsi"/>
                <w:sz w:val="18"/>
                <w:szCs w:val="18"/>
              </w:rPr>
              <w:t>/d</w:t>
            </w:r>
          </w:p>
        </w:tc>
        <w:tc>
          <w:tcPr>
            <w:tcW w:w="1843" w:type="dxa"/>
            <w:vAlign w:val="center"/>
          </w:tcPr>
          <w:p w14:paraId="71E51B9A" w14:textId="2C17F0C5" w:rsidR="00AB1F4C" w:rsidRPr="006070EA" w:rsidRDefault="009D5E28" w:rsidP="009E07E1">
            <w:pPr>
              <w:jc w:val="center"/>
              <w:rPr>
                <w:rFonts w:asciiTheme="majorHAnsi" w:hAnsiTheme="majorHAnsi" w:cstheme="majorHAnsi"/>
                <w:sz w:val="18"/>
                <w:szCs w:val="18"/>
              </w:rPr>
            </w:pPr>
            <w:r w:rsidRPr="006070EA">
              <w:rPr>
                <w:rFonts w:asciiTheme="majorHAnsi" w:hAnsiTheme="majorHAnsi" w:cstheme="majorHAnsi"/>
                <w:sz w:val="18"/>
                <w:szCs w:val="18"/>
              </w:rPr>
              <w:t>282,75</w:t>
            </w:r>
          </w:p>
        </w:tc>
        <w:tc>
          <w:tcPr>
            <w:tcW w:w="1844" w:type="dxa"/>
            <w:vAlign w:val="center"/>
          </w:tcPr>
          <w:p w14:paraId="7D60D176" w14:textId="09774A63" w:rsidR="00AB1F4C" w:rsidRPr="006070EA" w:rsidRDefault="009D5E28" w:rsidP="009E07E1">
            <w:pPr>
              <w:jc w:val="center"/>
              <w:rPr>
                <w:rFonts w:asciiTheme="majorHAnsi" w:hAnsiTheme="majorHAnsi" w:cstheme="majorHAnsi"/>
                <w:sz w:val="18"/>
                <w:szCs w:val="18"/>
              </w:rPr>
            </w:pPr>
            <w:r w:rsidRPr="006070EA">
              <w:rPr>
                <w:rFonts w:asciiTheme="majorHAnsi" w:hAnsiTheme="majorHAnsi" w:cstheme="majorHAnsi"/>
                <w:sz w:val="18"/>
                <w:szCs w:val="18"/>
              </w:rPr>
              <w:t>305,85</w:t>
            </w:r>
          </w:p>
        </w:tc>
      </w:tr>
      <w:tr w:rsidR="009D5E28" w:rsidRPr="006070EA" w14:paraId="430322CE" w14:textId="77777777" w:rsidTr="001A0DBB">
        <w:trPr>
          <w:jc w:val="center"/>
        </w:trPr>
        <w:tc>
          <w:tcPr>
            <w:tcW w:w="3118" w:type="dxa"/>
            <w:vAlign w:val="center"/>
          </w:tcPr>
          <w:p w14:paraId="5D0D3575"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koeficient denní nerovnosti</w:t>
            </w:r>
          </w:p>
        </w:tc>
        <w:tc>
          <w:tcPr>
            <w:tcW w:w="1134" w:type="dxa"/>
            <w:vAlign w:val="center"/>
          </w:tcPr>
          <w:p w14:paraId="5EC8B540"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k</w:t>
            </w:r>
            <w:r w:rsidRPr="006070EA">
              <w:rPr>
                <w:rFonts w:asciiTheme="majorHAnsi" w:hAnsiTheme="majorHAnsi" w:cstheme="majorHAnsi"/>
                <w:sz w:val="18"/>
                <w:szCs w:val="18"/>
                <w:vertAlign w:val="subscript"/>
              </w:rPr>
              <w:t>d</w:t>
            </w:r>
          </w:p>
        </w:tc>
        <w:tc>
          <w:tcPr>
            <w:tcW w:w="1134" w:type="dxa"/>
            <w:vAlign w:val="center"/>
          </w:tcPr>
          <w:p w14:paraId="54DE39BB"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w:t>
            </w:r>
          </w:p>
        </w:tc>
        <w:tc>
          <w:tcPr>
            <w:tcW w:w="1843" w:type="dxa"/>
            <w:vAlign w:val="center"/>
          </w:tcPr>
          <w:p w14:paraId="6C59A0D5"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1,5</w:t>
            </w:r>
          </w:p>
        </w:tc>
        <w:tc>
          <w:tcPr>
            <w:tcW w:w="1844" w:type="dxa"/>
            <w:vAlign w:val="center"/>
          </w:tcPr>
          <w:p w14:paraId="457C0CC8"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1,5</w:t>
            </w:r>
          </w:p>
        </w:tc>
      </w:tr>
      <w:tr w:rsidR="009D5E28" w:rsidRPr="006070EA" w14:paraId="283FAA8E" w14:textId="77777777" w:rsidTr="001A0DBB">
        <w:trPr>
          <w:jc w:val="center"/>
        </w:trPr>
        <w:tc>
          <w:tcPr>
            <w:tcW w:w="3118" w:type="dxa"/>
            <w:vAlign w:val="center"/>
          </w:tcPr>
          <w:p w14:paraId="6A5B23FB"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maximální denní potřeba</w:t>
            </w:r>
          </w:p>
        </w:tc>
        <w:tc>
          <w:tcPr>
            <w:tcW w:w="1134" w:type="dxa"/>
            <w:vAlign w:val="center"/>
          </w:tcPr>
          <w:p w14:paraId="45804AA5"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Q</w:t>
            </w:r>
            <w:r w:rsidRPr="006070EA">
              <w:rPr>
                <w:rFonts w:asciiTheme="majorHAnsi" w:hAnsiTheme="majorHAnsi" w:cstheme="majorHAnsi"/>
                <w:sz w:val="18"/>
                <w:szCs w:val="18"/>
                <w:vertAlign w:val="subscript"/>
              </w:rPr>
              <w:t>d</w:t>
            </w:r>
          </w:p>
        </w:tc>
        <w:tc>
          <w:tcPr>
            <w:tcW w:w="1134" w:type="dxa"/>
            <w:vAlign w:val="center"/>
          </w:tcPr>
          <w:p w14:paraId="65BC7C72"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m</w:t>
            </w:r>
            <w:r w:rsidRPr="006070EA">
              <w:rPr>
                <w:rFonts w:asciiTheme="majorHAnsi" w:hAnsiTheme="majorHAnsi" w:cstheme="majorHAnsi"/>
                <w:sz w:val="18"/>
                <w:szCs w:val="18"/>
                <w:vertAlign w:val="superscript"/>
              </w:rPr>
              <w:t>3</w:t>
            </w:r>
            <w:r w:rsidRPr="006070EA">
              <w:rPr>
                <w:rFonts w:asciiTheme="majorHAnsi" w:hAnsiTheme="majorHAnsi" w:cstheme="majorHAnsi"/>
                <w:sz w:val="18"/>
                <w:szCs w:val="18"/>
              </w:rPr>
              <w:t>/d</w:t>
            </w:r>
          </w:p>
        </w:tc>
        <w:tc>
          <w:tcPr>
            <w:tcW w:w="1843" w:type="dxa"/>
            <w:vAlign w:val="center"/>
          </w:tcPr>
          <w:p w14:paraId="0AFF1FD2" w14:textId="7894ACAF" w:rsidR="00AB1F4C" w:rsidRPr="006070EA" w:rsidRDefault="009D5E28" w:rsidP="009E07E1">
            <w:pPr>
              <w:jc w:val="center"/>
              <w:rPr>
                <w:rFonts w:asciiTheme="majorHAnsi" w:hAnsiTheme="majorHAnsi" w:cstheme="majorHAnsi"/>
                <w:sz w:val="18"/>
                <w:szCs w:val="18"/>
              </w:rPr>
            </w:pPr>
            <w:r w:rsidRPr="006070EA">
              <w:rPr>
                <w:rFonts w:asciiTheme="majorHAnsi" w:hAnsiTheme="majorHAnsi" w:cstheme="majorHAnsi"/>
                <w:sz w:val="18"/>
                <w:szCs w:val="18"/>
              </w:rPr>
              <w:t>434,13</w:t>
            </w:r>
          </w:p>
        </w:tc>
        <w:tc>
          <w:tcPr>
            <w:tcW w:w="1844" w:type="dxa"/>
            <w:vAlign w:val="center"/>
          </w:tcPr>
          <w:p w14:paraId="78747F2C" w14:textId="0FCC9D76" w:rsidR="00AB1F4C" w:rsidRPr="006070EA" w:rsidRDefault="009D5E28" w:rsidP="009E07E1">
            <w:pPr>
              <w:jc w:val="center"/>
              <w:rPr>
                <w:rFonts w:asciiTheme="majorHAnsi" w:hAnsiTheme="majorHAnsi" w:cstheme="majorHAnsi"/>
                <w:sz w:val="18"/>
                <w:szCs w:val="18"/>
              </w:rPr>
            </w:pPr>
            <w:r w:rsidRPr="006070EA">
              <w:rPr>
                <w:rFonts w:asciiTheme="majorHAnsi" w:hAnsiTheme="majorHAnsi" w:cstheme="majorHAnsi"/>
                <w:sz w:val="18"/>
                <w:szCs w:val="18"/>
              </w:rPr>
              <w:t>458,78</w:t>
            </w:r>
          </w:p>
        </w:tc>
      </w:tr>
      <w:tr w:rsidR="009D5E28" w:rsidRPr="006070EA" w14:paraId="5CC15A70" w14:textId="77777777" w:rsidTr="001A0DBB">
        <w:trPr>
          <w:jc w:val="center"/>
        </w:trPr>
        <w:tc>
          <w:tcPr>
            <w:tcW w:w="3118" w:type="dxa"/>
            <w:vAlign w:val="center"/>
          </w:tcPr>
          <w:p w14:paraId="2D7ECEE5"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specifická potřeba vody</w:t>
            </w:r>
          </w:p>
        </w:tc>
        <w:tc>
          <w:tcPr>
            <w:tcW w:w="1134" w:type="dxa"/>
            <w:vAlign w:val="center"/>
          </w:tcPr>
          <w:p w14:paraId="74D401B4" w14:textId="77777777" w:rsidR="00AB1F4C" w:rsidRPr="006070EA" w:rsidRDefault="00AB1F4C" w:rsidP="009E07E1">
            <w:pPr>
              <w:jc w:val="center"/>
              <w:rPr>
                <w:rFonts w:asciiTheme="majorHAnsi" w:hAnsiTheme="majorHAnsi" w:cstheme="majorHAnsi"/>
                <w:sz w:val="18"/>
                <w:szCs w:val="18"/>
              </w:rPr>
            </w:pPr>
            <w:proofErr w:type="gramStart"/>
            <w:r w:rsidRPr="006070EA">
              <w:rPr>
                <w:rFonts w:asciiTheme="majorHAnsi" w:hAnsiTheme="majorHAnsi" w:cstheme="majorHAnsi"/>
                <w:sz w:val="18"/>
                <w:szCs w:val="18"/>
              </w:rPr>
              <w:t>Q</w:t>
            </w:r>
            <w:r w:rsidRPr="006070EA">
              <w:rPr>
                <w:rFonts w:asciiTheme="majorHAnsi" w:hAnsiTheme="majorHAnsi" w:cstheme="majorHAnsi"/>
                <w:sz w:val="18"/>
                <w:szCs w:val="18"/>
                <w:vertAlign w:val="subscript"/>
              </w:rPr>
              <w:t>s,v</w:t>
            </w:r>
            <w:proofErr w:type="gramEnd"/>
          </w:p>
        </w:tc>
        <w:tc>
          <w:tcPr>
            <w:tcW w:w="1134" w:type="dxa"/>
            <w:vAlign w:val="center"/>
          </w:tcPr>
          <w:p w14:paraId="0452406B" w14:textId="77777777" w:rsidR="00AB1F4C" w:rsidRPr="006070EA" w:rsidRDefault="00AB1F4C" w:rsidP="009E07E1">
            <w:pPr>
              <w:jc w:val="center"/>
              <w:rPr>
                <w:rFonts w:asciiTheme="majorHAnsi" w:hAnsiTheme="majorHAnsi" w:cstheme="majorHAnsi"/>
                <w:sz w:val="18"/>
                <w:szCs w:val="18"/>
              </w:rPr>
            </w:pPr>
            <w:r w:rsidRPr="006070EA">
              <w:rPr>
                <w:rFonts w:asciiTheme="majorHAnsi" w:hAnsiTheme="majorHAnsi" w:cstheme="majorHAnsi"/>
                <w:sz w:val="18"/>
                <w:szCs w:val="18"/>
              </w:rPr>
              <w:t>l/(os×d)</w:t>
            </w:r>
          </w:p>
        </w:tc>
        <w:tc>
          <w:tcPr>
            <w:tcW w:w="1843" w:type="dxa"/>
            <w:vAlign w:val="center"/>
          </w:tcPr>
          <w:p w14:paraId="627DFD3F" w14:textId="77777777" w:rsidR="00AB1F4C" w:rsidRPr="006070EA" w:rsidRDefault="00ED7ED5" w:rsidP="009E07E1">
            <w:pPr>
              <w:jc w:val="center"/>
              <w:rPr>
                <w:rFonts w:asciiTheme="majorHAnsi" w:hAnsiTheme="majorHAnsi" w:cstheme="majorHAnsi"/>
                <w:sz w:val="18"/>
                <w:szCs w:val="18"/>
              </w:rPr>
            </w:pPr>
            <w:r w:rsidRPr="006070EA">
              <w:rPr>
                <w:rFonts w:asciiTheme="majorHAnsi" w:hAnsiTheme="majorHAnsi" w:cstheme="majorHAnsi"/>
                <w:sz w:val="18"/>
                <w:szCs w:val="18"/>
              </w:rPr>
              <w:t>150</w:t>
            </w:r>
          </w:p>
        </w:tc>
        <w:tc>
          <w:tcPr>
            <w:tcW w:w="1844" w:type="dxa"/>
            <w:vAlign w:val="center"/>
          </w:tcPr>
          <w:p w14:paraId="16693274" w14:textId="77777777" w:rsidR="00AB1F4C" w:rsidRPr="006070EA" w:rsidRDefault="00ED7ED5" w:rsidP="009E07E1">
            <w:pPr>
              <w:jc w:val="center"/>
              <w:rPr>
                <w:rFonts w:asciiTheme="majorHAnsi" w:hAnsiTheme="majorHAnsi" w:cstheme="majorHAnsi"/>
                <w:sz w:val="18"/>
                <w:szCs w:val="18"/>
              </w:rPr>
            </w:pPr>
            <w:r w:rsidRPr="006070EA">
              <w:rPr>
                <w:rFonts w:asciiTheme="majorHAnsi" w:hAnsiTheme="majorHAnsi" w:cstheme="majorHAnsi"/>
                <w:sz w:val="18"/>
                <w:szCs w:val="18"/>
              </w:rPr>
              <w:t>150</w:t>
            </w:r>
          </w:p>
        </w:tc>
      </w:tr>
    </w:tbl>
    <w:p w14:paraId="00B773C7" w14:textId="77777777" w:rsidR="00AB1F4C" w:rsidRPr="006070EA" w:rsidRDefault="00AB1F4C" w:rsidP="009E07E1">
      <w:pPr>
        <w:keepNext/>
        <w:spacing w:before="120" w:after="60" w:line="240" w:lineRule="auto"/>
        <w:ind w:firstLine="709"/>
        <w:jc w:val="both"/>
        <w:rPr>
          <w:rFonts w:asciiTheme="majorHAnsi" w:hAnsiTheme="majorHAnsi" w:cstheme="majorHAnsi"/>
          <w:i/>
          <w:sz w:val="18"/>
          <w:szCs w:val="18"/>
          <w:u w:val="single"/>
        </w:rPr>
      </w:pPr>
      <w:r w:rsidRPr="006070EA">
        <w:rPr>
          <w:rFonts w:asciiTheme="majorHAnsi" w:hAnsiTheme="majorHAnsi" w:cstheme="majorHAnsi"/>
          <w:i/>
          <w:sz w:val="18"/>
          <w:szCs w:val="18"/>
          <w:u w:val="single"/>
        </w:rPr>
        <w:t>Územní plán předpokládá v období do roku 203</w:t>
      </w:r>
      <w:r w:rsidR="005E24B4" w:rsidRPr="006070EA">
        <w:rPr>
          <w:rFonts w:asciiTheme="majorHAnsi" w:hAnsiTheme="majorHAnsi" w:cstheme="majorHAnsi"/>
          <w:i/>
          <w:sz w:val="18"/>
          <w:szCs w:val="18"/>
          <w:u w:val="single"/>
        </w:rPr>
        <w:t>5</w:t>
      </w:r>
      <w:r w:rsidRPr="006070EA">
        <w:rPr>
          <w:rFonts w:asciiTheme="majorHAnsi" w:hAnsiTheme="majorHAnsi" w:cstheme="majorHAnsi"/>
          <w:i/>
          <w:sz w:val="18"/>
          <w:szCs w:val="18"/>
          <w:u w:val="single"/>
        </w:rPr>
        <w:t>:</w:t>
      </w:r>
    </w:p>
    <w:p w14:paraId="18E13ACA" w14:textId="7ABB84B3" w:rsidR="00AB1F4C" w:rsidRPr="006070EA" w:rsidRDefault="00AB1F4C" w:rsidP="009E07E1">
      <w:pPr>
        <w:spacing w:before="120" w:after="0" w:line="240" w:lineRule="auto"/>
        <w:jc w:val="both"/>
        <w:rPr>
          <w:rFonts w:asciiTheme="majorHAnsi" w:hAnsiTheme="majorHAnsi" w:cstheme="majorHAnsi"/>
          <w:sz w:val="18"/>
          <w:szCs w:val="18"/>
        </w:rPr>
      </w:pPr>
      <w:r w:rsidRPr="006070EA">
        <w:rPr>
          <w:rFonts w:asciiTheme="majorHAnsi" w:hAnsiTheme="majorHAnsi" w:cstheme="majorHAnsi"/>
          <w:sz w:val="18"/>
          <w:szCs w:val="18"/>
        </w:rPr>
        <w:tab/>
        <w:t>- počet obyvatel</w:t>
      </w:r>
      <w:r w:rsidRPr="006070EA">
        <w:rPr>
          <w:rFonts w:asciiTheme="majorHAnsi" w:hAnsiTheme="majorHAnsi" w:cstheme="majorHAnsi"/>
          <w:sz w:val="18"/>
          <w:szCs w:val="18"/>
        </w:rPr>
        <w:tab/>
      </w:r>
      <w:r w:rsidRPr="006070EA">
        <w:rPr>
          <w:rFonts w:asciiTheme="majorHAnsi" w:hAnsiTheme="majorHAnsi" w:cstheme="majorHAnsi"/>
          <w:sz w:val="18"/>
          <w:szCs w:val="18"/>
        </w:rPr>
        <w:tab/>
      </w:r>
      <w:r w:rsidRPr="006070EA">
        <w:rPr>
          <w:rFonts w:asciiTheme="majorHAnsi" w:hAnsiTheme="majorHAnsi" w:cstheme="majorHAnsi"/>
          <w:sz w:val="18"/>
          <w:szCs w:val="18"/>
        </w:rPr>
        <w:tab/>
      </w:r>
      <w:r w:rsidRPr="006070EA">
        <w:rPr>
          <w:rFonts w:asciiTheme="majorHAnsi" w:hAnsiTheme="majorHAnsi" w:cstheme="majorHAnsi"/>
          <w:sz w:val="18"/>
          <w:szCs w:val="18"/>
        </w:rPr>
        <w:tab/>
      </w:r>
      <w:r w:rsidR="009D5E28" w:rsidRPr="006070EA">
        <w:rPr>
          <w:rFonts w:asciiTheme="majorHAnsi" w:hAnsiTheme="majorHAnsi" w:cstheme="majorHAnsi"/>
          <w:sz w:val="18"/>
          <w:szCs w:val="18"/>
        </w:rPr>
        <w:t>2 039</w:t>
      </w:r>
    </w:p>
    <w:p w14:paraId="13991248" w14:textId="7FA6BAB2" w:rsidR="00AB1F4C" w:rsidRPr="006070EA" w:rsidRDefault="00AB1F4C" w:rsidP="009E07E1">
      <w:pPr>
        <w:spacing w:after="0" w:line="240" w:lineRule="auto"/>
        <w:jc w:val="both"/>
        <w:rPr>
          <w:rFonts w:asciiTheme="majorHAnsi" w:hAnsiTheme="majorHAnsi" w:cstheme="majorHAnsi"/>
          <w:sz w:val="18"/>
          <w:szCs w:val="18"/>
        </w:rPr>
      </w:pPr>
      <w:r w:rsidRPr="006070EA">
        <w:rPr>
          <w:rFonts w:asciiTheme="majorHAnsi" w:hAnsiTheme="majorHAnsi" w:cstheme="majorHAnsi"/>
          <w:sz w:val="18"/>
          <w:szCs w:val="18"/>
        </w:rPr>
        <w:tab/>
        <w:t>- průměrná denní potřeba pitné vody</w:t>
      </w:r>
      <w:r w:rsidRPr="006070EA">
        <w:rPr>
          <w:rFonts w:asciiTheme="majorHAnsi" w:hAnsiTheme="majorHAnsi" w:cstheme="majorHAnsi"/>
          <w:sz w:val="18"/>
          <w:szCs w:val="18"/>
        </w:rPr>
        <w:tab/>
      </w:r>
      <w:r w:rsidR="00AC772C" w:rsidRPr="006070EA">
        <w:rPr>
          <w:rFonts w:asciiTheme="majorHAnsi" w:hAnsiTheme="majorHAnsi" w:cstheme="majorHAnsi"/>
          <w:sz w:val="18"/>
          <w:szCs w:val="18"/>
        </w:rPr>
        <w:tab/>
      </w:r>
      <w:r w:rsidR="009D5E28" w:rsidRPr="006070EA">
        <w:rPr>
          <w:rFonts w:asciiTheme="majorHAnsi" w:hAnsiTheme="majorHAnsi" w:cstheme="majorHAnsi"/>
          <w:sz w:val="18"/>
          <w:szCs w:val="18"/>
        </w:rPr>
        <w:t>305,85</w:t>
      </w:r>
      <w:r w:rsidR="00ED7ED5" w:rsidRPr="006070EA">
        <w:rPr>
          <w:rFonts w:asciiTheme="majorHAnsi" w:hAnsiTheme="majorHAnsi" w:cstheme="majorHAnsi"/>
          <w:sz w:val="18"/>
          <w:szCs w:val="18"/>
        </w:rPr>
        <w:t xml:space="preserve"> </w:t>
      </w:r>
      <w:r w:rsidRPr="006070EA">
        <w:rPr>
          <w:rFonts w:asciiTheme="majorHAnsi" w:hAnsiTheme="majorHAnsi" w:cstheme="majorHAnsi"/>
          <w:sz w:val="18"/>
          <w:szCs w:val="18"/>
        </w:rPr>
        <w:t>m</w:t>
      </w:r>
      <w:r w:rsidRPr="006070EA">
        <w:rPr>
          <w:rFonts w:asciiTheme="majorHAnsi" w:hAnsiTheme="majorHAnsi" w:cstheme="majorHAnsi"/>
          <w:sz w:val="18"/>
          <w:szCs w:val="18"/>
          <w:vertAlign w:val="superscript"/>
        </w:rPr>
        <w:t>3</w:t>
      </w:r>
      <w:r w:rsidRPr="006070EA">
        <w:rPr>
          <w:rFonts w:asciiTheme="majorHAnsi" w:hAnsiTheme="majorHAnsi" w:cstheme="majorHAnsi"/>
          <w:sz w:val="18"/>
          <w:szCs w:val="18"/>
        </w:rPr>
        <w:t>/den</w:t>
      </w:r>
    </w:p>
    <w:p w14:paraId="725F0A4A" w14:textId="5A19635A" w:rsidR="00AB1F4C" w:rsidRPr="006070EA" w:rsidRDefault="00AB1F4C" w:rsidP="009E07E1">
      <w:pPr>
        <w:spacing w:before="120" w:after="120" w:line="240" w:lineRule="auto"/>
        <w:jc w:val="both"/>
        <w:rPr>
          <w:rFonts w:asciiTheme="majorHAnsi" w:hAnsiTheme="majorHAnsi" w:cstheme="majorHAnsi"/>
          <w:b/>
          <w:sz w:val="18"/>
        </w:rPr>
      </w:pPr>
      <w:r w:rsidRPr="006070EA">
        <w:rPr>
          <w:rFonts w:asciiTheme="majorHAnsi" w:hAnsiTheme="majorHAnsi" w:cstheme="majorHAnsi"/>
          <w:b/>
          <w:sz w:val="18"/>
        </w:rPr>
        <w:t>Odůvodnění koncepce zásobování vodou</w:t>
      </w:r>
    </w:p>
    <w:p w14:paraId="431AAEEF" w14:textId="680C49BE" w:rsidR="00AB1F4C" w:rsidRPr="006070EA" w:rsidRDefault="00AB1F4C" w:rsidP="009A56B0">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rPr>
        <w:t xml:space="preserve">Koncepce zásobování pitnou vodou je řešena v souladu s Plánem rozvoje vodovodů a kanalizací </w:t>
      </w:r>
      <w:r w:rsidR="00320F81" w:rsidRPr="006070EA">
        <w:rPr>
          <w:rFonts w:asciiTheme="majorHAnsi" w:hAnsiTheme="majorHAnsi" w:cstheme="majorHAnsi"/>
          <w:sz w:val="18"/>
          <w:szCs w:val="20"/>
        </w:rPr>
        <w:t>Středočeského</w:t>
      </w:r>
      <w:r w:rsidRPr="006070EA">
        <w:rPr>
          <w:rFonts w:asciiTheme="majorHAnsi" w:hAnsiTheme="majorHAnsi" w:cstheme="majorHAnsi"/>
          <w:sz w:val="18"/>
          <w:szCs w:val="20"/>
        </w:rPr>
        <w:t xml:space="preserve"> kraje</w:t>
      </w:r>
      <w:r w:rsidR="00320F81" w:rsidRPr="006070EA">
        <w:rPr>
          <w:rFonts w:asciiTheme="majorHAnsi" w:hAnsiTheme="majorHAnsi" w:cstheme="majorHAnsi"/>
          <w:sz w:val="18"/>
          <w:szCs w:val="20"/>
        </w:rPr>
        <w:t xml:space="preserve"> a v souladu se zpracovanými oborovými podklady pro řešené území, zejména s projektovou dokumentací pro rozvoj vodovodu a kanalizace v řešeném území</w:t>
      </w:r>
      <w:r w:rsidRPr="006070EA">
        <w:rPr>
          <w:rFonts w:asciiTheme="majorHAnsi" w:hAnsiTheme="majorHAnsi" w:cstheme="majorHAnsi"/>
          <w:sz w:val="18"/>
          <w:szCs w:val="20"/>
        </w:rPr>
        <w:t xml:space="preserve">. </w:t>
      </w:r>
    </w:p>
    <w:p w14:paraId="55CA5EB6" w14:textId="73B73150" w:rsidR="004670F7" w:rsidRPr="006070EA" w:rsidRDefault="00320F81" w:rsidP="00FC2281">
      <w:pPr>
        <w:spacing w:before="120" w:after="120" w:line="240" w:lineRule="auto"/>
        <w:ind w:firstLine="709"/>
        <w:jc w:val="both"/>
        <w:rPr>
          <w:rFonts w:asciiTheme="majorHAnsi" w:hAnsiTheme="majorHAnsi" w:cstheme="majorHAnsi"/>
          <w:i/>
          <w:iCs/>
          <w:sz w:val="18"/>
          <w:szCs w:val="20"/>
        </w:rPr>
      </w:pPr>
      <w:r w:rsidRPr="006070EA">
        <w:rPr>
          <w:rFonts w:asciiTheme="majorHAnsi" w:hAnsiTheme="majorHAnsi" w:cstheme="majorHAnsi"/>
          <w:sz w:val="18"/>
          <w:szCs w:val="20"/>
        </w:rPr>
        <w:t xml:space="preserve">Stávající způsob zásobování pitnou vodou z vodovodu Nymburk – Doubrava – Kostomlaty bude zachován a dále rozvíjen. Územní plán v souladu se zpracovanými podklady a PRVK SK navrhuje napojit na vodovodní síť </w:t>
      </w:r>
      <w:r w:rsidR="004670F7" w:rsidRPr="006070EA">
        <w:rPr>
          <w:rFonts w:asciiTheme="majorHAnsi" w:hAnsiTheme="majorHAnsi" w:cstheme="majorHAnsi"/>
          <w:sz w:val="18"/>
          <w:szCs w:val="20"/>
        </w:rPr>
        <w:t>místní části Rozkoš, Lány, Hronětice a Vápensko dle zpracované projektové dokumentace (DÚR+DSP</w:t>
      </w:r>
      <w:r w:rsidR="004670F7" w:rsidRPr="006070EA">
        <w:rPr>
          <w:rFonts w:asciiTheme="majorHAnsi" w:hAnsiTheme="majorHAnsi" w:cstheme="majorHAnsi"/>
          <w:sz w:val="18"/>
        </w:rPr>
        <w:t xml:space="preserve">) </w:t>
      </w:r>
      <w:r w:rsidR="004670F7" w:rsidRPr="006070EA">
        <w:rPr>
          <w:rFonts w:asciiTheme="majorHAnsi" w:hAnsiTheme="majorHAnsi" w:cstheme="majorHAnsi"/>
          <w:i/>
          <w:iCs/>
          <w:sz w:val="18"/>
        </w:rPr>
        <w:t>Kostomlaty nad Labem – Kanalizace a</w:t>
      </w:r>
      <w:r w:rsidR="00F541BF" w:rsidRPr="006070EA">
        <w:rPr>
          <w:rFonts w:asciiTheme="majorHAnsi" w:hAnsiTheme="majorHAnsi" w:cstheme="majorHAnsi"/>
          <w:i/>
          <w:iCs/>
          <w:sz w:val="18"/>
        </w:rPr>
        <w:t> </w:t>
      </w:r>
      <w:r w:rsidR="004670F7" w:rsidRPr="006070EA">
        <w:rPr>
          <w:rFonts w:asciiTheme="majorHAnsi" w:hAnsiTheme="majorHAnsi" w:cstheme="majorHAnsi"/>
          <w:i/>
          <w:iCs/>
          <w:sz w:val="18"/>
        </w:rPr>
        <w:t>vodovod – Vápensko a Rozkoš</w:t>
      </w:r>
      <w:r w:rsidR="004670F7" w:rsidRPr="006070EA">
        <w:rPr>
          <w:rFonts w:asciiTheme="majorHAnsi" w:hAnsiTheme="majorHAnsi" w:cstheme="majorHAnsi"/>
          <w:sz w:val="18"/>
        </w:rPr>
        <w:t xml:space="preserve"> (FIALA PROJEKTY s.r.o., 11/2019)</w:t>
      </w:r>
      <w:r w:rsidRPr="006070EA">
        <w:rPr>
          <w:rFonts w:asciiTheme="majorHAnsi" w:hAnsiTheme="majorHAnsi" w:cstheme="majorHAnsi"/>
          <w:sz w:val="18"/>
          <w:szCs w:val="20"/>
        </w:rPr>
        <w:t xml:space="preserve">. </w:t>
      </w:r>
      <w:r w:rsidR="004670F7" w:rsidRPr="006070EA">
        <w:rPr>
          <w:rFonts w:asciiTheme="majorHAnsi" w:hAnsiTheme="majorHAnsi" w:cstheme="majorHAnsi"/>
          <w:sz w:val="18"/>
          <w:szCs w:val="20"/>
        </w:rPr>
        <w:t xml:space="preserve">Pro uvažovaný záměr vymezuje ÚP </w:t>
      </w:r>
      <w:r w:rsidR="004670F7" w:rsidRPr="006070EA">
        <w:rPr>
          <w:rFonts w:asciiTheme="majorHAnsi" w:hAnsiTheme="majorHAnsi" w:cstheme="majorHAnsi"/>
          <w:b/>
          <w:bCs/>
          <w:sz w:val="18"/>
          <w:szCs w:val="20"/>
        </w:rPr>
        <w:t>koridor</w:t>
      </w:r>
      <w:r w:rsidR="004670F7" w:rsidRPr="006070EA">
        <w:rPr>
          <w:rFonts w:asciiTheme="majorHAnsi" w:hAnsiTheme="majorHAnsi" w:cstheme="majorHAnsi"/>
          <w:sz w:val="18"/>
          <w:szCs w:val="20"/>
        </w:rPr>
        <w:t xml:space="preserve"> technické infrastruktury </w:t>
      </w:r>
      <w:r w:rsidR="001C7E4C" w:rsidRPr="006070EA">
        <w:rPr>
          <w:rFonts w:asciiTheme="majorHAnsi" w:hAnsiTheme="majorHAnsi" w:cstheme="majorHAnsi"/>
          <w:b/>
          <w:bCs/>
          <w:sz w:val="18"/>
          <w:szCs w:val="20"/>
        </w:rPr>
        <w:t>CNU.</w:t>
      </w:r>
      <w:r w:rsidR="004670F7" w:rsidRPr="006070EA">
        <w:rPr>
          <w:rFonts w:asciiTheme="majorHAnsi" w:hAnsiTheme="majorHAnsi" w:cstheme="majorHAnsi"/>
          <w:b/>
          <w:bCs/>
          <w:sz w:val="18"/>
          <w:szCs w:val="20"/>
        </w:rPr>
        <w:t>KTI1</w:t>
      </w:r>
      <w:r w:rsidR="004670F7" w:rsidRPr="006070EA">
        <w:rPr>
          <w:rFonts w:asciiTheme="majorHAnsi" w:hAnsiTheme="majorHAnsi" w:cstheme="majorHAnsi"/>
          <w:sz w:val="18"/>
          <w:szCs w:val="20"/>
        </w:rPr>
        <w:t xml:space="preserve">. </w:t>
      </w:r>
    </w:p>
    <w:p w14:paraId="767B13FF" w14:textId="52DAD784" w:rsidR="009A56B0" w:rsidRPr="006070EA" w:rsidRDefault="009A56B0" w:rsidP="009A56B0">
      <w:pPr>
        <w:spacing w:before="120" w:after="120" w:line="240" w:lineRule="auto"/>
        <w:ind w:firstLine="709"/>
        <w:jc w:val="both"/>
        <w:rPr>
          <w:rFonts w:asciiTheme="majorHAnsi" w:hAnsiTheme="majorHAnsi" w:cstheme="majorHAnsi"/>
          <w:sz w:val="18"/>
        </w:rPr>
      </w:pPr>
      <w:r w:rsidRPr="006070EA">
        <w:rPr>
          <w:rFonts w:asciiTheme="majorHAnsi" w:hAnsiTheme="majorHAnsi" w:cstheme="majorHAnsi"/>
          <w:sz w:val="18"/>
        </w:rPr>
        <w:lastRenderedPageBreak/>
        <w:t>Základní informace o technickém řešení připojení místních částí na vodovod dle zpracované projektové dokumentace jsou uvedeny níže (citace kurzí</w:t>
      </w:r>
      <w:r w:rsidR="001C7E4C" w:rsidRPr="006070EA">
        <w:rPr>
          <w:rFonts w:asciiTheme="majorHAnsi" w:hAnsiTheme="majorHAnsi" w:cstheme="majorHAnsi"/>
          <w:sz w:val="18"/>
        </w:rPr>
        <w:t>v</w:t>
      </w:r>
      <w:r w:rsidRPr="006070EA">
        <w:rPr>
          <w:rFonts w:asciiTheme="majorHAnsi" w:hAnsiTheme="majorHAnsi" w:cstheme="majorHAnsi"/>
          <w:sz w:val="18"/>
        </w:rPr>
        <w:t>ou):</w:t>
      </w:r>
    </w:p>
    <w:p w14:paraId="5D8ED79A" w14:textId="77777777" w:rsidR="009A56B0" w:rsidRPr="006070EA" w:rsidRDefault="009A56B0" w:rsidP="009A56B0">
      <w:pPr>
        <w:spacing w:before="120" w:after="120" w:line="240" w:lineRule="auto"/>
        <w:ind w:firstLine="709"/>
        <w:jc w:val="both"/>
        <w:rPr>
          <w:rFonts w:asciiTheme="majorHAnsi" w:hAnsiTheme="majorHAnsi" w:cstheme="majorHAnsi"/>
          <w:i/>
          <w:iCs/>
          <w:sz w:val="18"/>
          <w:u w:val="single"/>
        </w:rPr>
      </w:pPr>
      <w:r w:rsidRPr="006070EA">
        <w:rPr>
          <w:rFonts w:asciiTheme="majorHAnsi" w:hAnsiTheme="majorHAnsi" w:cstheme="majorHAnsi"/>
          <w:i/>
          <w:iCs/>
          <w:sz w:val="18"/>
          <w:u w:val="single"/>
        </w:rPr>
        <w:t>1.1.1 Stávající stav</w:t>
      </w:r>
    </w:p>
    <w:p w14:paraId="2D7BF5DC" w14:textId="459FB719" w:rsidR="009A56B0" w:rsidRPr="006070EA" w:rsidRDefault="009A56B0" w:rsidP="009A56B0">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Místní části Rozkoš, Lány, Hronětice a Vápensko nejsou v současné době zásobené pitnou vodou z veřejného vodovodu. Pitná voda je zajišťována pouze z domovních studní. Tato situace je z hlediska hygienického nepřípustná.</w:t>
      </w:r>
    </w:p>
    <w:p w14:paraId="0793D5B0" w14:textId="77777777" w:rsidR="009A56B0" w:rsidRPr="006070EA" w:rsidRDefault="009A56B0" w:rsidP="009A56B0">
      <w:pPr>
        <w:spacing w:before="120" w:after="120" w:line="240" w:lineRule="auto"/>
        <w:ind w:firstLine="709"/>
        <w:jc w:val="both"/>
        <w:rPr>
          <w:rFonts w:asciiTheme="majorHAnsi" w:hAnsiTheme="majorHAnsi" w:cstheme="majorHAnsi"/>
          <w:i/>
          <w:iCs/>
          <w:sz w:val="18"/>
          <w:u w:val="single"/>
        </w:rPr>
      </w:pPr>
      <w:r w:rsidRPr="006070EA">
        <w:rPr>
          <w:rFonts w:asciiTheme="majorHAnsi" w:hAnsiTheme="majorHAnsi" w:cstheme="majorHAnsi"/>
          <w:i/>
          <w:iCs/>
          <w:sz w:val="18"/>
          <w:u w:val="single"/>
        </w:rPr>
        <w:t>1.1.2 SO 01 Vodovod</w:t>
      </w:r>
    </w:p>
    <w:p w14:paraId="22FDFC68" w14:textId="301A70F1" w:rsidR="009A56B0" w:rsidRPr="006070EA" w:rsidRDefault="009A56B0" w:rsidP="009A56B0">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Vodovodní řady budou z materiálu PE100 RC, SDR11 s modrým pruhem a ochranným opláštěným příslušné dimenze. Potrubí bude svařováno pomocí elektrotvarovek v ostrých směrových lomech bude využito tvarovek – oblouků, v uzlech odbočných tvarovek. V úsecích prováděných horizontálním řízeným podvrtem, bude tyčovina svařována na tupo, nebo budou úseky zatahovány na délku tyčového potrubí a svařovány elektrotvarovkami. Potrubí určené pro bezvýkopové technologie musí být od výroby vybaveno povrchovou úpravou trubky, potaženou PP vrstvou chránící potrubí před mechanickým poškozením.</w:t>
      </w:r>
    </w:p>
    <w:p w14:paraId="5AFA6DBB" w14:textId="7CFE6FA6" w:rsidR="009A56B0" w:rsidRPr="006070EA" w:rsidRDefault="009A56B0" w:rsidP="009A56B0">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 xml:space="preserve">Vodovod je rozdělen na dvě části. První část jsou řady s názvem Vodovodní řad 1, 1-1, 1-2, 1-3 je napojen na vodovod v Kostomlatech nad Labem a dopravuje pitnou vodu do místní části Rozkoš, kde je rozvětven. Druhá část jsou řady s názvem Vodovodní řad </w:t>
      </w:r>
      <w:proofErr w:type="gramStart"/>
      <w:r w:rsidRPr="006070EA">
        <w:rPr>
          <w:rFonts w:asciiTheme="majorHAnsi" w:hAnsiTheme="majorHAnsi" w:cstheme="majorHAnsi"/>
          <w:i/>
          <w:iCs/>
          <w:sz w:val="18"/>
        </w:rPr>
        <w:t>2A</w:t>
      </w:r>
      <w:proofErr w:type="gramEnd"/>
      <w:r w:rsidRPr="006070EA">
        <w:rPr>
          <w:rFonts w:asciiTheme="majorHAnsi" w:hAnsiTheme="majorHAnsi" w:cstheme="majorHAnsi"/>
          <w:i/>
          <w:iCs/>
          <w:sz w:val="18"/>
        </w:rPr>
        <w:t xml:space="preserve">, </w:t>
      </w:r>
      <w:proofErr w:type="gramStart"/>
      <w:r w:rsidRPr="006070EA">
        <w:rPr>
          <w:rFonts w:asciiTheme="majorHAnsi" w:hAnsiTheme="majorHAnsi" w:cstheme="majorHAnsi"/>
          <w:i/>
          <w:iCs/>
          <w:sz w:val="18"/>
        </w:rPr>
        <w:t>2B</w:t>
      </w:r>
      <w:proofErr w:type="gramEnd"/>
      <w:r w:rsidRPr="006070EA">
        <w:rPr>
          <w:rFonts w:asciiTheme="majorHAnsi" w:hAnsiTheme="majorHAnsi" w:cstheme="majorHAnsi"/>
          <w:i/>
          <w:iCs/>
          <w:sz w:val="18"/>
        </w:rPr>
        <w:t xml:space="preserve">, </w:t>
      </w:r>
      <w:proofErr w:type="gramStart"/>
      <w:r w:rsidRPr="006070EA">
        <w:rPr>
          <w:rFonts w:asciiTheme="majorHAnsi" w:hAnsiTheme="majorHAnsi" w:cstheme="majorHAnsi"/>
          <w:i/>
          <w:iCs/>
          <w:sz w:val="18"/>
        </w:rPr>
        <w:t>2C</w:t>
      </w:r>
      <w:proofErr w:type="gramEnd"/>
      <w:r w:rsidRPr="006070EA">
        <w:rPr>
          <w:rFonts w:asciiTheme="majorHAnsi" w:hAnsiTheme="majorHAnsi" w:cstheme="majorHAnsi"/>
          <w:i/>
          <w:iCs/>
          <w:sz w:val="18"/>
        </w:rPr>
        <w:t xml:space="preserve">, </w:t>
      </w:r>
      <w:proofErr w:type="gramStart"/>
      <w:r w:rsidRPr="006070EA">
        <w:rPr>
          <w:rFonts w:asciiTheme="majorHAnsi" w:hAnsiTheme="majorHAnsi" w:cstheme="majorHAnsi"/>
          <w:i/>
          <w:iCs/>
          <w:sz w:val="18"/>
        </w:rPr>
        <w:t>2D</w:t>
      </w:r>
      <w:proofErr w:type="gramEnd"/>
      <w:r w:rsidRPr="006070EA">
        <w:rPr>
          <w:rFonts w:asciiTheme="majorHAnsi" w:hAnsiTheme="majorHAnsi" w:cstheme="majorHAnsi"/>
          <w:i/>
          <w:iCs/>
          <w:sz w:val="18"/>
        </w:rPr>
        <w:t>, 2-1, 2-2, 2-3, 2-4, 2-4-1, 2-4-2, 2-4-3, 2-5, 2-6, 2-7, 2-8, 2-9, 2-10, 2-11 a dopravují pitnou vodu do místní části Lány, Hronětice a Vápensko. Ve všech místních částech je rozvětven.</w:t>
      </w:r>
    </w:p>
    <w:p w14:paraId="150F66BF" w14:textId="790DA8BD" w:rsidR="009A56B0" w:rsidRPr="006070EA" w:rsidRDefault="009A56B0" w:rsidP="009A56B0">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Řad 1 kříží vodní tok Hronětický náhon a řad 2 kříží vodní tok Vlkava a Hronětický náhon, v těchto místech bude potrubí uloženo v chráničce realizovanou bezvýkopovou technologii. Krytí chráničky od dna potoka bude min. 1,2 m.</w:t>
      </w:r>
    </w:p>
    <w:p w14:paraId="16568539" w14:textId="77777777" w:rsidR="009A56B0" w:rsidRPr="006070EA" w:rsidRDefault="009A56B0" w:rsidP="009A56B0">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 xml:space="preserve">Dojde také ke křížení s dráhou u řadu 1 a řadu </w:t>
      </w:r>
      <w:proofErr w:type="gramStart"/>
      <w:r w:rsidRPr="006070EA">
        <w:rPr>
          <w:rFonts w:asciiTheme="majorHAnsi" w:hAnsiTheme="majorHAnsi" w:cstheme="majorHAnsi"/>
          <w:i/>
          <w:iCs/>
          <w:sz w:val="18"/>
        </w:rPr>
        <w:t>2A</w:t>
      </w:r>
      <w:proofErr w:type="gramEnd"/>
      <w:r w:rsidRPr="006070EA">
        <w:rPr>
          <w:rFonts w:asciiTheme="majorHAnsi" w:hAnsiTheme="majorHAnsi" w:cstheme="majorHAnsi"/>
          <w:i/>
          <w:iCs/>
          <w:sz w:val="18"/>
        </w:rPr>
        <w:t>. Jedná se o trať Všetaty – Nymburk. V těchto místech bude potrubí uloženo v chráničce realizovanou bezvýkopovou technologií. Krytí chráničky od vrchní části koleje s náspem bude min. 2,4 m a zároveň min. 1,4 m od paty náspu.</w:t>
      </w:r>
    </w:p>
    <w:p w14:paraId="1946C3AD" w14:textId="634983EA" w:rsidR="009A56B0" w:rsidRPr="006070EA" w:rsidRDefault="009A56B0" w:rsidP="009A56B0">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Vodovod nebude sloužit pro požární účely.</w:t>
      </w:r>
    </w:p>
    <w:p w14:paraId="10C4D61C" w14:textId="6E850996" w:rsidR="009A56B0" w:rsidRPr="006070EA" w:rsidRDefault="009A56B0" w:rsidP="009A56B0">
      <w:pPr>
        <w:spacing w:before="6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Současný systém skupinového vodovodu, na nějž je napojeno řešené území, je ucelený a provozně vyhovující. Kapacita vodárenské soustavy je vyhovující a disponuje dostatečnou rezervou i pro navrhovanou zástavbu v zastavitelných plochách. Doporučena je postupná rekonstrukce kapacitně a technicky nevyhovujících stávajících řadů. V rozvojových lokalitách budou vybudovány nové řady dle konkrétních zastavovacích dokumentů. Důraz bude kladen na zokruhování řadů a</w:t>
      </w:r>
      <w:r w:rsidR="00D4611A" w:rsidRPr="006070EA">
        <w:rPr>
          <w:rFonts w:asciiTheme="majorHAnsi" w:hAnsiTheme="majorHAnsi" w:cstheme="majorHAnsi"/>
          <w:sz w:val="18"/>
          <w:szCs w:val="20"/>
        </w:rPr>
        <w:t> </w:t>
      </w:r>
      <w:r w:rsidRPr="006070EA">
        <w:rPr>
          <w:rFonts w:asciiTheme="majorHAnsi" w:hAnsiTheme="majorHAnsi" w:cstheme="majorHAnsi"/>
          <w:sz w:val="18"/>
          <w:szCs w:val="20"/>
        </w:rPr>
        <w:t>splnění požadavků příslušné ČSN.</w:t>
      </w:r>
    </w:p>
    <w:p w14:paraId="7265DFC5" w14:textId="57EF0D18" w:rsidR="00320F81" w:rsidRPr="006070EA" w:rsidRDefault="00320F81" w:rsidP="00320F81">
      <w:pPr>
        <w:spacing w:before="6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Na stávající </w:t>
      </w:r>
      <w:r w:rsidR="009A56B0" w:rsidRPr="006070EA">
        <w:rPr>
          <w:rFonts w:asciiTheme="majorHAnsi" w:hAnsiTheme="majorHAnsi" w:cstheme="majorHAnsi"/>
          <w:sz w:val="18"/>
          <w:szCs w:val="20"/>
        </w:rPr>
        <w:t xml:space="preserve">a navržený </w:t>
      </w:r>
      <w:r w:rsidRPr="006070EA">
        <w:rPr>
          <w:rFonts w:asciiTheme="majorHAnsi" w:hAnsiTheme="majorHAnsi" w:cstheme="majorHAnsi"/>
          <w:sz w:val="18"/>
          <w:szCs w:val="20"/>
        </w:rPr>
        <w:t>systém vodovodu budou dle potřeby napojovány nově navržené zastavitelné plochy prodloužením stávajících řadů</w:t>
      </w:r>
      <w:r w:rsidR="009A56B0" w:rsidRPr="006070EA">
        <w:rPr>
          <w:rFonts w:asciiTheme="majorHAnsi" w:hAnsiTheme="majorHAnsi" w:cstheme="majorHAnsi"/>
          <w:sz w:val="18"/>
          <w:szCs w:val="20"/>
        </w:rPr>
        <w:t xml:space="preserve"> a vybudováním nových ve vazbě na stavbu vodovodu v koridoru KTI1</w:t>
      </w:r>
      <w:r w:rsidRPr="006070EA">
        <w:rPr>
          <w:rFonts w:asciiTheme="majorHAnsi" w:hAnsiTheme="majorHAnsi" w:cstheme="majorHAnsi"/>
          <w:sz w:val="18"/>
          <w:szCs w:val="20"/>
        </w:rPr>
        <w:t xml:space="preserve">. Zastavitelné plochy jsou lokalizovány v maximální míře v dosahu stávající </w:t>
      </w:r>
      <w:r w:rsidR="009A56B0" w:rsidRPr="006070EA">
        <w:rPr>
          <w:rFonts w:asciiTheme="majorHAnsi" w:hAnsiTheme="majorHAnsi" w:cstheme="majorHAnsi"/>
          <w:sz w:val="18"/>
          <w:szCs w:val="20"/>
        </w:rPr>
        <w:t xml:space="preserve">a plánované </w:t>
      </w:r>
      <w:r w:rsidRPr="006070EA">
        <w:rPr>
          <w:rFonts w:asciiTheme="majorHAnsi" w:hAnsiTheme="majorHAnsi" w:cstheme="majorHAnsi"/>
          <w:sz w:val="18"/>
          <w:szCs w:val="20"/>
        </w:rPr>
        <w:t>infrastruktury s minimálními nároky na jejich rozšiřování a</w:t>
      </w:r>
      <w:r w:rsidR="009A56B0" w:rsidRPr="006070EA">
        <w:rPr>
          <w:rFonts w:asciiTheme="majorHAnsi" w:hAnsiTheme="majorHAnsi" w:cstheme="majorHAnsi"/>
          <w:sz w:val="18"/>
          <w:szCs w:val="20"/>
        </w:rPr>
        <w:t> </w:t>
      </w:r>
      <w:r w:rsidRPr="006070EA">
        <w:rPr>
          <w:rFonts w:asciiTheme="majorHAnsi" w:hAnsiTheme="majorHAnsi" w:cstheme="majorHAnsi"/>
          <w:sz w:val="18"/>
          <w:szCs w:val="20"/>
        </w:rPr>
        <w:t>souvisejícími nároky na veřejné rozpočty. Územním plánem jsou v rámci hlavního, přípustného či podmíněně přípustného využití stanoveny podmínky pro realizaci staveb a sítí technické infrastruktury ve všech plochách s rozdílným způsobem využití. Rozvody vody v zastavěném území a zastavitelných plochách je nutné řešit přednostně v rámci ploch veřejných prostranství a</w:t>
      </w:r>
      <w:r w:rsidR="001C7E4C" w:rsidRPr="006070EA">
        <w:rPr>
          <w:rFonts w:asciiTheme="majorHAnsi" w:hAnsiTheme="majorHAnsi" w:cstheme="majorHAnsi"/>
          <w:sz w:val="18"/>
          <w:szCs w:val="20"/>
        </w:rPr>
        <w:t> </w:t>
      </w:r>
      <w:r w:rsidRPr="006070EA">
        <w:rPr>
          <w:rFonts w:asciiTheme="majorHAnsi" w:hAnsiTheme="majorHAnsi" w:cstheme="majorHAnsi"/>
          <w:sz w:val="18"/>
          <w:szCs w:val="20"/>
        </w:rPr>
        <w:t>ploch dopravní a technické infrastruktury s ohledem na jejich údržbu a provoz. Tím je zajištěno jejich umístění mimo pozemky soukromých vlastníků, efektivní využití a správa sítí. Důvodem je mimo jiné požadavek PÚR ČR (priorita 27) „Vytvářet podmínky pro koordinované umísťování veřejné infrastruktury v území a její rozvoj a tím podporovat její účelné využívání v rámci sídelní struktury.“</w:t>
      </w:r>
    </w:p>
    <w:p w14:paraId="49466F85" w14:textId="77777777" w:rsidR="00320F81" w:rsidRPr="006070EA" w:rsidRDefault="00320F81" w:rsidP="00320F81">
      <w:pPr>
        <w:spacing w:before="6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Vodovodní řady budou v maximální míře zokruhovány z důvodu spolehlivosti systému a kvalitativních hledisek, zejména zajištění lepších tlakových podmínek v síti, lepší jakost vody díky cirkulaci a rovnoměrné rozdělování vody i v období nedostatku. Zokruhování vodovodní sítě je doporučováno u větších spotřebišť s převažujícím plošným charakterem zástavby. </w:t>
      </w:r>
    </w:p>
    <w:p w14:paraId="2E310AF9" w14:textId="509D6A06" w:rsidR="00320F81" w:rsidRPr="006070EA" w:rsidRDefault="00320F81" w:rsidP="00320F81">
      <w:pPr>
        <w:spacing w:before="6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Při realizaci nové zástavby je třeba postupovat v souladu s ustanovením § 5 zákona č. 254/2001 Sb., o vodách a</w:t>
      </w:r>
      <w:r w:rsidR="00D4611A" w:rsidRPr="006070EA">
        <w:rPr>
          <w:rFonts w:asciiTheme="majorHAnsi" w:hAnsiTheme="majorHAnsi" w:cstheme="majorHAnsi"/>
          <w:sz w:val="18"/>
          <w:szCs w:val="20"/>
        </w:rPr>
        <w:t> </w:t>
      </w:r>
      <w:r w:rsidRPr="006070EA">
        <w:rPr>
          <w:rFonts w:asciiTheme="majorHAnsi" w:hAnsiTheme="majorHAnsi" w:cstheme="majorHAnsi"/>
          <w:sz w:val="18"/>
          <w:szCs w:val="20"/>
        </w:rPr>
        <w:t>o</w:t>
      </w:r>
      <w:r w:rsidR="00D4611A" w:rsidRPr="006070EA">
        <w:rPr>
          <w:rFonts w:asciiTheme="majorHAnsi" w:hAnsiTheme="majorHAnsi" w:cstheme="majorHAnsi"/>
          <w:sz w:val="18"/>
          <w:szCs w:val="20"/>
        </w:rPr>
        <w:t> </w:t>
      </w:r>
      <w:r w:rsidRPr="006070EA">
        <w:rPr>
          <w:rFonts w:asciiTheme="majorHAnsi" w:hAnsiTheme="majorHAnsi" w:cstheme="majorHAnsi"/>
          <w:sz w:val="18"/>
          <w:szCs w:val="20"/>
        </w:rPr>
        <w:t>změně některých zákonů (vodní zákon), ve znění pozdějších předpisů, tzn. zabezpečit zásobování těchto lokalit vodou a</w:t>
      </w:r>
      <w:r w:rsidR="00D4611A" w:rsidRPr="006070EA">
        <w:rPr>
          <w:rFonts w:asciiTheme="majorHAnsi" w:hAnsiTheme="majorHAnsi" w:cstheme="majorHAnsi"/>
          <w:sz w:val="18"/>
          <w:szCs w:val="20"/>
        </w:rPr>
        <w:t> </w:t>
      </w:r>
      <w:r w:rsidRPr="006070EA">
        <w:rPr>
          <w:rFonts w:asciiTheme="majorHAnsi" w:hAnsiTheme="majorHAnsi" w:cstheme="majorHAnsi"/>
          <w:sz w:val="18"/>
          <w:szCs w:val="20"/>
        </w:rPr>
        <w:t>zajistit odvádění, čištění, popřípadě jiné zneškodňování odpadních vod.</w:t>
      </w:r>
    </w:p>
    <w:p w14:paraId="19985A53" w14:textId="1DFB1FF9" w:rsidR="00320F81" w:rsidRPr="006070EA" w:rsidRDefault="00320F81" w:rsidP="00320F81">
      <w:pPr>
        <w:spacing w:before="60"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Zákres stávajících vodovodních řadů včetně objektů na síti je znázorněn v grafické části </w:t>
      </w:r>
      <w:r w:rsidR="00D4611A" w:rsidRPr="006070EA">
        <w:rPr>
          <w:rFonts w:asciiTheme="majorHAnsi" w:hAnsiTheme="majorHAnsi" w:cstheme="majorHAnsi"/>
          <w:sz w:val="18"/>
          <w:szCs w:val="20"/>
        </w:rPr>
        <w:t>Odůvodnění ú</w:t>
      </w:r>
      <w:r w:rsidRPr="006070EA">
        <w:rPr>
          <w:rFonts w:asciiTheme="majorHAnsi" w:hAnsiTheme="majorHAnsi" w:cstheme="majorHAnsi"/>
          <w:sz w:val="18"/>
          <w:szCs w:val="20"/>
        </w:rPr>
        <w:t xml:space="preserve">zemního plánu ve výkrese </w:t>
      </w:r>
      <w:r w:rsidR="00D4611A" w:rsidRPr="006070EA">
        <w:rPr>
          <w:rFonts w:asciiTheme="majorHAnsi" w:hAnsiTheme="majorHAnsi" w:cstheme="majorHAnsi"/>
          <w:sz w:val="18"/>
          <w:szCs w:val="20"/>
        </w:rPr>
        <w:t>1</w:t>
      </w:r>
      <w:r w:rsidRPr="006070EA">
        <w:rPr>
          <w:rFonts w:asciiTheme="majorHAnsi" w:hAnsiTheme="majorHAnsi" w:cstheme="majorHAnsi"/>
          <w:sz w:val="18"/>
          <w:szCs w:val="20"/>
        </w:rPr>
        <w:t xml:space="preserve"> </w:t>
      </w:r>
      <w:r w:rsidR="00D4611A" w:rsidRPr="006070EA">
        <w:rPr>
          <w:rFonts w:asciiTheme="majorHAnsi" w:hAnsiTheme="majorHAnsi" w:cstheme="majorHAnsi"/>
          <w:sz w:val="18"/>
          <w:szCs w:val="20"/>
        </w:rPr>
        <w:t>Koordinační v</w:t>
      </w:r>
      <w:r w:rsidRPr="006070EA">
        <w:rPr>
          <w:rFonts w:asciiTheme="majorHAnsi" w:hAnsiTheme="majorHAnsi" w:cstheme="majorHAnsi"/>
          <w:sz w:val="18"/>
          <w:szCs w:val="20"/>
        </w:rPr>
        <w:t>ýkres. S ohledem na měřítko výkresů jde pouze o schematické vyjádření koncepce zásobování vodou bez vztahu k jednotlivým pozemkovým parcelám. V navazujících řízeních tak nejsou vyloučeny změny tras jednotlivých řadů a</w:t>
      </w:r>
      <w:r w:rsidR="001C7E4C" w:rsidRPr="006070EA">
        <w:rPr>
          <w:rFonts w:asciiTheme="majorHAnsi" w:hAnsiTheme="majorHAnsi" w:cstheme="majorHAnsi"/>
          <w:sz w:val="18"/>
          <w:szCs w:val="20"/>
        </w:rPr>
        <w:t> </w:t>
      </w:r>
      <w:r w:rsidRPr="006070EA">
        <w:rPr>
          <w:rFonts w:asciiTheme="majorHAnsi" w:hAnsiTheme="majorHAnsi" w:cstheme="majorHAnsi"/>
          <w:sz w:val="18"/>
          <w:szCs w:val="20"/>
        </w:rPr>
        <w:t>umístění objektů na vodovodní síti.</w:t>
      </w:r>
    </w:p>
    <w:p w14:paraId="3105F01E" w14:textId="77777777" w:rsidR="007918D8" w:rsidRPr="006070EA" w:rsidRDefault="007918D8" w:rsidP="007918D8">
      <w:pPr>
        <w:spacing w:before="60" w:after="60" w:line="240" w:lineRule="auto"/>
        <w:jc w:val="both"/>
        <w:rPr>
          <w:rFonts w:asciiTheme="majorHAnsi" w:hAnsiTheme="majorHAnsi" w:cstheme="majorHAnsi"/>
          <w:b/>
          <w:sz w:val="18"/>
          <w:szCs w:val="20"/>
        </w:rPr>
      </w:pPr>
      <w:r w:rsidRPr="006070EA">
        <w:rPr>
          <w:rFonts w:asciiTheme="majorHAnsi" w:hAnsiTheme="majorHAnsi" w:cstheme="majorHAnsi"/>
          <w:b/>
          <w:sz w:val="18"/>
          <w:szCs w:val="20"/>
        </w:rPr>
        <w:t>Nouzové zásobování obyvatelstva pitnou a užitkovou vodou</w:t>
      </w:r>
    </w:p>
    <w:p w14:paraId="0DE8E90A" w14:textId="0A3F4A7E" w:rsidR="00D4611A" w:rsidRPr="006070EA" w:rsidRDefault="00D4611A" w:rsidP="00D4611A">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Nouzové zásobování pitnou vodou vychází ze schváleného Plánu rozvoje vodovodů a kanalizací (PRVK) Středočeského kraje. </w:t>
      </w:r>
    </w:p>
    <w:p w14:paraId="3B40EC31" w14:textId="77777777" w:rsidR="00D4611A" w:rsidRPr="006070EA" w:rsidRDefault="00D4611A" w:rsidP="00D4611A">
      <w:pPr>
        <w:pStyle w:val="Atext"/>
        <w:rPr>
          <w:rFonts w:asciiTheme="majorHAnsi" w:hAnsiTheme="majorHAnsi" w:cstheme="majorHAnsi"/>
          <w:color w:val="000000"/>
          <w:szCs w:val="18"/>
        </w:rPr>
      </w:pPr>
      <w:r w:rsidRPr="006070EA">
        <w:rPr>
          <w:rFonts w:asciiTheme="majorHAnsi" w:hAnsiTheme="majorHAnsi" w:cstheme="majorHAnsi"/>
          <w:color w:val="000000"/>
          <w:szCs w:val="18"/>
        </w:rPr>
        <w:t>Nouzové zásobování pitnou vodou bude zajišťováno dopravou pitné vody v množství maximálně 15 l/den × obyvatele cisternami. Zásobení pitnou vodou bude doplňováno balenou vodou. Plochy pro zajištění potřeb nouzového zásobování obyvatelstva vodou jsou vymezeny na veřejných prostranstvích.</w:t>
      </w:r>
    </w:p>
    <w:p w14:paraId="44B1D92F" w14:textId="77777777" w:rsidR="00D4611A" w:rsidRPr="006070EA" w:rsidRDefault="00D4611A" w:rsidP="00D4611A">
      <w:pPr>
        <w:pStyle w:val="Atext"/>
        <w:rPr>
          <w:rFonts w:asciiTheme="majorHAnsi" w:hAnsiTheme="majorHAnsi" w:cstheme="majorHAnsi"/>
          <w:color w:val="000000"/>
          <w:szCs w:val="18"/>
        </w:rPr>
      </w:pPr>
      <w:r w:rsidRPr="006070EA">
        <w:rPr>
          <w:rFonts w:asciiTheme="majorHAnsi" w:hAnsiTheme="majorHAnsi" w:cstheme="majorHAnsi"/>
          <w:color w:val="000000"/>
          <w:szCs w:val="18"/>
        </w:rPr>
        <w:t>Nouzové zásobování užitkovou vodou bude zajišťováno z domovních studní. Při využívání zdrojů pro zásobení užitkovou vodou se bude postupovat podle pokynů územně příslušného hygienika.</w:t>
      </w:r>
    </w:p>
    <w:p w14:paraId="00AEEB54" w14:textId="77777777" w:rsidR="007918D8" w:rsidRPr="006070EA" w:rsidRDefault="007918D8" w:rsidP="001C7E4C">
      <w:pPr>
        <w:keepNext/>
        <w:spacing w:before="120" w:after="120" w:line="240" w:lineRule="auto"/>
        <w:jc w:val="both"/>
        <w:rPr>
          <w:rFonts w:asciiTheme="majorHAnsi" w:hAnsiTheme="majorHAnsi" w:cstheme="majorHAnsi"/>
          <w:b/>
          <w:sz w:val="18"/>
        </w:rPr>
      </w:pPr>
      <w:r w:rsidRPr="006070EA">
        <w:rPr>
          <w:rFonts w:asciiTheme="majorHAnsi" w:hAnsiTheme="majorHAnsi" w:cstheme="majorHAnsi"/>
          <w:b/>
          <w:sz w:val="18"/>
        </w:rPr>
        <w:lastRenderedPageBreak/>
        <w:t>Ochranná pásma vodních zdrojů</w:t>
      </w:r>
    </w:p>
    <w:p w14:paraId="5186AFBC" w14:textId="3D0EF00C" w:rsidR="0092759A" w:rsidRPr="006070EA" w:rsidRDefault="0092759A" w:rsidP="00085FAA">
      <w:pPr>
        <w:spacing w:before="120" w:after="120" w:line="240" w:lineRule="auto"/>
        <w:ind w:firstLine="709"/>
        <w:jc w:val="both"/>
        <w:rPr>
          <w:rFonts w:asciiTheme="majorHAnsi" w:hAnsiTheme="majorHAnsi" w:cstheme="majorHAnsi"/>
          <w:bCs/>
          <w:iCs/>
          <w:sz w:val="18"/>
        </w:rPr>
      </w:pPr>
      <w:r w:rsidRPr="006070EA">
        <w:rPr>
          <w:rFonts w:asciiTheme="majorHAnsi" w:hAnsiTheme="majorHAnsi" w:cstheme="majorHAnsi"/>
          <w:bCs/>
          <w:iCs/>
          <w:sz w:val="18"/>
        </w:rPr>
        <w:t>D</w:t>
      </w:r>
      <w:r w:rsidR="007918D8" w:rsidRPr="006070EA">
        <w:rPr>
          <w:rFonts w:asciiTheme="majorHAnsi" w:hAnsiTheme="majorHAnsi" w:cstheme="majorHAnsi"/>
          <w:bCs/>
          <w:iCs/>
          <w:sz w:val="18"/>
        </w:rPr>
        <w:t>o řešeného území zasahuj</w:t>
      </w:r>
      <w:r w:rsidRPr="006070EA">
        <w:rPr>
          <w:rFonts w:asciiTheme="majorHAnsi" w:hAnsiTheme="majorHAnsi" w:cstheme="majorHAnsi"/>
          <w:bCs/>
          <w:iCs/>
          <w:sz w:val="18"/>
        </w:rPr>
        <w:t>e</w:t>
      </w:r>
      <w:r w:rsidR="007918D8" w:rsidRPr="006070EA">
        <w:rPr>
          <w:rFonts w:asciiTheme="majorHAnsi" w:hAnsiTheme="majorHAnsi" w:cstheme="majorHAnsi"/>
          <w:bCs/>
          <w:iCs/>
          <w:sz w:val="18"/>
        </w:rPr>
        <w:t xml:space="preserve"> ochrann</w:t>
      </w:r>
      <w:r w:rsidRPr="006070EA">
        <w:rPr>
          <w:rFonts w:asciiTheme="majorHAnsi" w:hAnsiTheme="majorHAnsi" w:cstheme="majorHAnsi"/>
          <w:bCs/>
          <w:iCs/>
          <w:sz w:val="18"/>
        </w:rPr>
        <w:t>é</w:t>
      </w:r>
      <w:r w:rsidR="007918D8" w:rsidRPr="006070EA">
        <w:rPr>
          <w:rFonts w:asciiTheme="majorHAnsi" w:hAnsiTheme="majorHAnsi" w:cstheme="majorHAnsi"/>
          <w:bCs/>
          <w:iCs/>
          <w:sz w:val="18"/>
        </w:rPr>
        <w:t xml:space="preserve"> pásm</w:t>
      </w:r>
      <w:r w:rsidRPr="006070EA">
        <w:rPr>
          <w:rFonts w:asciiTheme="majorHAnsi" w:hAnsiTheme="majorHAnsi" w:cstheme="majorHAnsi"/>
          <w:bCs/>
          <w:iCs/>
          <w:sz w:val="18"/>
        </w:rPr>
        <w:t>o</w:t>
      </w:r>
      <w:r w:rsidR="007918D8" w:rsidRPr="006070EA">
        <w:rPr>
          <w:rFonts w:asciiTheme="majorHAnsi" w:hAnsiTheme="majorHAnsi" w:cstheme="majorHAnsi"/>
          <w:bCs/>
          <w:iCs/>
          <w:sz w:val="18"/>
        </w:rPr>
        <w:t xml:space="preserve"> vodní</w:t>
      </w:r>
      <w:r w:rsidRPr="006070EA">
        <w:rPr>
          <w:rFonts w:asciiTheme="majorHAnsi" w:hAnsiTheme="majorHAnsi" w:cstheme="majorHAnsi"/>
          <w:bCs/>
          <w:iCs/>
          <w:sz w:val="18"/>
        </w:rPr>
        <w:t>ho</w:t>
      </w:r>
      <w:r w:rsidR="007918D8" w:rsidRPr="006070EA">
        <w:rPr>
          <w:rFonts w:asciiTheme="majorHAnsi" w:hAnsiTheme="majorHAnsi" w:cstheme="majorHAnsi"/>
          <w:bCs/>
          <w:iCs/>
          <w:sz w:val="18"/>
        </w:rPr>
        <w:t xml:space="preserve"> zdroj</w:t>
      </w:r>
      <w:r w:rsidRPr="006070EA">
        <w:rPr>
          <w:rFonts w:asciiTheme="majorHAnsi" w:hAnsiTheme="majorHAnsi" w:cstheme="majorHAnsi"/>
          <w:bCs/>
          <w:iCs/>
          <w:sz w:val="18"/>
        </w:rPr>
        <w:t>e</w:t>
      </w:r>
      <w:r w:rsidR="007918D8" w:rsidRPr="006070EA">
        <w:rPr>
          <w:rFonts w:asciiTheme="majorHAnsi" w:hAnsiTheme="majorHAnsi" w:cstheme="majorHAnsi"/>
          <w:bCs/>
          <w:iCs/>
          <w:sz w:val="18"/>
        </w:rPr>
        <w:t xml:space="preserve"> II. stupně</w:t>
      </w:r>
      <w:r w:rsidR="00D4611A" w:rsidRPr="006070EA">
        <w:rPr>
          <w:rFonts w:asciiTheme="majorHAnsi" w:hAnsiTheme="majorHAnsi" w:cstheme="majorHAnsi"/>
          <w:bCs/>
          <w:iCs/>
          <w:sz w:val="18"/>
        </w:rPr>
        <w:t xml:space="preserve"> (</w:t>
      </w:r>
      <w:proofErr w:type="gramStart"/>
      <w:r w:rsidR="00D4611A" w:rsidRPr="006070EA">
        <w:rPr>
          <w:rFonts w:asciiTheme="majorHAnsi" w:hAnsiTheme="majorHAnsi" w:cstheme="majorHAnsi"/>
          <w:bCs/>
          <w:iCs/>
          <w:sz w:val="18"/>
        </w:rPr>
        <w:t>2a</w:t>
      </w:r>
      <w:proofErr w:type="gramEnd"/>
      <w:r w:rsidR="00D4611A" w:rsidRPr="006070EA">
        <w:rPr>
          <w:rFonts w:asciiTheme="majorHAnsi" w:hAnsiTheme="majorHAnsi" w:cstheme="majorHAnsi"/>
          <w:bCs/>
          <w:iCs/>
          <w:sz w:val="18"/>
        </w:rPr>
        <w:t xml:space="preserve">, </w:t>
      </w:r>
      <w:proofErr w:type="gramStart"/>
      <w:r w:rsidR="00D4611A" w:rsidRPr="006070EA">
        <w:rPr>
          <w:rFonts w:asciiTheme="majorHAnsi" w:hAnsiTheme="majorHAnsi" w:cstheme="majorHAnsi"/>
          <w:bCs/>
          <w:iCs/>
          <w:sz w:val="18"/>
        </w:rPr>
        <w:t>2b</w:t>
      </w:r>
      <w:proofErr w:type="gramEnd"/>
      <w:r w:rsidR="00D4611A" w:rsidRPr="006070EA">
        <w:rPr>
          <w:rFonts w:asciiTheme="majorHAnsi" w:hAnsiTheme="majorHAnsi" w:cstheme="majorHAnsi"/>
          <w:bCs/>
          <w:iCs/>
          <w:sz w:val="18"/>
        </w:rPr>
        <w:t>)</w:t>
      </w:r>
      <w:r w:rsidR="00085FAA" w:rsidRPr="006070EA">
        <w:rPr>
          <w:rFonts w:asciiTheme="majorHAnsi" w:hAnsiTheme="majorHAnsi" w:cstheme="majorHAnsi"/>
          <w:bCs/>
          <w:iCs/>
          <w:sz w:val="18"/>
        </w:rPr>
        <w:t>, ochranné pásmo přírodního léčivého zdroje a ochranné pásmo zařízení ČHMÚ</w:t>
      </w:r>
      <w:r w:rsidRPr="006070EA">
        <w:rPr>
          <w:rFonts w:asciiTheme="majorHAnsi" w:hAnsiTheme="majorHAnsi" w:cstheme="majorHAnsi"/>
          <w:bCs/>
          <w:iCs/>
          <w:sz w:val="18"/>
        </w:rPr>
        <w:t>, kter</w:t>
      </w:r>
      <w:r w:rsidR="00085FAA" w:rsidRPr="006070EA">
        <w:rPr>
          <w:rFonts w:asciiTheme="majorHAnsi" w:hAnsiTheme="majorHAnsi" w:cstheme="majorHAnsi"/>
          <w:bCs/>
          <w:iCs/>
          <w:sz w:val="18"/>
        </w:rPr>
        <w:t>á</w:t>
      </w:r>
      <w:r w:rsidRPr="006070EA">
        <w:rPr>
          <w:rFonts w:asciiTheme="majorHAnsi" w:hAnsiTheme="majorHAnsi" w:cstheme="majorHAnsi"/>
          <w:bCs/>
          <w:iCs/>
          <w:sz w:val="18"/>
        </w:rPr>
        <w:t xml:space="preserve"> j</w:t>
      </w:r>
      <w:r w:rsidR="00085FAA" w:rsidRPr="006070EA">
        <w:rPr>
          <w:rFonts w:asciiTheme="majorHAnsi" w:hAnsiTheme="majorHAnsi" w:cstheme="majorHAnsi"/>
          <w:bCs/>
          <w:iCs/>
          <w:sz w:val="18"/>
        </w:rPr>
        <w:t>sou</w:t>
      </w:r>
      <w:r w:rsidRPr="006070EA">
        <w:rPr>
          <w:rFonts w:asciiTheme="majorHAnsi" w:hAnsiTheme="majorHAnsi" w:cstheme="majorHAnsi"/>
          <w:bCs/>
          <w:iCs/>
          <w:sz w:val="18"/>
        </w:rPr>
        <w:t xml:space="preserve"> ú</w:t>
      </w:r>
      <w:r w:rsidR="007918D8" w:rsidRPr="006070EA">
        <w:rPr>
          <w:rFonts w:asciiTheme="majorHAnsi" w:hAnsiTheme="majorHAnsi" w:cstheme="majorHAnsi"/>
          <w:bCs/>
          <w:iCs/>
          <w:sz w:val="18"/>
        </w:rPr>
        <w:t>zemním plánem respektován</w:t>
      </w:r>
      <w:r w:rsidR="00085FAA" w:rsidRPr="006070EA">
        <w:rPr>
          <w:rFonts w:asciiTheme="majorHAnsi" w:hAnsiTheme="majorHAnsi" w:cstheme="majorHAnsi"/>
          <w:bCs/>
          <w:iCs/>
          <w:sz w:val="18"/>
        </w:rPr>
        <w:t>y</w:t>
      </w:r>
      <w:r w:rsidR="007918D8" w:rsidRPr="006070EA">
        <w:rPr>
          <w:rFonts w:asciiTheme="majorHAnsi" w:hAnsiTheme="majorHAnsi" w:cstheme="majorHAnsi"/>
          <w:bCs/>
          <w:iCs/>
          <w:sz w:val="18"/>
        </w:rPr>
        <w:t xml:space="preserve"> </w:t>
      </w:r>
      <w:r w:rsidRPr="006070EA">
        <w:rPr>
          <w:rFonts w:asciiTheme="majorHAnsi" w:hAnsiTheme="majorHAnsi" w:cstheme="majorHAnsi"/>
          <w:bCs/>
          <w:iCs/>
          <w:sz w:val="18"/>
        </w:rPr>
        <w:t>jako limit</w:t>
      </w:r>
      <w:r w:rsidR="00085FAA" w:rsidRPr="006070EA">
        <w:rPr>
          <w:rFonts w:asciiTheme="majorHAnsi" w:hAnsiTheme="majorHAnsi" w:cstheme="majorHAnsi"/>
          <w:bCs/>
          <w:iCs/>
          <w:sz w:val="18"/>
        </w:rPr>
        <w:t>y</w:t>
      </w:r>
      <w:r w:rsidRPr="006070EA">
        <w:rPr>
          <w:rFonts w:asciiTheme="majorHAnsi" w:hAnsiTheme="majorHAnsi" w:cstheme="majorHAnsi"/>
          <w:bCs/>
          <w:iCs/>
          <w:sz w:val="18"/>
        </w:rPr>
        <w:t xml:space="preserve"> využití území. </w:t>
      </w:r>
      <w:r w:rsidR="00085FAA" w:rsidRPr="006070EA">
        <w:rPr>
          <w:rFonts w:asciiTheme="majorHAnsi" w:hAnsiTheme="majorHAnsi" w:cstheme="majorHAnsi"/>
          <w:bCs/>
          <w:iCs/>
          <w:sz w:val="18"/>
        </w:rPr>
        <w:t>Jejich g</w:t>
      </w:r>
      <w:r w:rsidRPr="006070EA">
        <w:rPr>
          <w:rFonts w:asciiTheme="majorHAnsi" w:hAnsiTheme="majorHAnsi" w:cstheme="majorHAnsi"/>
          <w:bCs/>
          <w:iCs/>
          <w:sz w:val="18"/>
        </w:rPr>
        <w:t xml:space="preserve">rafické znázornění je obsahem </w:t>
      </w:r>
      <w:r w:rsidR="007918D8" w:rsidRPr="006070EA">
        <w:rPr>
          <w:rFonts w:asciiTheme="majorHAnsi" w:hAnsiTheme="majorHAnsi" w:cstheme="majorHAnsi"/>
          <w:sz w:val="18"/>
        </w:rPr>
        <w:t>výkres</w:t>
      </w:r>
      <w:r w:rsidRPr="006070EA">
        <w:rPr>
          <w:rFonts w:asciiTheme="majorHAnsi" w:hAnsiTheme="majorHAnsi" w:cstheme="majorHAnsi"/>
          <w:sz w:val="18"/>
        </w:rPr>
        <w:t>u</w:t>
      </w:r>
      <w:r w:rsidR="00085FAA" w:rsidRPr="006070EA">
        <w:rPr>
          <w:rFonts w:asciiTheme="majorHAnsi" w:hAnsiTheme="majorHAnsi" w:cstheme="majorHAnsi"/>
          <w:sz w:val="18"/>
        </w:rPr>
        <w:t xml:space="preserve"> </w:t>
      </w:r>
      <w:r w:rsidR="001C7E4C" w:rsidRPr="006070EA">
        <w:rPr>
          <w:rFonts w:asciiTheme="majorHAnsi" w:hAnsiTheme="majorHAnsi" w:cstheme="majorHAnsi"/>
          <w:i/>
          <w:sz w:val="18"/>
        </w:rPr>
        <w:t>4</w:t>
      </w:r>
      <w:r w:rsidR="007918D8" w:rsidRPr="006070EA">
        <w:rPr>
          <w:rFonts w:asciiTheme="majorHAnsi" w:hAnsiTheme="majorHAnsi" w:cstheme="majorHAnsi"/>
          <w:i/>
          <w:sz w:val="18"/>
        </w:rPr>
        <w:t xml:space="preserve"> Koordinační výkres.</w:t>
      </w:r>
      <w:r w:rsidR="007918D8" w:rsidRPr="006070EA">
        <w:rPr>
          <w:rFonts w:asciiTheme="majorHAnsi" w:hAnsiTheme="majorHAnsi" w:cstheme="majorHAnsi"/>
          <w:bCs/>
          <w:iCs/>
          <w:sz w:val="18"/>
        </w:rPr>
        <w:t xml:space="preserve"> </w:t>
      </w:r>
    </w:p>
    <w:p w14:paraId="37109E4F" w14:textId="77777777" w:rsidR="007918D8" w:rsidRPr="006070EA" w:rsidRDefault="007918D8" w:rsidP="00085FAA">
      <w:pPr>
        <w:spacing w:before="120" w:after="120" w:line="240" w:lineRule="auto"/>
        <w:ind w:firstLine="709"/>
        <w:jc w:val="both"/>
        <w:rPr>
          <w:rFonts w:asciiTheme="majorHAnsi" w:hAnsiTheme="majorHAnsi" w:cstheme="majorHAnsi"/>
          <w:bCs/>
          <w:iCs/>
          <w:sz w:val="18"/>
        </w:rPr>
      </w:pPr>
      <w:r w:rsidRPr="006070EA">
        <w:rPr>
          <w:rFonts w:asciiTheme="majorHAnsi" w:hAnsiTheme="majorHAnsi" w:cstheme="majorHAnsi"/>
          <w:bCs/>
          <w:iCs/>
          <w:sz w:val="18"/>
        </w:rPr>
        <w:t>Ochranná pásma vodovodních řadů jsou popsána v následující kapitole souhrnně s ochrannými pásmy kanalizačních</w:t>
      </w:r>
      <w:r w:rsidR="0092759A" w:rsidRPr="006070EA">
        <w:rPr>
          <w:rFonts w:asciiTheme="majorHAnsi" w:hAnsiTheme="majorHAnsi" w:cstheme="majorHAnsi"/>
          <w:bCs/>
          <w:iCs/>
          <w:sz w:val="18"/>
        </w:rPr>
        <w:t> </w:t>
      </w:r>
      <w:r w:rsidRPr="006070EA">
        <w:rPr>
          <w:rFonts w:asciiTheme="majorHAnsi" w:hAnsiTheme="majorHAnsi" w:cstheme="majorHAnsi"/>
          <w:bCs/>
          <w:iCs/>
          <w:sz w:val="18"/>
        </w:rPr>
        <w:t xml:space="preserve">řadů. </w:t>
      </w:r>
    </w:p>
    <w:p w14:paraId="24679465" w14:textId="77777777" w:rsidR="00AB1F4C" w:rsidRPr="006070EA" w:rsidRDefault="007918D8" w:rsidP="00EF7B4B">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Kanalizace a odstraňování odpadních vod</w:t>
      </w:r>
    </w:p>
    <w:p w14:paraId="34B4A568" w14:textId="0343405A" w:rsidR="00CB02FC" w:rsidRPr="006070EA" w:rsidRDefault="00CB02FC" w:rsidP="00EF7B4B">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085FAA" w:rsidRPr="006070EA">
        <w:rPr>
          <w:rFonts w:asciiTheme="majorHAnsi" w:hAnsiTheme="majorHAnsi" w:cstheme="majorHAnsi"/>
          <w:b/>
          <w:i/>
          <w:snapToGrid w:val="0"/>
          <w:u w:val="single"/>
        </w:rPr>
        <w:t>3</w:t>
      </w:r>
      <w:r w:rsidR="007F6EAE">
        <w:rPr>
          <w:rFonts w:asciiTheme="majorHAnsi" w:hAnsiTheme="majorHAnsi" w:cstheme="majorHAnsi"/>
          <w:b/>
          <w:i/>
          <w:snapToGrid w:val="0"/>
          <w:u w:val="single"/>
        </w:rPr>
        <w:t>7</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113A61E6" w14:textId="77777777" w:rsidR="00AB1F4C" w:rsidRPr="006070EA" w:rsidRDefault="004D10E6" w:rsidP="00EF7B4B">
      <w:pPr>
        <w:keepNext/>
        <w:spacing w:before="120" w:after="120" w:line="240" w:lineRule="auto"/>
        <w:jc w:val="both"/>
        <w:rPr>
          <w:rFonts w:asciiTheme="majorHAnsi" w:hAnsiTheme="majorHAnsi" w:cstheme="majorHAnsi"/>
          <w:b/>
          <w:sz w:val="18"/>
        </w:rPr>
      </w:pPr>
      <w:r w:rsidRPr="006070EA">
        <w:rPr>
          <w:rFonts w:asciiTheme="majorHAnsi" w:hAnsiTheme="majorHAnsi" w:cstheme="majorHAnsi"/>
          <w:b/>
          <w:sz w:val="18"/>
        </w:rPr>
        <w:t xml:space="preserve">Popis stávající situace </w:t>
      </w:r>
      <w:r w:rsidR="00EB289F" w:rsidRPr="006070EA">
        <w:rPr>
          <w:rFonts w:asciiTheme="majorHAnsi" w:hAnsiTheme="majorHAnsi" w:cstheme="majorHAnsi"/>
          <w:b/>
          <w:sz w:val="18"/>
        </w:rPr>
        <w:t>a návrh</w:t>
      </w:r>
    </w:p>
    <w:p w14:paraId="35113533" w14:textId="749B6ACA" w:rsidR="0013478F" w:rsidRPr="006070EA" w:rsidRDefault="0013478F" w:rsidP="001C7E4C">
      <w:pPr>
        <w:spacing w:before="120" w:after="120" w:line="240" w:lineRule="auto"/>
        <w:ind w:firstLine="709"/>
        <w:jc w:val="both"/>
        <w:rPr>
          <w:rFonts w:asciiTheme="majorHAnsi" w:hAnsiTheme="majorHAnsi" w:cstheme="majorHAnsi"/>
          <w:bCs/>
          <w:iCs/>
          <w:sz w:val="18"/>
        </w:rPr>
      </w:pPr>
      <w:r w:rsidRPr="006070EA">
        <w:rPr>
          <w:rFonts w:asciiTheme="majorHAnsi" w:hAnsiTheme="majorHAnsi" w:cstheme="majorHAnsi"/>
          <w:bCs/>
          <w:iCs/>
          <w:sz w:val="18"/>
        </w:rPr>
        <w:t>Odkanalizovány jsou všechny části obce spadající do správního území Kostomlat n</w:t>
      </w:r>
      <w:r w:rsidR="00085FAA" w:rsidRPr="006070EA">
        <w:rPr>
          <w:rFonts w:asciiTheme="majorHAnsi" w:hAnsiTheme="majorHAnsi" w:cstheme="majorHAnsi"/>
          <w:bCs/>
          <w:iCs/>
          <w:sz w:val="18"/>
        </w:rPr>
        <w:t>ad</w:t>
      </w:r>
      <w:r w:rsidRPr="006070EA">
        <w:rPr>
          <w:rFonts w:asciiTheme="majorHAnsi" w:hAnsiTheme="majorHAnsi" w:cstheme="majorHAnsi"/>
          <w:bCs/>
          <w:iCs/>
          <w:sz w:val="18"/>
        </w:rPr>
        <w:t xml:space="preserve"> L</w:t>
      </w:r>
      <w:r w:rsidR="00085FAA" w:rsidRPr="006070EA">
        <w:rPr>
          <w:rFonts w:asciiTheme="majorHAnsi" w:hAnsiTheme="majorHAnsi" w:cstheme="majorHAnsi"/>
          <w:bCs/>
          <w:iCs/>
          <w:sz w:val="18"/>
        </w:rPr>
        <w:t>abem</w:t>
      </w:r>
      <w:r w:rsidRPr="006070EA">
        <w:rPr>
          <w:rFonts w:asciiTheme="majorHAnsi" w:hAnsiTheme="majorHAnsi" w:cstheme="majorHAnsi"/>
          <w:bCs/>
          <w:iCs/>
          <w:sz w:val="18"/>
        </w:rPr>
        <w:t>, kromě částí obcí Vápensko a</w:t>
      </w:r>
      <w:r w:rsidR="00085FAA" w:rsidRPr="006070EA">
        <w:rPr>
          <w:rFonts w:asciiTheme="majorHAnsi" w:hAnsiTheme="majorHAnsi" w:cstheme="majorHAnsi"/>
          <w:bCs/>
          <w:iCs/>
          <w:sz w:val="18"/>
        </w:rPr>
        <w:t> </w:t>
      </w:r>
      <w:r w:rsidRPr="006070EA">
        <w:rPr>
          <w:rFonts w:asciiTheme="majorHAnsi" w:hAnsiTheme="majorHAnsi" w:cstheme="majorHAnsi"/>
          <w:bCs/>
          <w:iCs/>
          <w:sz w:val="18"/>
        </w:rPr>
        <w:t>Rozkoš, pro které je vypracována studie – Splašková kanalizace Vápensko a Rozkoš s variantami řešení (IKKO Hradec Králové, s.r.o.).</w:t>
      </w:r>
    </w:p>
    <w:p w14:paraId="64D3371B" w14:textId="04270AD6" w:rsidR="0013478F" w:rsidRPr="006070EA" w:rsidRDefault="003F4FD5" w:rsidP="001C7E4C">
      <w:pPr>
        <w:spacing w:before="120" w:after="120" w:line="240" w:lineRule="auto"/>
        <w:ind w:firstLine="709"/>
        <w:jc w:val="both"/>
        <w:rPr>
          <w:rFonts w:asciiTheme="majorHAnsi" w:hAnsiTheme="majorHAnsi" w:cstheme="majorHAnsi"/>
          <w:bCs/>
          <w:iCs/>
          <w:sz w:val="18"/>
        </w:rPr>
      </w:pPr>
      <w:r w:rsidRPr="006070EA">
        <w:rPr>
          <w:rFonts w:asciiTheme="majorHAnsi" w:hAnsiTheme="majorHAnsi" w:cstheme="majorHAnsi"/>
          <w:bCs/>
          <w:iCs/>
          <w:sz w:val="18"/>
        </w:rPr>
        <w:t>Odkanalizované m</w:t>
      </w:r>
      <w:r w:rsidR="00085FAA" w:rsidRPr="006070EA">
        <w:rPr>
          <w:rFonts w:asciiTheme="majorHAnsi" w:hAnsiTheme="majorHAnsi" w:cstheme="majorHAnsi"/>
          <w:bCs/>
          <w:iCs/>
          <w:sz w:val="18"/>
        </w:rPr>
        <w:t xml:space="preserve">ístní části mají </w:t>
      </w:r>
      <w:r w:rsidR="0013478F" w:rsidRPr="006070EA">
        <w:rPr>
          <w:rFonts w:asciiTheme="majorHAnsi" w:hAnsiTheme="majorHAnsi" w:cstheme="majorHAnsi"/>
          <w:bCs/>
          <w:iCs/>
          <w:sz w:val="18"/>
        </w:rPr>
        <w:t>systém oddílné splaškové podtlakové kanalizace. Na Kostomlaty nad Labem navazuje spádová část obce Lány a dále část obce Hronětice, kde byla vybudována tlaková kanalizace. V území žije v obydlených bytech s připojením na kanalizační síť 1</w:t>
      </w:r>
      <w:r w:rsidRPr="006070EA">
        <w:rPr>
          <w:rFonts w:asciiTheme="majorHAnsi" w:hAnsiTheme="majorHAnsi" w:cstheme="majorHAnsi"/>
          <w:bCs/>
          <w:iCs/>
          <w:sz w:val="18"/>
        </w:rPr>
        <w:t xml:space="preserve"> </w:t>
      </w:r>
      <w:r w:rsidR="0013478F" w:rsidRPr="006070EA">
        <w:rPr>
          <w:rFonts w:asciiTheme="majorHAnsi" w:hAnsiTheme="majorHAnsi" w:cstheme="majorHAnsi"/>
          <w:bCs/>
          <w:iCs/>
          <w:sz w:val="18"/>
        </w:rPr>
        <w:t xml:space="preserve">353 obyvatel, co činí 76,7 % všech obyvatel. Ostatní odpadní vody jsou svedeny do žump nebo septiků a jsou vyváženy na pole. Dešťové vody jsou odváděny dešťovou kanalizací do Vlkavy. </w:t>
      </w:r>
    </w:p>
    <w:p w14:paraId="15D7850C" w14:textId="4F8C2B9E" w:rsidR="0013478F" w:rsidRPr="006070EA" w:rsidRDefault="0013478F" w:rsidP="001C7E4C">
      <w:pPr>
        <w:spacing w:before="120" w:after="120" w:line="240" w:lineRule="auto"/>
        <w:ind w:firstLine="709"/>
        <w:jc w:val="both"/>
        <w:rPr>
          <w:rFonts w:asciiTheme="majorHAnsi" w:hAnsiTheme="majorHAnsi" w:cstheme="majorHAnsi"/>
          <w:bCs/>
          <w:iCs/>
          <w:sz w:val="18"/>
        </w:rPr>
      </w:pPr>
      <w:r w:rsidRPr="006070EA">
        <w:rPr>
          <w:rFonts w:asciiTheme="majorHAnsi" w:hAnsiTheme="majorHAnsi" w:cstheme="majorHAnsi"/>
          <w:bCs/>
          <w:iCs/>
          <w:sz w:val="18"/>
        </w:rPr>
        <w:t>Čistírna odpadních vod (ČOV), je vybudována na západním okraji obce Kostomlaty nad Labem. Čistírna byla navržena na počet 2</w:t>
      </w:r>
      <w:r w:rsidR="003F4FD5" w:rsidRPr="006070EA">
        <w:rPr>
          <w:rFonts w:asciiTheme="majorHAnsi" w:hAnsiTheme="majorHAnsi" w:cstheme="majorHAnsi"/>
          <w:bCs/>
          <w:iCs/>
          <w:sz w:val="18"/>
        </w:rPr>
        <w:t xml:space="preserve"> </w:t>
      </w:r>
      <w:r w:rsidRPr="006070EA">
        <w:rPr>
          <w:rFonts w:asciiTheme="majorHAnsi" w:hAnsiTheme="majorHAnsi" w:cstheme="majorHAnsi"/>
          <w:bCs/>
          <w:iCs/>
          <w:sz w:val="18"/>
        </w:rPr>
        <w:t>000 obyvatel</w:t>
      </w:r>
      <w:r w:rsidR="003F4FD5" w:rsidRPr="006070EA">
        <w:rPr>
          <w:rFonts w:asciiTheme="majorHAnsi" w:hAnsiTheme="majorHAnsi" w:cstheme="majorHAnsi"/>
          <w:bCs/>
          <w:iCs/>
          <w:sz w:val="18"/>
        </w:rPr>
        <w:t>,</w:t>
      </w:r>
      <w:r w:rsidRPr="006070EA">
        <w:rPr>
          <w:rFonts w:asciiTheme="majorHAnsi" w:hAnsiTheme="majorHAnsi" w:cstheme="majorHAnsi"/>
          <w:bCs/>
          <w:iCs/>
          <w:sz w:val="18"/>
        </w:rPr>
        <w:t xml:space="preserve"> tj. na 400/m</w:t>
      </w:r>
      <w:r w:rsidRPr="006070EA">
        <w:rPr>
          <w:rFonts w:asciiTheme="majorHAnsi" w:hAnsiTheme="majorHAnsi" w:cstheme="majorHAnsi"/>
          <w:bCs/>
          <w:iCs/>
          <w:sz w:val="18"/>
          <w:vertAlign w:val="superscript"/>
        </w:rPr>
        <w:t>3</w:t>
      </w:r>
      <w:r w:rsidRPr="006070EA">
        <w:rPr>
          <w:rFonts w:asciiTheme="majorHAnsi" w:hAnsiTheme="majorHAnsi" w:cstheme="majorHAnsi"/>
          <w:bCs/>
          <w:iCs/>
          <w:sz w:val="18"/>
        </w:rPr>
        <w:t xml:space="preserve"> den. Odpadní vody jsou do čistírny dopravovány výtlakem z po</w:t>
      </w:r>
      <w:r w:rsidR="003F4FD5" w:rsidRPr="006070EA">
        <w:rPr>
          <w:rFonts w:asciiTheme="majorHAnsi" w:hAnsiTheme="majorHAnsi" w:cstheme="majorHAnsi"/>
          <w:bCs/>
          <w:iCs/>
          <w:sz w:val="18"/>
        </w:rPr>
        <w:t>d</w:t>
      </w:r>
      <w:r w:rsidRPr="006070EA">
        <w:rPr>
          <w:rFonts w:asciiTheme="majorHAnsi" w:hAnsiTheme="majorHAnsi" w:cstheme="majorHAnsi"/>
          <w:bCs/>
          <w:iCs/>
          <w:sz w:val="18"/>
        </w:rPr>
        <w:t>tlakové stanice. Odtok z čistírny odvádí vyčištěnou odpadní vodu do recipientu Vlkava.</w:t>
      </w:r>
    </w:p>
    <w:p w14:paraId="0817DA48" w14:textId="77777777" w:rsidR="0013478F" w:rsidRPr="006070EA" w:rsidRDefault="0013478F" w:rsidP="001C7E4C">
      <w:pPr>
        <w:spacing w:before="120" w:after="120" w:line="240" w:lineRule="auto"/>
        <w:ind w:firstLine="709"/>
        <w:jc w:val="both"/>
        <w:rPr>
          <w:rFonts w:asciiTheme="majorHAnsi" w:hAnsiTheme="majorHAnsi" w:cstheme="majorHAnsi"/>
          <w:bCs/>
          <w:iCs/>
          <w:sz w:val="18"/>
        </w:rPr>
      </w:pPr>
      <w:r w:rsidRPr="006070EA">
        <w:rPr>
          <w:rFonts w:asciiTheme="majorHAnsi" w:hAnsiTheme="majorHAnsi" w:cstheme="majorHAnsi"/>
          <w:bCs/>
          <w:iCs/>
          <w:sz w:val="18"/>
        </w:rPr>
        <w:t>Provozovatelem kanalizace a čistírny odpadních vod je obec Kostomlaty nad Labem.</w:t>
      </w:r>
    </w:p>
    <w:p w14:paraId="3783C51F" w14:textId="77777777" w:rsidR="00AB1F4C" w:rsidRPr="006070EA" w:rsidRDefault="00AB1F4C" w:rsidP="0009152E">
      <w:pPr>
        <w:keepNext/>
        <w:spacing w:before="120" w:after="60" w:line="240" w:lineRule="auto"/>
        <w:jc w:val="both"/>
        <w:rPr>
          <w:rFonts w:asciiTheme="majorHAnsi" w:hAnsiTheme="majorHAnsi" w:cstheme="majorHAnsi"/>
          <w:sz w:val="18"/>
          <w:u w:val="single"/>
        </w:rPr>
      </w:pPr>
      <w:r w:rsidRPr="006070EA">
        <w:rPr>
          <w:rFonts w:asciiTheme="majorHAnsi" w:hAnsiTheme="majorHAnsi" w:cstheme="majorHAnsi"/>
          <w:sz w:val="18"/>
          <w:u w:val="single"/>
        </w:rPr>
        <w:t>Bilan</w:t>
      </w:r>
      <w:r w:rsidR="004D10E6" w:rsidRPr="006070EA">
        <w:rPr>
          <w:rFonts w:asciiTheme="majorHAnsi" w:hAnsiTheme="majorHAnsi" w:cstheme="majorHAnsi"/>
          <w:sz w:val="18"/>
          <w:u w:val="single"/>
        </w:rPr>
        <w:t>c</w:t>
      </w:r>
      <w:r w:rsidRPr="006070EA">
        <w:rPr>
          <w:rFonts w:asciiTheme="majorHAnsi" w:hAnsiTheme="majorHAnsi" w:cstheme="majorHAnsi"/>
          <w:sz w:val="18"/>
          <w:u w:val="single"/>
        </w:rPr>
        <w:t>e odpadních vod a znečištění</w:t>
      </w:r>
    </w:p>
    <w:p w14:paraId="552DFFEA" w14:textId="77777777" w:rsidR="00AB1F4C" w:rsidRPr="006070EA" w:rsidRDefault="00AB1F4C" w:rsidP="001C7E4C">
      <w:pPr>
        <w:spacing w:before="120" w:after="120" w:line="240" w:lineRule="auto"/>
        <w:ind w:firstLine="709"/>
        <w:jc w:val="both"/>
        <w:rPr>
          <w:rFonts w:asciiTheme="majorHAnsi" w:hAnsiTheme="majorHAnsi" w:cstheme="majorHAnsi"/>
          <w:bCs/>
          <w:iCs/>
          <w:sz w:val="18"/>
        </w:rPr>
      </w:pPr>
      <w:r w:rsidRPr="006070EA">
        <w:rPr>
          <w:rFonts w:asciiTheme="majorHAnsi" w:hAnsiTheme="majorHAnsi" w:cstheme="majorHAnsi"/>
          <w:bCs/>
          <w:iCs/>
          <w:sz w:val="18"/>
        </w:rPr>
        <w:t>Jako základ vývoje bilance jsou uvažovány kapacity zastavitelných ploch, skutečný počet obyvatel a</w:t>
      </w:r>
      <w:r w:rsidR="0099697B" w:rsidRPr="006070EA">
        <w:rPr>
          <w:rFonts w:asciiTheme="majorHAnsi" w:hAnsiTheme="majorHAnsi" w:cstheme="majorHAnsi"/>
          <w:bCs/>
          <w:iCs/>
          <w:sz w:val="18"/>
        </w:rPr>
        <w:t> </w:t>
      </w:r>
      <w:r w:rsidRPr="006070EA">
        <w:rPr>
          <w:rFonts w:asciiTheme="majorHAnsi" w:hAnsiTheme="majorHAnsi" w:cstheme="majorHAnsi"/>
          <w:bCs/>
          <w:iCs/>
          <w:sz w:val="18"/>
        </w:rPr>
        <w:t>jeho předpokládaný vývoj. Bilanční údaje jsou uvedeny k roku 203</w:t>
      </w:r>
      <w:r w:rsidR="00A472B0" w:rsidRPr="006070EA">
        <w:rPr>
          <w:rFonts w:asciiTheme="majorHAnsi" w:hAnsiTheme="majorHAnsi" w:cstheme="majorHAnsi"/>
          <w:bCs/>
          <w:iCs/>
          <w:sz w:val="18"/>
        </w:rPr>
        <w:t>5</w:t>
      </w:r>
      <w:r w:rsidRPr="006070EA">
        <w:rPr>
          <w:rFonts w:asciiTheme="majorHAnsi" w:hAnsiTheme="majorHAnsi" w:cstheme="majorHAnsi"/>
          <w:bCs/>
          <w:iCs/>
          <w:sz w:val="18"/>
        </w:rPr>
        <w:t xml:space="preserve">. </w:t>
      </w:r>
    </w:p>
    <w:tbl>
      <w:tblPr>
        <w:tblStyle w:val="Mkatabulky"/>
        <w:tblW w:w="9073" w:type="dxa"/>
        <w:jc w:val="center"/>
        <w:tblBorders>
          <w:top w:val="none" w:sz="0" w:space="0" w:color="auto"/>
          <w:left w:val="none" w:sz="0" w:space="0" w:color="auto"/>
          <w:bottom w:val="none" w:sz="0" w:space="0" w:color="auto"/>
          <w:right w:val="none" w:sz="0" w:space="0" w:color="auto"/>
        </w:tblBorders>
        <w:tblLayout w:type="fixed"/>
        <w:tblLook w:val="04A0" w:firstRow="1" w:lastRow="0" w:firstColumn="1" w:lastColumn="0" w:noHBand="0" w:noVBand="1"/>
      </w:tblPr>
      <w:tblGrid>
        <w:gridCol w:w="4252"/>
        <w:gridCol w:w="1134"/>
        <w:gridCol w:w="1843"/>
        <w:gridCol w:w="1844"/>
      </w:tblGrid>
      <w:tr w:rsidR="00033E23" w:rsidRPr="006070EA" w14:paraId="1BF43239" w14:textId="77777777" w:rsidTr="0009152E">
        <w:trPr>
          <w:cantSplit/>
          <w:jc w:val="center"/>
        </w:trPr>
        <w:tc>
          <w:tcPr>
            <w:tcW w:w="4252" w:type="dxa"/>
            <w:vMerge w:val="restart"/>
            <w:tcBorders>
              <w:top w:val="nil"/>
              <w:bottom w:val="single" w:sz="12" w:space="0" w:color="auto"/>
              <w:right w:val="single" w:sz="12" w:space="0" w:color="auto"/>
            </w:tcBorders>
            <w:vAlign w:val="center"/>
          </w:tcPr>
          <w:p w14:paraId="60BFA30D" w14:textId="77777777" w:rsidR="00AB1F4C" w:rsidRPr="006070EA" w:rsidRDefault="00AB1F4C" w:rsidP="0009152E">
            <w:pPr>
              <w:keepNext/>
              <w:jc w:val="center"/>
              <w:rPr>
                <w:rFonts w:asciiTheme="majorHAnsi" w:hAnsiTheme="majorHAnsi" w:cstheme="majorHAnsi"/>
                <w:b/>
                <w:sz w:val="18"/>
              </w:rPr>
            </w:pPr>
            <w:r w:rsidRPr="006070EA">
              <w:rPr>
                <w:rFonts w:asciiTheme="majorHAnsi" w:hAnsiTheme="majorHAnsi" w:cstheme="majorHAnsi"/>
                <w:b/>
                <w:sz w:val="18"/>
              </w:rPr>
              <w:t>položka</w:t>
            </w:r>
          </w:p>
        </w:tc>
        <w:tc>
          <w:tcPr>
            <w:tcW w:w="1134" w:type="dxa"/>
            <w:vMerge w:val="restart"/>
            <w:tcBorders>
              <w:top w:val="nil"/>
              <w:left w:val="single" w:sz="12" w:space="0" w:color="auto"/>
              <w:bottom w:val="single" w:sz="12" w:space="0" w:color="auto"/>
              <w:right w:val="single" w:sz="12" w:space="0" w:color="auto"/>
            </w:tcBorders>
            <w:vAlign w:val="center"/>
          </w:tcPr>
          <w:p w14:paraId="32DF0AE8" w14:textId="77777777" w:rsidR="00AB1F4C" w:rsidRPr="006070EA" w:rsidRDefault="00AB1F4C" w:rsidP="0009152E">
            <w:pPr>
              <w:keepNext/>
              <w:jc w:val="center"/>
              <w:rPr>
                <w:rFonts w:asciiTheme="majorHAnsi" w:hAnsiTheme="majorHAnsi" w:cstheme="majorHAnsi"/>
                <w:b/>
                <w:sz w:val="18"/>
              </w:rPr>
            </w:pPr>
            <w:r w:rsidRPr="006070EA">
              <w:rPr>
                <w:rFonts w:asciiTheme="majorHAnsi" w:hAnsiTheme="majorHAnsi" w:cstheme="majorHAnsi"/>
                <w:b/>
                <w:sz w:val="18"/>
              </w:rPr>
              <w:t>jednotka</w:t>
            </w:r>
          </w:p>
        </w:tc>
        <w:tc>
          <w:tcPr>
            <w:tcW w:w="3687" w:type="dxa"/>
            <w:gridSpan w:val="2"/>
            <w:tcBorders>
              <w:top w:val="nil"/>
              <w:left w:val="single" w:sz="12" w:space="0" w:color="auto"/>
              <w:bottom w:val="single" w:sz="12" w:space="0" w:color="auto"/>
            </w:tcBorders>
            <w:vAlign w:val="center"/>
          </w:tcPr>
          <w:p w14:paraId="31B23050" w14:textId="77777777" w:rsidR="00AB1F4C" w:rsidRPr="006070EA" w:rsidRDefault="00AB1F4C" w:rsidP="0009152E">
            <w:pPr>
              <w:keepNext/>
              <w:jc w:val="center"/>
              <w:rPr>
                <w:rFonts w:asciiTheme="majorHAnsi" w:hAnsiTheme="majorHAnsi" w:cstheme="majorHAnsi"/>
                <w:b/>
                <w:sz w:val="18"/>
              </w:rPr>
            </w:pPr>
            <w:r w:rsidRPr="006070EA">
              <w:rPr>
                <w:rFonts w:asciiTheme="majorHAnsi" w:hAnsiTheme="majorHAnsi" w:cstheme="majorHAnsi"/>
                <w:b/>
                <w:sz w:val="18"/>
              </w:rPr>
              <w:t>rok</w:t>
            </w:r>
          </w:p>
        </w:tc>
      </w:tr>
      <w:tr w:rsidR="00033E23" w:rsidRPr="006070EA" w14:paraId="6FC79320" w14:textId="77777777" w:rsidTr="0009152E">
        <w:trPr>
          <w:cantSplit/>
          <w:jc w:val="center"/>
        </w:trPr>
        <w:tc>
          <w:tcPr>
            <w:tcW w:w="4252" w:type="dxa"/>
            <w:vMerge/>
            <w:tcBorders>
              <w:top w:val="single" w:sz="12" w:space="0" w:color="auto"/>
              <w:bottom w:val="single" w:sz="12" w:space="0" w:color="auto"/>
              <w:right w:val="single" w:sz="12" w:space="0" w:color="auto"/>
            </w:tcBorders>
            <w:vAlign w:val="center"/>
          </w:tcPr>
          <w:p w14:paraId="0237814A" w14:textId="77777777" w:rsidR="00A472B0" w:rsidRPr="006070EA" w:rsidRDefault="00A472B0" w:rsidP="0009152E">
            <w:pPr>
              <w:keepNext/>
              <w:jc w:val="center"/>
              <w:rPr>
                <w:rFonts w:asciiTheme="majorHAnsi" w:hAnsiTheme="majorHAnsi" w:cstheme="majorHAnsi"/>
                <w:b/>
                <w:sz w:val="18"/>
              </w:rPr>
            </w:pPr>
          </w:p>
        </w:tc>
        <w:tc>
          <w:tcPr>
            <w:tcW w:w="1134" w:type="dxa"/>
            <w:vMerge/>
            <w:tcBorders>
              <w:top w:val="single" w:sz="12" w:space="0" w:color="auto"/>
              <w:left w:val="single" w:sz="12" w:space="0" w:color="auto"/>
              <w:bottom w:val="single" w:sz="12" w:space="0" w:color="auto"/>
              <w:right w:val="single" w:sz="12" w:space="0" w:color="auto"/>
            </w:tcBorders>
            <w:vAlign w:val="center"/>
          </w:tcPr>
          <w:p w14:paraId="2667996C" w14:textId="77777777" w:rsidR="00A472B0" w:rsidRPr="006070EA" w:rsidRDefault="00A472B0" w:rsidP="0009152E">
            <w:pPr>
              <w:keepNext/>
              <w:jc w:val="center"/>
              <w:rPr>
                <w:rFonts w:asciiTheme="majorHAnsi" w:hAnsiTheme="majorHAnsi" w:cstheme="majorHAnsi"/>
                <w:b/>
                <w:sz w:val="18"/>
              </w:rPr>
            </w:pPr>
          </w:p>
        </w:tc>
        <w:tc>
          <w:tcPr>
            <w:tcW w:w="1843" w:type="dxa"/>
            <w:tcBorders>
              <w:top w:val="single" w:sz="12" w:space="0" w:color="auto"/>
              <w:left w:val="single" w:sz="12" w:space="0" w:color="auto"/>
              <w:bottom w:val="single" w:sz="12" w:space="0" w:color="auto"/>
              <w:right w:val="single" w:sz="12" w:space="0" w:color="auto"/>
            </w:tcBorders>
            <w:vAlign w:val="center"/>
          </w:tcPr>
          <w:p w14:paraId="6F759E26" w14:textId="77777777" w:rsidR="00A472B0" w:rsidRPr="006070EA" w:rsidRDefault="00A472B0" w:rsidP="0009152E">
            <w:pPr>
              <w:keepNext/>
              <w:jc w:val="center"/>
              <w:rPr>
                <w:rFonts w:asciiTheme="majorHAnsi" w:hAnsiTheme="majorHAnsi" w:cstheme="majorHAnsi"/>
                <w:b/>
                <w:sz w:val="18"/>
                <w:szCs w:val="18"/>
              </w:rPr>
            </w:pPr>
            <w:r w:rsidRPr="006070EA">
              <w:rPr>
                <w:rFonts w:asciiTheme="majorHAnsi" w:hAnsiTheme="majorHAnsi" w:cstheme="majorHAnsi"/>
                <w:b/>
                <w:sz w:val="18"/>
                <w:szCs w:val="18"/>
              </w:rPr>
              <w:t>2017</w:t>
            </w:r>
          </w:p>
        </w:tc>
        <w:tc>
          <w:tcPr>
            <w:tcW w:w="1844" w:type="dxa"/>
            <w:tcBorders>
              <w:top w:val="single" w:sz="12" w:space="0" w:color="auto"/>
              <w:left w:val="single" w:sz="12" w:space="0" w:color="auto"/>
              <w:bottom w:val="single" w:sz="12" w:space="0" w:color="auto"/>
            </w:tcBorders>
            <w:vAlign w:val="center"/>
          </w:tcPr>
          <w:p w14:paraId="0E410774" w14:textId="77777777" w:rsidR="00A472B0" w:rsidRPr="006070EA" w:rsidRDefault="00A472B0" w:rsidP="0009152E">
            <w:pPr>
              <w:keepNext/>
              <w:jc w:val="center"/>
              <w:rPr>
                <w:rFonts w:asciiTheme="majorHAnsi" w:hAnsiTheme="majorHAnsi" w:cstheme="majorHAnsi"/>
                <w:b/>
                <w:sz w:val="18"/>
                <w:szCs w:val="18"/>
              </w:rPr>
            </w:pPr>
            <w:r w:rsidRPr="006070EA">
              <w:rPr>
                <w:rFonts w:asciiTheme="majorHAnsi" w:hAnsiTheme="majorHAnsi" w:cstheme="majorHAnsi"/>
                <w:b/>
                <w:sz w:val="18"/>
                <w:szCs w:val="18"/>
              </w:rPr>
              <w:t>2035</w:t>
            </w:r>
          </w:p>
        </w:tc>
      </w:tr>
      <w:tr w:rsidR="00033E23" w:rsidRPr="006070EA" w14:paraId="5B354499" w14:textId="77777777" w:rsidTr="0009152E">
        <w:trPr>
          <w:cantSplit/>
          <w:jc w:val="center"/>
        </w:trPr>
        <w:tc>
          <w:tcPr>
            <w:tcW w:w="4252" w:type="dxa"/>
            <w:tcBorders>
              <w:top w:val="single" w:sz="12" w:space="0" w:color="auto"/>
            </w:tcBorders>
            <w:vAlign w:val="center"/>
          </w:tcPr>
          <w:p w14:paraId="56643659" w14:textId="77777777" w:rsidR="009D5E28" w:rsidRPr="006070EA" w:rsidRDefault="009D5E28" w:rsidP="009D5E28">
            <w:pPr>
              <w:jc w:val="center"/>
              <w:rPr>
                <w:rFonts w:asciiTheme="majorHAnsi" w:hAnsiTheme="majorHAnsi" w:cstheme="majorHAnsi"/>
                <w:sz w:val="18"/>
              </w:rPr>
            </w:pPr>
            <w:r w:rsidRPr="006070EA">
              <w:rPr>
                <w:rFonts w:asciiTheme="majorHAnsi" w:hAnsiTheme="majorHAnsi" w:cstheme="majorHAnsi"/>
                <w:sz w:val="18"/>
              </w:rPr>
              <w:t>počet obyvatel</w:t>
            </w:r>
          </w:p>
        </w:tc>
        <w:tc>
          <w:tcPr>
            <w:tcW w:w="1134" w:type="dxa"/>
            <w:tcBorders>
              <w:top w:val="single" w:sz="12" w:space="0" w:color="auto"/>
            </w:tcBorders>
            <w:vAlign w:val="center"/>
          </w:tcPr>
          <w:p w14:paraId="5D85DAC2" w14:textId="77777777" w:rsidR="009D5E28" w:rsidRPr="006070EA" w:rsidRDefault="009D5E28" w:rsidP="009D5E28">
            <w:pPr>
              <w:jc w:val="center"/>
              <w:rPr>
                <w:rFonts w:asciiTheme="majorHAnsi" w:hAnsiTheme="majorHAnsi" w:cstheme="majorHAnsi"/>
                <w:sz w:val="18"/>
              </w:rPr>
            </w:pPr>
            <w:r w:rsidRPr="006070EA">
              <w:rPr>
                <w:rFonts w:asciiTheme="majorHAnsi" w:hAnsiTheme="majorHAnsi" w:cstheme="majorHAnsi"/>
                <w:sz w:val="18"/>
              </w:rPr>
              <w:t>os.</w:t>
            </w:r>
          </w:p>
        </w:tc>
        <w:tc>
          <w:tcPr>
            <w:tcW w:w="1843" w:type="dxa"/>
            <w:tcBorders>
              <w:top w:val="single" w:sz="12" w:space="0" w:color="auto"/>
            </w:tcBorders>
            <w:vAlign w:val="center"/>
          </w:tcPr>
          <w:p w14:paraId="732629ED" w14:textId="758D5235" w:rsidR="009D5E28" w:rsidRPr="006070EA" w:rsidRDefault="009D5E28" w:rsidP="009D5E28">
            <w:pPr>
              <w:jc w:val="center"/>
              <w:rPr>
                <w:rFonts w:asciiTheme="majorHAnsi" w:hAnsiTheme="majorHAnsi" w:cstheme="majorHAnsi"/>
                <w:sz w:val="18"/>
                <w:szCs w:val="18"/>
              </w:rPr>
            </w:pPr>
            <w:r w:rsidRPr="006070EA">
              <w:rPr>
                <w:rFonts w:asciiTheme="majorHAnsi" w:hAnsiTheme="majorHAnsi" w:cstheme="majorHAnsi"/>
                <w:sz w:val="18"/>
                <w:szCs w:val="18"/>
              </w:rPr>
              <w:t>1 885</w:t>
            </w:r>
          </w:p>
        </w:tc>
        <w:tc>
          <w:tcPr>
            <w:tcW w:w="1844" w:type="dxa"/>
            <w:tcBorders>
              <w:top w:val="single" w:sz="12" w:space="0" w:color="auto"/>
            </w:tcBorders>
            <w:vAlign w:val="center"/>
          </w:tcPr>
          <w:p w14:paraId="1A23670E" w14:textId="5C0254A1" w:rsidR="009D5E28" w:rsidRPr="006070EA" w:rsidRDefault="009D5E28" w:rsidP="009D5E28">
            <w:pPr>
              <w:jc w:val="center"/>
              <w:rPr>
                <w:rFonts w:asciiTheme="majorHAnsi" w:hAnsiTheme="majorHAnsi" w:cstheme="majorHAnsi"/>
                <w:sz w:val="18"/>
                <w:szCs w:val="18"/>
              </w:rPr>
            </w:pPr>
            <w:r w:rsidRPr="006070EA">
              <w:rPr>
                <w:rFonts w:asciiTheme="majorHAnsi" w:hAnsiTheme="majorHAnsi" w:cstheme="majorHAnsi"/>
                <w:sz w:val="18"/>
                <w:szCs w:val="18"/>
              </w:rPr>
              <w:t>2 039</w:t>
            </w:r>
          </w:p>
        </w:tc>
      </w:tr>
      <w:tr w:rsidR="00033E23" w:rsidRPr="006070EA" w14:paraId="6BD55EDA" w14:textId="77777777" w:rsidTr="0009152E">
        <w:trPr>
          <w:cantSplit/>
          <w:jc w:val="center"/>
        </w:trPr>
        <w:tc>
          <w:tcPr>
            <w:tcW w:w="4252" w:type="dxa"/>
            <w:vAlign w:val="center"/>
          </w:tcPr>
          <w:p w14:paraId="25958A7C"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odpadních vod</w:t>
            </w:r>
          </w:p>
        </w:tc>
        <w:tc>
          <w:tcPr>
            <w:tcW w:w="1134" w:type="dxa"/>
            <w:vAlign w:val="center"/>
          </w:tcPr>
          <w:p w14:paraId="74EE75E9"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m</w:t>
            </w:r>
            <w:r w:rsidRPr="006070EA">
              <w:rPr>
                <w:rFonts w:asciiTheme="majorHAnsi" w:hAnsiTheme="majorHAnsi" w:cstheme="majorHAnsi"/>
                <w:sz w:val="18"/>
                <w:vertAlign w:val="superscript"/>
              </w:rPr>
              <w:t>3</w:t>
            </w:r>
            <w:r w:rsidRPr="006070EA">
              <w:rPr>
                <w:rFonts w:asciiTheme="majorHAnsi" w:hAnsiTheme="majorHAnsi" w:cstheme="majorHAnsi"/>
                <w:sz w:val="18"/>
              </w:rPr>
              <w:t>/d</w:t>
            </w:r>
          </w:p>
        </w:tc>
        <w:tc>
          <w:tcPr>
            <w:tcW w:w="1843" w:type="dxa"/>
            <w:vAlign w:val="center"/>
          </w:tcPr>
          <w:p w14:paraId="7B2E54B1" w14:textId="1CCD86EB" w:rsidR="00AB1F4C" w:rsidRPr="006070EA" w:rsidRDefault="003F4FD5" w:rsidP="009E07E1">
            <w:pPr>
              <w:jc w:val="center"/>
              <w:rPr>
                <w:rFonts w:asciiTheme="majorHAnsi" w:hAnsiTheme="majorHAnsi" w:cstheme="majorHAnsi"/>
                <w:sz w:val="18"/>
              </w:rPr>
            </w:pPr>
            <w:r w:rsidRPr="006070EA">
              <w:rPr>
                <w:rFonts w:asciiTheme="majorHAnsi" w:hAnsiTheme="majorHAnsi" w:cstheme="majorHAnsi"/>
                <w:sz w:val="18"/>
              </w:rPr>
              <w:t>183,79</w:t>
            </w:r>
          </w:p>
        </w:tc>
        <w:tc>
          <w:tcPr>
            <w:tcW w:w="1844" w:type="dxa"/>
            <w:vAlign w:val="center"/>
          </w:tcPr>
          <w:p w14:paraId="3B73FD9E" w14:textId="3EC05B84" w:rsidR="00AB1F4C" w:rsidRPr="006070EA" w:rsidRDefault="003F4FD5" w:rsidP="009E07E1">
            <w:pPr>
              <w:jc w:val="center"/>
              <w:rPr>
                <w:rFonts w:asciiTheme="majorHAnsi" w:hAnsiTheme="majorHAnsi" w:cstheme="majorHAnsi"/>
                <w:sz w:val="18"/>
              </w:rPr>
            </w:pPr>
            <w:r w:rsidRPr="006070EA">
              <w:rPr>
                <w:rFonts w:asciiTheme="majorHAnsi" w:hAnsiTheme="majorHAnsi" w:cstheme="majorHAnsi"/>
                <w:sz w:val="18"/>
              </w:rPr>
              <w:t>206,45</w:t>
            </w:r>
          </w:p>
        </w:tc>
      </w:tr>
      <w:tr w:rsidR="00033E23" w:rsidRPr="006070EA" w14:paraId="0F0A117C" w14:textId="77777777" w:rsidTr="0009152E">
        <w:trPr>
          <w:cantSplit/>
          <w:jc w:val="center"/>
        </w:trPr>
        <w:tc>
          <w:tcPr>
            <w:tcW w:w="4252" w:type="dxa"/>
            <w:vAlign w:val="center"/>
          </w:tcPr>
          <w:p w14:paraId="73A4C3D5"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BSK</w:t>
            </w:r>
            <w:r w:rsidRPr="006070EA">
              <w:rPr>
                <w:rFonts w:asciiTheme="majorHAnsi" w:hAnsiTheme="majorHAnsi" w:cstheme="majorHAnsi"/>
                <w:sz w:val="18"/>
                <w:vertAlign w:val="subscript"/>
              </w:rPr>
              <w:t>5</w:t>
            </w:r>
          </w:p>
        </w:tc>
        <w:tc>
          <w:tcPr>
            <w:tcW w:w="1134" w:type="dxa"/>
            <w:vAlign w:val="center"/>
          </w:tcPr>
          <w:p w14:paraId="12F9BF4A"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kg/d</w:t>
            </w:r>
          </w:p>
        </w:tc>
        <w:tc>
          <w:tcPr>
            <w:tcW w:w="1843" w:type="dxa"/>
            <w:vAlign w:val="center"/>
          </w:tcPr>
          <w:p w14:paraId="122C2592" w14:textId="3D153B8B" w:rsidR="00AB1F4C" w:rsidRPr="006070EA" w:rsidRDefault="003F4FD5" w:rsidP="009E07E1">
            <w:pPr>
              <w:jc w:val="center"/>
              <w:rPr>
                <w:rFonts w:asciiTheme="majorHAnsi" w:hAnsiTheme="majorHAnsi" w:cstheme="majorHAnsi"/>
                <w:sz w:val="18"/>
              </w:rPr>
            </w:pPr>
            <w:r w:rsidRPr="006070EA">
              <w:rPr>
                <w:rFonts w:asciiTheme="majorHAnsi" w:hAnsiTheme="majorHAnsi" w:cstheme="majorHAnsi"/>
                <w:sz w:val="18"/>
              </w:rPr>
              <w:t>84,83</w:t>
            </w:r>
          </w:p>
        </w:tc>
        <w:tc>
          <w:tcPr>
            <w:tcW w:w="1844" w:type="dxa"/>
            <w:vAlign w:val="center"/>
          </w:tcPr>
          <w:p w14:paraId="42AA018B" w14:textId="14658573" w:rsidR="00AB1F4C" w:rsidRPr="006070EA" w:rsidRDefault="003F4FD5" w:rsidP="009E07E1">
            <w:pPr>
              <w:jc w:val="center"/>
              <w:rPr>
                <w:rFonts w:asciiTheme="majorHAnsi" w:hAnsiTheme="majorHAnsi" w:cstheme="majorHAnsi"/>
                <w:sz w:val="18"/>
              </w:rPr>
            </w:pPr>
            <w:r w:rsidRPr="006070EA">
              <w:rPr>
                <w:rFonts w:asciiTheme="majorHAnsi" w:hAnsiTheme="majorHAnsi" w:cstheme="majorHAnsi"/>
                <w:sz w:val="18"/>
              </w:rPr>
              <w:t>91,76</w:t>
            </w:r>
          </w:p>
        </w:tc>
      </w:tr>
      <w:tr w:rsidR="00033E23" w:rsidRPr="006070EA" w14:paraId="653109F3" w14:textId="77777777" w:rsidTr="0009152E">
        <w:trPr>
          <w:cantSplit/>
          <w:jc w:val="center"/>
        </w:trPr>
        <w:tc>
          <w:tcPr>
            <w:tcW w:w="4252" w:type="dxa"/>
            <w:vAlign w:val="center"/>
          </w:tcPr>
          <w:p w14:paraId="104D6950"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NL</w:t>
            </w:r>
          </w:p>
        </w:tc>
        <w:tc>
          <w:tcPr>
            <w:tcW w:w="1134" w:type="dxa"/>
            <w:vAlign w:val="center"/>
          </w:tcPr>
          <w:p w14:paraId="04CDDC70"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kg/d</w:t>
            </w:r>
          </w:p>
        </w:tc>
        <w:tc>
          <w:tcPr>
            <w:tcW w:w="1843" w:type="dxa"/>
            <w:vAlign w:val="center"/>
          </w:tcPr>
          <w:p w14:paraId="688E54E8" w14:textId="7C798A88" w:rsidR="00AB1F4C" w:rsidRPr="006070EA" w:rsidRDefault="00033E23" w:rsidP="009E07E1">
            <w:pPr>
              <w:jc w:val="center"/>
              <w:rPr>
                <w:rFonts w:asciiTheme="majorHAnsi" w:hAnsiTheme="majorHAnsi" w:cstheme="majorHAnsi"/>
                <w:sz w:val="18"/>
              </w:rPr>
            </w:pPr>
            <w:r w:rsidRPr="006070EA">
              <w:rPr>
                <w:rFonts w:asciiTheme="majorHAnsi" w:hAnsiTheme="majorHAnsi" w:cstheme="majorHAnsi"/>
                <w:sz w:val="18"/>
              </w:rPr>
              <w:t>77,76</w:t>
            </w:r>
          </w:p>
        </w:tc>
        <w:tc>
          <w:tcPr>
            <w:tcW w:w="1844" w:type="dxa"/>
            <w:vAlign w:val="center"/>
          </w:tcPr>
          <w:p w14:paraId="375C262B" w14:textId="502FA526" w:rsidR="00AB1F4C" w:rsidRPr="006070EA" w:rsidRDefault="00033E23" w:rsidP="009E07E1">
            <w:pPr>
              <w:jc w:val="center"/>
              <w:rPr>
                <w:rFonts w:asciiTheme="majorHAnsi" w:hAnsiTheme="majorHAnsi" w:cstheme="majorHAnsi"/>
                <w:sz w:val="18"/>
              </w:rPr>
            </w:pPr>
            <w:r w:rsidRPr="006070EA">
              <w:rPr>
                <w:rFonts w:asciiTheme="majorHAnsi" w:hAnsiTheme="majorHAnsi" w:cstheme="majorHAnsi"/>
                <w:sz w:val="18"/>
              </w:rPr>
              <w:t>84,11</w:t>
            </w:r>
          </w:p>
        </w:tc>
      </w:tr>
      <w:tr w:rsidR="00033E23" w:rsidRPr="006070EA" w14:paraId="5407159D" w14:textId="77777777" w:rsidTr="0009152E">
        <w:trPr>
          <w:cantSplit/>
          <w:jc w:val="center"/>
        </w:trPr>
        <w:tc>
          <w:tcPr>
            <w:tcW w:w="4252" w:type="dxa"/>
            <w:vAlign w:val="center"/>
          </w:tcPr>
          <w:p w14:paraId="25579050"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CHSK</w:t>
            </w:r>
          </w:p>
        </w:tc>
        <w:tc>
          <w:tcPr>
            <w:tcW w:w="1134" w:type="dxa"/>
            <w:vAlign w:val="center"/>
          </w:tcPr>
          <w:p w14:paraId="2B480928"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kg/d</w:t>
            </w:r>
          </w:p>
        </w:tc>
        <w:tc>
          <w:tcPr>
            <w:tcW w:w="1843" w:type="dxa"/>
            <w:vAlign w:val="center"/>
          </w:tcPr>
          <w:p w14:paraId="059410F0" w14:textId="722F3207" w:rsidR="00AB1F4C" w:rsidRPr="006070EA" w:rsidRDefault="00033E23" w:rsidP="009E07E1">
            <w:pPr>
              <w:jc w:val="center"/>
              <w:rPr>
                <w:rFonts w:asciiTheme="majorHAnsi" w:hAnsiTheme="majorHAnsi" w:cstheme="majorHAnsi"/>
                <w:sz w:val="18"/>
              </w:rPr>
            </w:pPr>
            <w:r w:rsidRPr="006070EA">
              <w:rPr>
                <w:rFonts w:asciiTheme="majorHAnsi" w:hAnsiTheme="majorHAnsi" w:cstheme="majorHAnsi"/>
                <w:sz w:val="18"/>
              </w:rPr>
              <w:t>155,51</w:t>
            </w:r>
          </w:p>
        </w:tc>
        <w:tc>
          <w:tcPr>
            <w:tcW w:w="1844" w:type="dxa"/>
            <w:vAlign w:val="center"/>
          </w:tcPr>
          <w:p w14:paraId="1C5A6CA7" w14:textId="2F69204B" w:rsidR="00AB1F4C" w:rsidRPr="006070EA" w:rsidRDefault="00033E23" w:rsidP="009E07E1">
            <w:pPr>
              <w:jc w:val="center"/>
              <w:rPr>
                <w:rFonts w:asciiTheme="majorHAnsi" w:hAnsiTheme="majorHAnsi" w:cstheme="majorHAnsi"/>
                <w:sz w:val="18"/>
              </w:rPr>
            </w:pPr>
            <w:r w:rsidRPr="006070EA">
              <w:rPr>
                <w:rFonts w:asciiTheme="majorHAnsi" w:hAnsiTheme="majorHAnsi" w:cstheme="majorHAnsi"/>
                <w:sz w:val="18"/>
              </w:rPr>
              <w:t>168,22</w:t>
            </w:r>
          </w:p>
        </w:tc>
      </w:tr>
      <w:tr w:rsidR="00033E23" w:rsidRPr="006070EA" w14:paraId="3E7CC60A" w14:textId="77777777" w:rsidTr="0009152E">
        <w:trPr>
          <w:cantSplit/>
          <w:jc w:val="center"/>
        </w:trPr>
        <w:tc>
          <w:tcPr>
            <w:tcW w:w="4252" w:type="dxa"/>
            <w:vAlign w:val="center"/>
          </w:tcPr>
          <w:p w14:paraId="2ED504CC"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počet ekvivalentních obyvatel</w:t>
            </w:r>
          </w:p>
        </w:tc>
        <w:tc>
          <w:tcPr>
            <w:tcW w:w="1134" w:type="dxa"/>
            <w:vAlign w:val="center"/>
          </w:tcPr>
          <w:p w14:paraId="3D25DB01" w14:textId="77777777" w:rsidR="00AB1F4C" w:rsidRPr="006070EA" w:rsidRDefault="00AB1F4C" w:rsidP="009E07E1">
            <w:pPr>
              <w:jc w:val="center"/>
              <w:rPr>
                <w:rFonts w:asciiTheme="majorHAnsi" w:hAnsiTheme="majorHAnsi" w:cstheme="majorHAnsi"/>
                <w:sz w:val="18"/>
              </w:rPr>
            </w:pPr>
            <w:r w:rsidRPr="006070EA">
              <w:rPr>
                <w:rFonts w:asciiTheme="majorHAnsi" w:hAnsiTheme="majorHAnsi" w:cstheme="majorHAnsi"/>
                <w:sz w:val="18"/>
              </w:rPr>
              <w:t>EO</w:t>
            </w:r>
          </w:p>
        </w:tc>
        <w:tc>
          <w:tcPr>
            <w:tcW w:w="1843" w:type="dxa"/>
            <w:vAlign w:val="center"/>
          </w:tcPr>
          <w:p w14:paraId="704F877B" w14:textId="58C43674" w:rsidR="00AB1F4C" w:rsidRPr="006070EA" w:rsidRDefault="00033E23" w:rsidP="009E07E1">
            <w:pPr>
              <w:jc w:val="center"/>
              <w:rPr>
                <w:rFonts w:asciiTheme="majorHAnsi" w:hAnsiTheme="majorHAnsi" w:cstheme="majorHAnsi"/>
                <w:sz w:val="18"/>
              </w:rPr>
            </w:pPr>
            <w:r w:rsidRPr="006070EA">
              <w:rPr>
                <w:rFonts w:asciiTheme="majorHAnsi" w:hAnsiTheme="majorHAnsi" w:cstheme="majorHAnsi"/>
                <w:sz w:val="18"/>
              </w:rPr>
              <w:t>1413,75</w:t>
            </w:r>
          </w:p>
        </w:tc>
        <w:tc>
          <w:tcPr>
            <w:tcW w:w="1844" w:type="dxa"/>
            <w:vAlign w:val="center"/>
          </w:tcPr>
          <w:p w14:paraId="360D7CE2" w14:textId="534A64E3" w:rsidR="00AB1F4C" w:rsidRPr="006070EA" w:rsidRDefault="00033E23" w:rsidP="009E07E1">
            <w:pPr>
              <w:jc w:val="center"/>
              <w:rPr>
                <w:rFonts w:asciiTheme="majorHAnsi" w:hAnsiTheme="majorHAnsi" w:cstheme="majorHAnsi"/>
                <w:sz w:val="18"/>
              </w:rPr>
            </w:pPr>
            <w:r w:rsidRPr="006070EA">
              <w:rPr>
                <w:rFonts w:asciiTheme="majorHAnsi" w:hAnsiTheme="majorHAnsi" w:cstheme="majorHAnsi"/>
                <w:sz w:val="18"/>
              </w:rPr>
              <w:t>1529,25</w:t>
            </w:r>
          </w:p>
        </w:tc>
      </w:tr>
    </w:tbl>
    <w:p w14:paraId="09D68709" w14:textId="77777777" w:rsidR="00033E23" w:rsidRPr="006070EA" w:rsidRDefault="00033E23" w:rsidP="00033E23">
      <w:pPr>
        <w:pStyle w:val="Anadpistun"/>
        <w:rPr>
          <w:rFonts w:asciiTheme="majorHAnsi" w:hAnsiTheme="majorHAnsi" w:cstheme="majorHAnsi"/>
        </w:rPr>
      </w:pPr>
      <w:r w:rsidRPr="006070EA">
        <w:rPr>
          <w:rFonts w:asciiTheme="majorHAnsi" w:hAnsiTheme="majorHAnsi" w:cstheme="majorHAnsi"/>
        </w:rPr>
        <w:t>Ochranná pásma vodovodních a kanalizačních řadů</w:t>
      </w:r>
    </w:p>
    <w:p w14:paraId="06071FB1" w14:textId="4399DA00" w:rsidR="00033E23" w:rsidRPr="006070EA" w:rsidRDefault="00033E23" w:rsidP="00033E23">
      <w:pPr>
        <w:pStyle w:val="Atext"/>
        <w:rPr>
          <w:rFonts w:asciiTheme="majorHAnsi" w:hAnsiTheme="majorHAnsi" w:cstheme="majorHAnsi"/>
        </w:rPr>
      </w:pPr>
      <w:r w:rsidRPr="006070EA">
        <w:rPr>
          <w:rFonts w:asciiTheme="majorHAnsi" w:hAnsiTheme="majorHAnsi" w:cstheme="majorHAnsi"/>
        </w:rPr>
        <w:t>K bezprostřední ochraně vodovodních řadů a kanalizačních stok před poškozením se dle zákona č. 274/2001 Sb., o</w:t>
      </w:r>
      <w:r w:rsidR="001C7E4C" w:rsidRPr="006070EA">
        <w:rPr>
          <w:rFonts w:asciiTheme="majorHAnsi" w:hAnsiTheme="majorHAnsi" w:cstheme="majorHAnsi"/>
        </w:rPr>
        <w:t> </w:t>
      </w:r>
      <w:r w:rsidRPr="006070EA">
        <w:rPr>
          <w:rFonts w:asciiTheme="majorHAnsi" w:hAnsiTheme="majorHAnsi" w:cstheme="majorHAnsi"/>
        </w:rPr>
        <w:t>vodovodech a kanalizacích pro veřejnou potřebu a o změně některých zákonů, ve znění pozdějších předpisů (dále také jen „zákon o vodovodech a kanalizacích“), vymezují ochranná pásma vodovodních řadů a kanalizačních stok.</w:t>
      </w:r>
    </w:p>
    <w:p w14:paraId="5A577E59" w14:textId="77777777" w:rsidR="00033E23" w:rsidRPr="006070EA" w:rsidRDefault="00033E23" w:rsidP="00033E23">
      <w:pPr>
        <w:pStyle w:val="Atext"/>
        <w:rPr>
          <w:rFonts w:asciiTheme="majorHAnsi" w:hAnsiTheme="majorHAnsi" w:cstheme="majorHAnsi"/>
        </w:rPr>
      </w:pPr>
      <w:r w:rsidRPr="006070EA">
        <w:rPr>
          <w:rFonts w:asciiTheme="majorHAnsi" w:hAnsiTheme="majorHAnsi" w:cstheme="majorHAnsi"/>
        </w:rPr>
        <w:t>Ochranná pásma jsou vymezena vodorovnou vzdáleností od vnějšího líce stěny potrubí nebo kanalizační stoky na každou stranu a to:</w:t>
      </w:r>
    </w:p>
    <w:p w14:paraId="69970D3F" w14:textId="77777777" w:rsidR="00033E23" w:rsidRPr="006070EA" w:rsidRDefault="00033E23" w:rsidP="00033E23">
      <w:pPr>
        <w:pStyle w:val="Odstavecseseznamem"/>
        <w:numPr>
          <w:ilvl w:val="0"/>
          <w:numId w:val="8"/>
        </w:numPr>
        <w:spacing w:after="60" w:line="240" w:lineRule="auto"/>
        <w:jc w:val="both"/>
        <w:rPr>
          <w:rFonts w:asciiTheme="majorHAnsi" w:hAnsiTheme="majorHAnsi" w:cstheme="majorHAnsi"/>
          <w:sz w:val="18"/>
        </w:rPr>
      </w:pPr>
      <w:r w:rsidRPr="006070EA">
        <w:rPr>
          <w:rFonts w:asciiTheme="majorHAnsi" w:hAnsiTheme="majorHAnsi" w:cstheme="majorHAnsi"/>
          <w:sz w:val="18"/>
        </w:rPr>
        <w:t>u vodovodních řadů a kanalizačních stok do průměru 500 mm včetně</w:t>
      </w:r>
      <w:r w:rsidRPr="006070EA">
        <w:rPr>
          <w:rFonts w:asciiTheme="majorHAnsi" w:hAnsiTheme="majorHAnsi" w:cstheme="majorHAnsi"/>
          <w:sz w:val="18"/>
        </w:rPr>
        <w:tab/>
      </w:r>
      <w:r w:rsidRPr="006070EA">
        <w:rPr>
          <w:rFonts w:asciiTheme="majorHAnsi" w:hAnsiTheme="majorHAnsi" w:cstheme="majorHAnsi"/>
          <w:sz w:val="18"/>
        </w:rPr>
        <w:tab/>
        <w:t>1,5 m,</w:t>
      </w:r>
    </w:p>
    <w:p w14:paraId="62E41FD2" w14:textId="77777777" w:rsidR="00033E23" w:rsidRPr="006070EA" w:rsidRDefault="00033E23" w:rsidP="00033E23">
      <w:pPr>
        <w:pStyle w:val="Odstavecseseznamem"/>
        <w:numPr>
          <w:ilvl w:val="0"/>
          <w:numId w:val="8"/>
        </w:numPr>
        <w:spacing w:after="0" w:line="240" w:lineRule="auto"/>
        <w:contextualSpacing w:val="0"/>
        <w:jc w:val="both"/>
        <w:rPr>
          <w:rFonts w:asciiTheme="majorHAnsi" w:hAnsiTheme="majorHAnsi" w:cstheme="majorHAnsi"/>
          <w:sz w:val="18"/>
        </w:rPr>
      </w:pPr>
      <w:r w:rsidRPr="006070EA">
        <w:rPr>
          <w:rFonts w:asciiTheme="majorHAnsi" w:hAnsiTheme="majorHAnsi" w:cstheme="majorHAnsi"/>
          <w:sz w:val="18"/>
        </w:rPr>
        <w:t xml:space="preserve">u vodovodních řadů a kanalizačních stok nad průměr 500 mm </w:t>
      </w:r>
      <w:r w:rsidRPr="006070EA">
        <w:rPr>
          <w:rFonts w:asciiTheme="majorHAnsi" w:hAnsiTheme="majorHAnsi" w:cstheme="majorHAnsi"/>
          <w:sz w:val="18"/>
        </w:rPr>
        <w:tab/>
      </w:r>
      <w:r w:rsidRPr="006070EA">
        <w:rPr>
          <w:rFonts w:asciiTheme="majorHAnsi" w:hAnsiTheme="majorHAnsi" w:cstheme="majorHAnsi"/>
          <w:sz w:val="18"/>
        </w:rPr>
        <w:tab/>
      </w:r>
      <w:r w:rsidRPr="006070EA">
        <w:rPr>
          <w:rFonts w:asciiTheme="majorHAnsi" w:hAnsiTheme="majorHAnsi" w:cstheme="majorHAnsi"/>
          <w:sz w:val="18"/>
        </w:rPr>
        <w:tab/>
        <w:t>2,5 m,</w:t>
      </w:r>
    </w:p>
    <w:p w14:paraId="64A5B7BE" w14:textId="77777777" w:rsidR="00033E23" w:rsidRPr="006070EA" w:rsidRDefault="00033E23" w:rsidP="00033E23">
      <w:pPr>
        <w:pStyle w:val="Odstavecseseznamem"/>
        <w:numPr>
          <w:ilvl w:val="0"/>
          <w:numId w:val="8"/>
        </w:numPr>
        <w:spacing w:after="60" w:line="240" w:lineRule="auto"/>
        <w:contextualSpacing w:val="0"/>
        <w:jc w:val="both"/>
        <w:rPr>
          <w:rFonts w:asciiTheme="majorHAnsi" w:hAnsiTheme="majorHAnsi" w:cstheme="majorHAnsi"/>
          <w:sz w:val="18"/>
        </w:rPr>
      </w:pPr>
      <w:r w:rsidRPr="006070EA">
        <w:rPr>
          <w:rFonts w:asciiTheme="majorHAnsi" w:hAnsiTheme="majorHAnsi" w:cstheme="majorHAnsi"/>
          <w:sz w:val="18"/>
        </w:rPr>
        <w:t>u vodovodních řadů nebo kanalizačních stok o průměru nad 200 mm, jejichž dno je uloženo v hloubce větší než 2,5 m pod upraveným povrchem, se vzdálenosti podle písmene a) nebo b) od vnějšího líce zvyšují o 1 m.</w:t>
      </w:r>
    </w:p>
    <w:p w14:paraId="4486E8E9" w14:textId="77777777" w:rsidR="00033E23" w:rsidRPr="006070EA" w:rsidRDefault="00033E23" w:rsidP="00033E23">
      <w:pPr>
        <w:pStyle w:val="Atext"/>
        <w:rPr>
          <w:rFonts w:asciiTheme="majorHAnsi" w:hAnsiTheme="majorHAnsi" w:cstheme="majorHAnsi"/>
        </w:rPr>
      </w:pPr>
      <w:r w:rsidRPr="006070EA">
        <w:rPr>
          <w:rFonts w:asciiTheme="majorHAnsi" w:hAnsiTheme="majorHAnsi" w:cstheme="majorHAnsi"/>
        </w:rPr>
        <w:t>Výjimku z ochranného pásma může v odůvodněných případech povolit vodoprávní úřad. Při povolování výjimky přihlédne vodoprávní úřad k technickým možnostem řešení při současném zabezpečení ochrany vodovodního řadu nebo kanalizační stoky a k technicko-bezpečnostní ochraně zájmů dotčených osob.</w:t>
      </w:r>
    </w:p>
    <w:p w14:paraId="06A21A46" w14:textId="77777777" w:rsidR="00033E23" w:rsidRPr="006070EA" w:rsidRDefault="00033E23" w:rsidP="00033E23">
      <w:pPr>
        <w:pStyle w:val="Atext"/>
        <w:rPr>
          <w:rFonts w:asciiTheme="majorHAnsi" w:hAnsiTheme="majorHAnsi" w:cstheme="majorHAnsi"/>
        </w:rPr>
      </w:pPr>
      <w:r w:rsidRPr="006070EA">
        <w:rPr>
          <w:rFonts w:asciiTheme="majorHAnsi" w:hAnsiTheme="majorHAnsi" w:cstheme="majorHAnsi"/>
        </w:rPr>
        <w:t>V ochranném pásmu vodovodního řadu nebo kanalizační stoky lze provádět některé činnosti jen s písemným souhlasem vlastníka vodovodu nebo kanalizace, popřípadě pořizovatele (pokud tak vyplývá z provozní smlouvy). Jedná se zejména o následující činnosti:</w:t>
      </w:r>
    </w:p>
    <w:p w14:paraId="13D6AAED" w14:textId="77777777" w:rsidR="00033E23" w:rsidRPr="006070EA" w:rsidRDefault="00033E23" w:rsidP="00033E23">
      <w:pPr>
        <w:pStyle w:val="Odstavecseseznamem"/>
        <w:numPr>
          <w:ilvl w:val="0"/>
          <w:numId w:val="4"/>
        </w:numPr>
        <w:spacing w:after="60" w:line="240" w:lineRule="auto"/>
        <w:jc w:val="both"/>
        <w:rPr>
          <w:rFonts w:asciiTheme="majorHAnsi" w:hAnsiTheme="majorHAnsi" w:cstheme="majorHAnsi"/>
          <w:sz w:val="18"/>
        </w:rPr>
      </w:pPr>
      <w:r w:rsidRPr="006070EA">
        <w:rPr>
          <w:rFonts w:asciiTheme="majorHAnsi" w:hAnsiTheme="majorHAnsi" w:cstheme="majorHAnsi"/>
          <w:sz w:val="18"/>
        </w:rPr>
        <w:t>provádění zemních prací, staveb, umisťování konstrukcí nebo jiných podobných zařízení či provádění činností, které omezují přístup k vodovodnímu řadu nebo kanalizační stoce nebo které by mohly ohrozit jejich technický stav nebo plynulé provozování,</w:t>
      </w:r>
    </w:p>
    <w:p w14:paraId="2D68021E" w14:textId="77777777" w:rsidR="00033E23" w:rsidRPr="006070EA" w:rsidRDefault="00033E23" w:rsidP="00033E23">
      <w:pPr>
        <w:pStyle w:val="Odstavecseseznamem"/>
        <w:numPr>
          <w:ilvl w:val="0"/>
          <w:numId w:val="4"/>
        </w:numPr>
        <w:spacing w:after="60" w:line="240" w:lineRule="auto"/>
        <w:jc w:val="both"/>
        <w:rPr>
          <w:rFonts w:asciiTheme="majorHAnsi" w:hAnsiTheme="majorHAnsi" w:cstheme="majorHAnsi"/>
          <w:sz w:val="18"/>
        </w:rPr>
      </w:pPr>
      <w:r w:rsidRPr="006070EA">
        <w:rPr>
          <w:rFonts w:asciiTheme="majorHAnsi" w:hAnsiTheme="majorHAnsi" w:cstheme="majorHAnsi"/>
          <w:sz w:val="18"/>
        </w:rPr>
        <w:t>vysazování trvalých porostů,</w:t>
      </w:r>
    </w:p>
    <w:p w14:paraId="0A25FF56" w14:textId="77777777" w:rsidR="00033E23" w:rsidRPr="006070EA" w:rsidRDefault="00033E23" w:rsidP="00033E23">
      <w:pPr>
        <w:pStyle w:val="Odstavecseseznamem"/>
        <w:numPr>
          <w:ilvl w:val="0"/>
          <w:numId w:val="4"/>
        </w:numPr>
        <w:spacing w:after="60" w:line="240" w:lineRule="auto"/>
        <w:jc w:val="both"/>
        <w:rPr>
          <w:rFonts w:asciiTheme="majorHAnsi" w:hAnsiTheme="majorHAnsi" w:cstheme="majorHAnsi"/>
          <w:sz w:val="18"/>
        </w:rPr>
      </w:pPr>
      <w:r w:rsidRPr="006070EA">
        <w:rPr>
          <w:rFonts w:asciiTheme="majorHAnsi" w:hAnsiTheme="majorHAnsi" w:cstheme="majorHAnsi"/>
          <w:sz w:val="18"/>
        </w:rPr>
        <w:t>provádění skládek jakéhokoliv odpadu,</w:t>
      </w:r>
    </w:p>
    <w:p w14:paraId="6EC12FD3" w14:textId="77777777" w:rsidR="00033E23" w:rsidRPr="006070EA" w:rsidRDefault="00033E23" w:rsidP="00033E23">
      <w:pPr>
        <w:pStyle w:val="Odstavecseseznamem"/>
        <w:numPr>
          <w:ilvl w:val="0"/>
          <w:numId w:val="4"/>
        </w:numPr>
        <w:spacing w:after="60" w:line="240" w:lineRule="auto"/>
        <w:jc w:val="both"/>
        <w:rPr>
          <w:rFonts w:asciiTheme="majorHAnsi" w:hAnsiTheme="majorHAnsi" w:cstheme="majorHAnsi"/>
          <w:sz w:val="18"/>
        </w:rPr>
      </w:pPr>
      <w:r w:rsidRPr="006070EA">
        <w:rPr>
          <w:rFonts w:asciiTheme="majorHAnsi" w:hAnsiTheme="majorHAnsi" w:cstheme="majorHAnsi"/>
          <w:sz w:val="18"/>
        </w:rPr>
        <w:lastRenderedPageBreak/>
        <w:t>provádění terénních úprav.</w:t>
      </w:r>
    </w:p>
    <w:p w14:paraId="53C6429A" w14:textId="77777777" w:rsidR="00AB1F4C" w:rsidRPr="006070EA" w:rsidRDefault="00AB1F4C" w:rsidP="00EF7B4B">
      <w:pPr>
        <w:keepNext/>
        <w:spacing w:before="120" w:after="120" w:line="240" w:lineRule="auto"/>
        <w:jc w:val="both"/>
        <w:rPr>
          <w:rFonts w:asciiTheme="majorHAnsi" w:hAnsiTheme="majorHAnsi" w:cstheme="majorHAnsi"/>
          <w:b/>
          <w:sz w:val="18"/>
        </w:rPr>
      </w:pPr>
      <w:r w:rsidRPr="006070EA">
        <w:rPr>
          <w:rFonts w:asciiTheme="majorHAnsi" w:hAnsiTheme="majorHAnsi" w:cstheme="majorHAnsi"/>
          <w:b/>
          <w:sz w:val="18"/>
        </w:rPr>
        <w:t>Odůvodnění koncepce kanalizace a odstraňování odpadních vod</w:t>
      </w:r>
    </w:p>
    <w:p w14:paraId="77F5E708" w14:textId="63987032" w:rsidR="005E58EF" w:rsidRPr="006070EA" w:rsidRDefault="00AB1F4C" w:rsidP="00EF7B4B">
      <w:pPr>
        <w:keepLines/>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Koncepce kanalizace a odstraňování odpadních vod </w:t>
      </w:r>
      <w:r w:rsidR="00A803E3" w:rsidRPr="006070EA">
        <w:rPr>
          <w:rFonts w:asciiTheme="majorHAnsi" w:hAnsiTheme="majorHAnsi" w:cstheme="majorHAnsi"/>
          <w:sz w:val="18"/>
        </w:rPr>
        <w:t>vychází zejména z</w:t>
      </w:r>
      <w:r w:rsidRPr="006070EA">
        <w:rPr>
          <w:rFonts w:asciiTheme="majorHAnsi" w:hAnsiTheme="majorHAnsi" w:cstheme="majorHAnsi"/>
          <w:sz w:val="18"/>
        </w:rPr>
        <w:t> Plán</w:t>
      </w:r>
      <w:r w:rsidR="00A803E3" w:rsidRPr="006070EA">
        <w:rPr>
          <w:rFonts w:asciiTheme="majorHAnsi" w:hAnsiTheme="majorHAnsi" w:cstheme="majorHAnsi"/>
          <w:sz w:val="18"/>
        </w:rPr>
        <w:t>u</w:t>
      </w:r>
      <w:r w:rsidRPr="006070EA">
        <w:rPr>
          <w:rFonts w:asciiTheme="majorHAnsi" w:hAnsiTheme="majorHAnsi" w:cstheme="majorHAnsi"/>
          <w:sz w:val="18"/>
        </w:rPr>
        <w:t xml:space="preserve"> rozvoje vodovodů a</w:t>
      </w:r>
      <w:r w:rsidR="00ED791D" w:rsidRPr="006070EA">
        <w:rPr>
          <w:rFonts w:asciiTheme="majorHAnsi" w:hAnsiTheme="majorHAnsi" w:cstheme="majorHAnsi"/>
          <w:sz w:val="18"/>
        </w:rPr>
        <w:t> </w:t>
      </w:r>
      <w:r w:rsidRPr="006070EA">
        <w:rPr>
          <w:rFonts w:asciiTheme="majorHAnsi" w:hAnsiTheme="majorHAnsi" w:cstheme="majorHAnsi"/>
          <w:sz w:val="18"/>
        </w:rPr>
        <w:t xml:space="preserve">kanalizací </w:t>
      </w:r>
      <w:r w:rsidR="00033E23" w:rsidRPr="006070EA">
        <w:rPr>
          <w:rFonts w:asciiTheme="majorHAnsi" w:hAnsiTheme="majorHAnsi" w:cstheme="majorHAnsi"/>
          <w:sz w:val="18"/>
        </w:rPr>
        <w:t>Středočeského</w:t>
      </w:r>
      <w:r w:rsidRPr="006070EA">
        <w:rPr>
          <w:rFonts w:asciiTheme="majorHAnsi" w:hAnsiTheme="majorHAnsi" w:cstheme="majorHAnsi"/>
          <w:sz w:val="18"/>
        </w:rPr>
        <w:t xml:space="preserve"> kraje</w:t>
      </w:r>
      <w:r w:rsidR="00DF720B" w:rsidRPr="006070EA">
        <w:rPr>
          <w:rFonts w:asciiTheme="majorHAnsi" w:hAnsiTheme="majorHAnsi" w:cstheme="majorHAnsi"/>
          <w:sz w:val="18"/>
        </w:rPr>
        <w:t>, platn</w:t>
      </w:r>
      <w:r w:rsidR="00A803E3" w:rsidRPr="006070EA">
        <w:rPr>
          <w:rFonts w:asciiTheme="majorHAnsi" w:hAnsiTheme="majorHAnsi" w:cstheme="majorHAnsi"/>
          <w:sz w:val="18"/>
        </w:rPr>
        <w:t>é</w:t>
      </w:r>
      <w:r w:rsidR="00DF720B" w:rsidRPr="006070EA">
        <w:rPr>
          <w:rFonts w:asciiTheme="majorHAnsi" w:hAnsiTheme="majorHAnsi" w:cstheme="majorHAnsi"/>
          <w:sz w:val="18"/>
        </w:rPr>
        <w:t xml:space="preserve"> ÚPD obce, studi</w:t>
      </w:r>
      <w:r w:rsidR="00A803E3" w:rsidRPr="006070EA">
        <w:rPr>
          <w:rFonts w:asciiTheme="majorHAnsi" w:hAnsiTheme="majorHAnsi" w:cstheme="majorHAnsi"/>
          <w:sz w:val="18"/>
        </w:rPr>
        <w:t>e</w:t>
      </w:r>
      <w:r w:rsidR="00DF720B" w:rsidRPr="006070EA">
        <w:rPr>
          <w:rFonts w:asciiTheme="majorHAnsi" w:hAnsiTheme="majorHAnsi" w:cstheme="majorHAnsi"/>
          <w:sz w:val="18"/>
        </w:rPr>
        <w:t xml:space="preserve"> </w:t>
      </w:r>
      <w:r w:rsidR="00033E23" w:rsidRPr="006070EA">
        <w:rPr>
          <w:rFonts w:asciiTheme="majorHAnsi" w:hAnsiTheme="majorHAnsi" w:cstheme="majorHAnsi"/>
          <w:sz w:val="18"/>
        </w:rPr>
        <w:t xml:space="preserve">Splašková kanalizace Vápensko a Rozkoš </w:t>
      </w:r>
      <w:r w:rsidR="00DF720B" w:rsidRPr="006070EA">
        <w:rPr>
          <w:rFonts w:asciiTheme="majorHAnsi" w:hAnsiTheme="majorHAnsi" w:cstheme="majorHAnsi"/>
          <w:sz w:val="18"/>
        </w:rPr>
        <w:t>(</w:t>
      </w:r>
      <w:r w:rsidR="00033E23" w:rsidRPr="006070EA">
        <w:rPr>
          <w:rFonts w:asciiTheme="majorHAnsi" w:hAnsiTheme="majorHAnsi" w:cstheme="majorHAnsi"/>
          <w:sz w:val="18"/>
        </w:rPr>
        <w:t>IKKO Hradec Králové, s.r.o.</w:t>
      </w:r>
      <w:r w:rsidR="00DF720B" w:rsidRPr="006070EA">
        <w:rPr>
          <w:rFonts w:asciiTheme="majorHAnsi" w:hAnsiTheme="majorHAnsi" w:cstheme="majorHAnsi"/>
          <w:sz w:val="18"/>
        </w:rPr>
        <w:t>) a</w:t>
      </w:r>
      <w:r w:rsidR="00033E23" w:rsidRPr="006070EA">
        <w:rPr>
          <w:rFonts w:asciiTheme="majorHAnsi" w:hAnsiTheme="majorHAnsi" w:cstheme="majorHAnsi"/>
          <w:sz w:val="18"/>
        </w:rPr>
        <w:t xml:space="preserve"> projektové </w:t>
      </w:r>
      <w:r w:rsidR="00033E23" w:rsidRPr="006070EA">
        <w:rPr>
          <w:rFonts w:asciiTheme="majorHAnsi" w:hAnsiTheme="majorHAnsi" w:cstheme="majorHAnsi"/>
          <w:sz w:val="18"/>
          <w:szCs w:val="20"/>
        </w:rPr>
        <w:t>dokumentace (DÚR+DSP</w:t>
      </w:r>
      <w:r w:rsidR="00033E23" w:rsidRPr="006070EA">
        <w:rPr>
          <w:rFonts w:asciiTheme="majorHAnsi" w:hAnsiTheme="majorHAnsi" w:cstheme="majorHAnsi"/>
          <w:sz w:val="18"/>
        </w:rPr>
        <w:t xml:space="preserve">) Kostomlaty nad Labem – Kanalizace a vodovod – Vápensko a Rozkoš (FIALA PROJEKTY s.r.o., 11/2019). </w:t>
      </w:r>
      <w:r w:rsidR="005E58EF" w:rsidRPr="006070EA">
        <w:rPr>
          <w:rFonts w:asciiTheme="majorHAnsi" w:hAnsiTheme="majorHAnsi" w:cstheme="majorHAnsi"/>
          <w:sz w:val="18"/>
        </w:rPr>
        <w:t xml:space="preserve">Navržené řešení je v souladu s požadavky PÚR ČR, ZÚR </w:t>
      </w:r>
      <w:r w:rsidR="00033E23" w:rsidRPr="006070EA">
        <w:rPr>
          <w:rFonts w:asciiTheme="majorHAnsi" w:hAnsiTheme="majorHAnsi" w:cstheme="majorHAnsi"/>
          <w:sz w:val="18"/>
        </w:rPr>
        <w:t>SK</w:t>
      </w:r>
      <w:r w:rsidR="005E58EF" w:rsidRPr="006070EA">
        <w:rPr>
          <w:rFonts w:asciiTheme="majorHAnsi" w:hAnsiTheme="majorHAnsi" w:cstheme="majorHAnsi"/>
          <w:sz w:val="18"/>
        </w:rPr>
        <w:t xml:space="preserve"> a oborových koncepcí na zajištění kvalitního a</w:t>
      </w:r>
      <w:r w:rsidR="00033E23" w:rsidRPr="006070EA">
        <w:rPr>
          <w:rFonts w:asciiTheme="majorHAnsi" w:hAnsiTheme="majorHAnsi" w:cstheme="majorHAnsi"/>
          <w:sz w:val="18"/>
        </w:rPr>
        <w:t> </w:t>
      </w:r>
      <w:r w:rsidR="005E58EF" w:rsidRPr="006070EA">
        <w:rPr>
          <w:rFonts w:asciiTheme="majorHAnsi" w:hAnsiTheme="majorHAnsi" w:cstheme="majorHAnsi"/>
          <w:sz w:val="18"/>
        </w:rPr>
        <w:t xml:space="preserve">udržitelného systému odvádění a čištění odpadních vod. </w:t>
      </w:r>
    </w:p>
    <w:p w14:paraId="7BBF0E6D" w14:textId="1A0E68F9" w:rsidR="00F541BF" w:rsidRPr="006070EA" w:rsidRDefault="00033E23" w:rsidP="00FC2281">
      <w:pPr>
        <w:pStyle w:val="Atext"/>
        <w:rPr>
          <w:rFonts w:asciiTheme="majorHAnsi" w:hAnsiTheme="majorHAnsi" w:cstheme="majorHAnsi"/>
          <w:szCs w:val="18"/>
        </w:rPr>
      </w:pPr>
      <w:r w:rsidRPr="006070EA">
        <w:rPr>
          <w:rFonts w:asciiTheme="majorHAnsi" w:hAnsiTheme="majorHAnsi" w:cstheme="majorHAnsi"/>
          <w:szCs w:val="18"/>
        </w:rPr>
        <w:t xml:space="preserve">Stávající způsob odkanalizování s vyústěním na ČOV Kostomlaty nad Labem bude zachován a dále rozvíjen. ČOV disponuje dostatečnou rezervou i pro uvažovaný stavební rozvoj. Územní plán v souladu se zpracovanými podklady a PRVK SK navrhuje napojit na </w:t>
      </w:r>
      <w:r w:rsidR="00F541BF" w:rsidRPr="006070EA">
        <w:rPr>
          <w:rFonts w:asciiTheme="majorHAnsi" w:hAnsiTheme="majorHAnsi" w:cstheme="majorHAnsi"/>
          <w:szCs w:val="18"/>
        </w:rPr>
        <w:t>kanalizační</w:t>
      </w:r>
      <w:r w:rsidRPr="006070EA">
        <w:rPr>
          <w:rFonts w:asciiTheme="majorHAnsi" w:hAnsiTheme="majorHAnsi" w:cstheme="majorHAnsi"/>
          <w:szCs w:val="18"/>
        </w:rPr>
        <w:t xml:space="preserve"> síť místní části Rozkoš a Vápensko dle zpracované projektové dokumentace (DÚR+DSP) </w:t>
      </w:r>
      <w:r w:rsidRPr="006070EA">
        <w:rPr>
          <w:rFonts w:asciiTheme="majorHAnsi" w:hAnsiTheme="majorHAnsi" w:cstheme="majorHAnsi"/>
          <w:i/>
          <w:iCs w:val="0"/>
          <w:szCs w:val="18"/>
        </w:rPr>
        <w:t>Kostomlaty nad Labem – Kanalizace a vodovod – Vápensko a Rozkoš</w:t>
      </w:r>
      <w:r w:rsidRPr="006070EA">
        <w:rPr>
          <w:rFonts w:asciiTheme="majorHAnsi" w:hAnsiTheme="majorHAnsi" w:cstheme="majorHAnsi"/>
          <w:szCs w:val="18"/>
        </w:rPr>
        <w:t xml:space="preserve"> (FIALA PROJEKTY s.r.o., 11/2019). Pro</w:t>
      </w:r>
      <w:r w:rsidR="00F541BF" w:rsidRPr="006070EA">
        <w:rPr>
          <w:rFonts w:asciiTheme="majorHAnsi" w:hAnsiTheme="majorHAnsi" w:cstheme="majorHAnsi"/>
          <w:szCs w:val="18"/>
        </w:rPr>
        <w:t> </w:t>
      </w:r>
      <w:r w:rsidRPr="006070EA">
        <w:rPr>
          <w:rFonts w:asciiTheme="majorHAnsi" w:hAnsiTheme="majorHAnsi" w:cstheme="majorHAnsi"/>
          <w:szCs w:val="18"/>
        </w:rPr>
        <w:t xml:space="preserve">uvažovaný záměr vymezuje ÚP </w:t>
      </w:r>
      <w:r w:rsidRPr="006070EA">
        <w:rPr>
          <w:rFonts w:asciiTheme="majorHAnsi" w:hAnsiTheme="majorHAnsi" w:cstheme="majorHAnsi"/>
          <w:b/>
          <w:bCs w:val="0"/>
          <w:szCs w:val="18"/>
        </w:rPr>
        <w:t>koridor</w:t>
      </w:r>
      <w:r w:rsidRPr="006070EA">
        <w:rPr>
          <w:rFonts w:asciiTheme="majorHAnsi" w:hAnsiTheme="majorHAnsi" w:cstheme="majorHAnsi"/>
          <w:szCs w:val="18"/>
        </w:rPr>
        <w:t xml:space="preserve"> technické infrastruktury </w:t>
      </w:r>
      <w:r w:rsidR="007361C1" w:rsidRPr="006070EA">
        <w:rPr>
          <w:rFonts w:asciiTheme="majorHAnsi" w:hAnsiTheme="majorHAnsi" w:cstheme="majorHAnsi"/>
          <w:b/>
          <w:bCs w:val="0"/>
          <w:szCs w:val="18"/>
        </w:rPr>
        <w:t>CNU.</w:t>
      </w:r>
      <w:r w:rsidRPr="006070EA">
        <w:rPr>
          <w:rFonts w:asciiTheme="majorHAnsi" w:hAnsiTheme="majorHAnsi" w:cstheme="majorHAnsi"/>
          <w:b/>
          <w:bCs w:val="0"/>
          <w:szCs w:val="18"/>
        </w:rPr>
        <w:t>KTI1</w:t>
      </w:r>
      <w:r w:rsidRPr="006070EA">
        <w:rPr>
          <w:rFonts w:asciiTheme="majorHAnsi" w:hAnsiTheme="majorHAnsi" w:cstheme="majorHAnsi"/>
          <w:szCs w:val="18"/>
        </w:rPr>
        <w:t xml:space="preserve">. </w:t>
      </w:r>
    </w:p>
    <w:p w14:paraId="6B996175" w14:textId="152CD964" w:rsidR="00F541BF" w:rsidRPr="006070EA" w:rsidRDefault="00F541BF" w:rsidP="00F541BF">
      <w:pPr>
        <w:spacing w:before="120" w:after="120" w:line="240" w:lineRule="auto"/>
        <w:ind w:firstLine="709"/>
        <w:jc w:val="both"/>
        <w:rPr>
          <w:rFonts w:asciiTheme="majorHAnsi" w:hAnsiTheme="majorHAnsi" w:cstheme="majorHAnsi"/>
          <w:sz w:val="18"/>
        </w:rPr>
      </w:pPr>
      <w:r w:rsidRPr="006070EA">
        <w:rPr>
          <w:rFonts w:asciiTheme="majorHAnsi" w:hAnsiTheme="majorHAnsi" w:cstheme="majorHAnsi"/>
          <w:sz w:val="18"/>
        </w:rPr>
        <w:t>Základní informace o technickém řešení výstavby kanalizace v Rozkoši a Vápensku dle zpracované projektové dokumentace jsou uvedeny níže (citace kurzí</w:t>
      </w:r>
      <w:r w:rsidR="007361C1" w:rsidRPr="006070EA">
        <w:rPr>
          <w:rFonts w:asciiTheme="majorHAnsi" w:hAnsiTheme="majorHAnsi" w:cstheme="majorHAnsi"/>
          <w:sz w:val="18"/>
        </w:rPr>
        <w:t>v</w:t>
      </w:r>
      <w:r w:rsidRPr="006070EA">
        <w:rPr>
          <w:rFonts w:asciiTheme="majorHAnsi" w:hAnsiTheme="majorHAnsi" w:cstheme="majorHAnsi"/>
          <w:sz w:val="18"/>
        </w:rPr>
        <w:t>ou):</w:t>
      </w:r>
    </w:p>
    <w:p w14:paraId="254B4D73" w14:textId="3551B0FB" w:rsidR="00FC2281" w:rsidRPr="006070EA" w:rsidRDefault="00FC228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Tato projektová dokumentace (dále jen P.D.), řeší výstavbu splaškové tlakové kanalizace v místních částech Rozkoš a</w:t>
      </w:r>
      <w:r w:rsidR="007361C1" w:rsidRPr="006070EA">
        <w:rPr>
          <w:rFonts w:asciiTheme="majorHAnsi" w:hAnsiTheme="majorHAnsi" w:cstheme="majorHAnsi"/>
          <w:i/>
          <w:iCs/>
          <w:sz w:val="18"/>
        </w:rPr>
        <w:t> </w:t>
      </w:r>
      <w:r w:rsidRPr="006070EA">
        <w:rPr>
          <w:rFonts w:asciiTheme="majorHAnsi" w:hAnsiTheme="majorHAnsi" w:cstheme="majorHAnsi"/>
          <w:i/>
          <w:iCs/>
          <w:sz w:val="18"/>
        </w:rPr>
        <w:t>Vápensko. Součástí P.D. jsou navrženy na tlakové kanalizaci výtlaky z domovních čerpacích stanic (DČS) u jednotlivých nemovitostí. Technický pokrok, který je způsoben nejen vývojem v možnostech použití lehčích trubních materiálů, ale i rozvojem čerpací a mělnící techniky, umožňuje jejich využití v tlakových systémech stokových sítí (dále jen TSS).</w:t>
      </w:r>
    </w:p>
    <w:p w14:paraId="1835C4CB" w14:textId="391FB30E" w:rsidR="00FC2281" w:rsidRPr="006070EA" w:rsidRDefault="00FC228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 xml:space="preserve">Podstatou tlakové kanalizace je svedení domovních odpadních vod z domácností ležatou gravitační kanalizací přímo do domovních čerpacích jímek, ze kterých jsou tlakovým potrubím (PE </w:t>
      </w:r>
      <w:proofErr w:type="gramStart"/>
      <w:r w:rsidRPr="006070EA">
        <w:rPr>
          <w:rFonts w:asciiTheme="majorHAnsi" w:hAnsiTheme="majorHAnsi" w:cstheme="majorHAnsi"/>
          <w:i/>
          <w:iCs/>
          <w:sz w:val="18"/>
        </w:rPr>
        <w:t>40 – 63</w:t>
      </w:r>
      <w:proofErr w:type="gramEnd"/>
      <w:r w:rsidRPr="006070EA">
        <w:rPr>
          <w:rFonts w:asciiTheme="majorHAnsi" w:hAnsiTheme="majorHAnsi" w:cstheme="majorHAnsi"/>
          <w:i/>
          <w:iCs/>
          <w:sz w:val="18"/>
        </w:rPr>
        <w:t xml:space="preserve"> mm) dopravovány do stávající tlakové kanalizace v Kostomlatech nad Labem a v Hroněticích. V jímkách jsou osazena ponorná čerpadla s drtiči nebo řezáky (čerpací stanice), která jsou automaticky zapínána při naplnění jímky. TSS je výhodné využít k dopravě splaškových (domovních) odpadních vod, které vznikají v domácnostech a komunální sféře, nikoliv však k odvádění dešťových (povrchových) vod. TSS sestává z rozvětvené tlakové potrubní sítě. Zdroje tlaků jsou vždy umístěny na začátku tlakových potrubí – u producentů OV. Tímto místem je sběrná čerpací jímka DČS na pozemku odvodňované nemovitosti.</w:t>
      </w:r>
    </w:p>
    <w:p w14:paraId="33261EA9" w14:textId="77777777" w:rsidR="00FC2281" w:rsidRPr="006070EA" w:rsidRDefault="00FC2281" w:rsidP="00FC2281">
      <w:pPr>
        <w:spacing w:before="120" w:after="120" w:line="240" w:lineRule="auto"/>
        <w:ind w:firstLine="709"/>
        <w:jc w:val="both"/>
        <w:rPr>
          <w:rFonts w:asciiTheme="majorHAnsi" w:hAnsiTheme="majorHAnsi" w:cstheme="majorHAnsi"/>
          <w:i/>
          <w:iCs/>
          <w:sz w:val="18"/>
          <w:u w:val="single"/>
        </w:rPr>
      </w:pPr>
      <w:r w:rsidRPr="006070EA">
        <w:rPr>
          <w:rFonts w:asciiTheme="majorHAnsi" w:hAnsiTheme="majorHAnsi" w:cstheme="majorHAnsi"/>
          <w:i/>
          <w:iCs/>
          <w:sz w:val="18"/>
          <w:u w:val="single"/>
        </w:rPr>
        <w:t>1.1.1 Stávající stav</w:t>
      </w:r>
    </w:p>
    <w:p w14:paraId="35DC95A7" w14:textId="5372D866" w:rsidR="00FC2281" w:rsidRPr="006070EA" w:rsidRDefault="00FC228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V současné době nemají místní části Rozkoš a Vápensko vybudovanou žádnou kanalizační soustavu pro odvádění splaškových vod. Producenti odpadů akumulují splaškové vody v jímkách – žumpách na vlastních pozemcích. Tyto však mnohdy nesplňují, ať již záměrně nebo vlivem stáří díla, atesty vodotěsnosti a kontaminují hladiny podzemních vod v obci.</w:t>
      </w:r>
    </w:p>
    <w:p w14:paraId="399F8C11" w14:textId="6D53FCEB" w:rsidR="00FC2281" w:rsidRPr="006070EA" w:rsidRDefault="00FC228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Důsledkem systematického řešení likvidace odpadních splaškových vod z obce bude nepochybný efekt zvýšení úrovně čistoty povrchových a podzemních vod v obci, tak i v navazujících ekosystémech po toku Vlkavy a Hronětického náhonu.</w:t>
      </w:r>
    </w:p>
    <w:p w14:paraId="38CD47C9" w14:textId="77777777" w:rsidR="00FC2281" w:rsidRPr="006070EA" w:rsidRDefault="00FC228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1.1.2 SO 02 Tlaková splašková kanalizace</w:t>
      </w:r>
    </w:p>
    <w:p w14:paraId="6D19F06B" w14:textId="788E9F25" w:rsidR="00FC2281" w:rsidRPr="006070EA" w:rsidRDefault="00FC228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Tlaková kanalizace v lokalitě je navržena jako větevní síť z materiálu tlakových stok PE100 RC, SDR11 s hnědými pruhy a ochranným opláštěným příslušné dimenze. Potrubí bude svařováno pomocí elektrotvarovek. V ostrých směrových lomech bude využito tvarovek – oblouků, v uzlech odbočných tvarovek. Potrubí určené pro bezvýkopové technologie musí být od výroby vybaveno povrchovou úpravou trubky, potaženou PP vrstvou chránící potrubí před mechanickým poškozením.</w:t>
      </w:r>
    </w:p>
    <w:p w14:paraId="684482AC" w14:textId="77777777" w:rsidR="00634591" w:rsidRPr="006070EA" w:rsidRDefault="00FC228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Páteřní větev TK V1 a její odbočka TK V1.1, V1.2, V1.3 prochází celou obcí v silnici III/2725. Na</w:t>
      </w:r>
      <w:r w:rsidR="00634591" w:rsidRPr="006070EA">
        <w:rPr>
          <w:rFonts w:asciiTheme="majorHAnsi" w:hAnsiTheme="majorHAnsi" w:cstheme="majorHAnsi"/>
          <w:i/>
          <w:iCs/>
          <w:sz w:val="18"/>
        </w:rPr>
        <w:t xml:space="preserve"> </w:t>
      </w:r>
      <w:r w:rsidRPr="006070EA">
        <w:rPr>
          <w:rFonts w:asciiTheme="majorHAnsi" w:hAnsiTheme="majorHAnsi" w:cstheme="majorHAnsi"/>
          <w:i/>
          <w:iCs/>
          <w:sz w:val="18"/>
        </w:rPr>
        <w:t>větvi TK V1 jsou navrženy ostatní odbočky tlakové kanalizace TK V1.1, TK V1.2, TK V1.3.</w:t>
      </w:r>
      <w:r w:rsidR="00634591" w:rsidRPr="006070EA">
        <w:rPr>
          <w:rFonts w:asciiTheme="majorHAnsi" w:hAnsiTheme="majorHAnsi" w:cstheme="majorHAnsi"/>
          <w:i/>
          <w:iCs/>
          <w:sz w:val="18"/>
        </w:rPr>
        <w:t xml:space="preserve"> </w:t>
      </w:r>
    </w:p>
    <w:p w14:paraId="2FF3B7C2" w14:textId="0589C649" w:rsidR="00FC2281" w:rsidRPr="006070EA" w:rsidRDefault="0063459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V</w:t>
      </w:r>
      <w:r w:rsidR="00FC2281" w:rsidRPr="006070EA">
        <w:rPr>
          <w:rFonts w:asciiTheme="majorHAnsi" w:hAnsiTheme="majorHAnsi" w:cstheme="majorHAnsi"/>
          <w:i/>
          <w:iCs/>
          <w:sz w:val="18"/>
        </w:rPr>
        <w:t xml:space="preserve">ětev TK V1 kříží vodní tok Hronětický náhon a dráhu (trať) </w:t>
      </w:r>
      <w:proofErr w:type="gramStart"/>
      <w:r w:rsidR="00FC2281" w:rsidRPr="006070EA">
        <w:rPr>
          <w:rFonts w:asciiTheme="majorHAnsi" w:hAnsiTheme="majorHAnsi" w:cstheme="majorHAnsi"/>
          <w:i/>
          <w:iCs/>
          <w:sz w:val="18"/>
        </w:rPr>
        <w:t>Všetaty - Nymburk</w:t>
      </w:r>
      <w:proofErr w:type="gramEnd"/>
      <w:r w:rsidR="00FC2281" w:rsidRPr="006070EA">
        <w:rPr>
          <w:rFonts w:asciiTheme="majorHAnsi" w:hAnsiTheme="majorHAnsi" w:cstheme="majorHAnsi"/>
          <w:i/>
          <w:iCs/>
          <w:sz w:val="18"/>
        </w:rPr>
        <w:t>. V těchto místech</w:t>
      </w:r>
      <w:r w:rsidRPr="006070EA">
        <w:rPr>
          <w:rFonts w:asciiTheme="majorHAnsi" w:hAnsiTheme="majorHAnsi" w:cstheme="majorHAnsi"/>
          <w:i/>
          <w:iCs/>
          <w:sz w:val="18"/>
        </w:rPr>
        <w:t xml:space="preserve"> </w:t>
      </w:r>
      <w:r w:rsidR="00FC2281" w:rsidRPr="006070EA">
        <w:rPr>
          <w:rFonts w:asciiTheme="majorHAnsi" w:hAnsiTheme="majorHAnsi" w:cstheme="majorHAnsi"/>
          <w:i/>
          <w:iCs/>
          <w:sz w:val="18"/>
        </w:rPr>
        <w:t>bude kanalizace uložena v chráničce. Chránička bude realizována bezvýkopovou technologií.</w:t>
      </w:r>
      <w:r w:rsidRPr="006070EA">
        <w:rPr>
          <w:rFonts w:asciiTheme="majorHAnsi" w:hAnsiTheme="majorHAnsi" w:cstheme="majorHAnsi"/>
          <w:i/>
          <w:iCs/>
          <w:sz w:val="18"/>
        </w:rPr>
        <w:t xml:space="preserve"> </w:t>
      </w:r>
      <w:r w:rsidR="00FC2281" w:rsidRPr="006070EA">
        <w:rPr>
          <w:rFonts w:asciiTheme="majorHAnsi" w:hAnsiTheme="majorHAnsi" w:cstheme="majorHAnsi"/>
          <w:i/>
          <w:iCs/>
          <w:sz w:val="18"/>
        </w:rPr>
        <w:t>Krytí chráničky od dna potoka bude min. 1,4 m.</w:t>
      </w:r>
    </w:p>
    <w:p w14:paraId="2EF083E3" w14:textId="07819F0F" w:rsidR="00FC2281" w:rsidRPr="006070EA" w:rsidRDefault="00FC2281" w:rsidP="00FC2281">
      <w:pPr>
        <w:spacing w:before="120" w:after="120" w:line="240" w:lineRule="auto"/>
        <w:ind w:firstLine="709"/>
        <w:jc w:val="both"/>
        <w:rPr>
          <w:rFonts w:asciiTheme="majorHAnsi" w:hAnsiTheme="majorHAnsi" w:cstheme="majorHAnsi"/>
          <w:i/>
          <w:iCs/>
          <w:sz w:val="18"/>
        </w:rPr>
      </w:pPr>
      <w:r w:rsidRPr="006070EA">
        <w:rPr>
          <w:rFonts w:asciiTheme="majorHAnsi" w:hAnsiTheme="majorHAnsi" w:cstheme="majorHAnsi"/>
          <w:i/>
          <w:iCs/>
          <w:sz w:val="18"/>
        </w:rPr>
        <w:t>Do zahájení zemních prací stavebník zajistí polohopisné a výškopisné vytýčení všech podzemních</w:t>
      </w:r>
      <w:r w:rsidR="00634591" w:rsidRPr="006070EA">
        <w:rPr>
          <w:rFonts w:asciiTheme="majorHAnsi" w:hAnsiTheme="majorHAnsi" w:cstheme="majorHAnsi"/>
          <w:i/>
          <w:iCs/>
          <w:sz w:val="18"/>
        </w:rPr>
        <w:t xml:space="preserve"> </w:t>
      </w:r>
      <w:r w:rsidRPr="006070EA">
        <w:rPr>
          <w:rFonts w:asciiTheme="majorHAnsi" w:hAnsiTheme="majorHAnsi" w:cstheme="majorHAnsi"/>
          <w:i/>
          <w:iCs/>
          <w:sz w:val="18"/>
        </w:rPr>
        <w:t>vedení, křižujících i</w:t>
      </w:r>
      <w:r w:rsidR="00634591" w:rsidRPr="006070EA">
        <w:rPr>
          <w:rFonts w:asciiTheme="majorHAnsi" w:hAnsiTheme="majorHAnsi" w:cstheme="majorHAnsi"/>
          <w:i/>
          <w:iCs/>
          <w:sz w:val="18"/>
        </w:rPr>
        <w:t> </w:t>
      </w:r>
      <w:r w:rsidRPr="006070EA">
        <w:rPr>
          <w:rFonts w:asciiTheme="majorHAnsi" w:hAnsiTheme="majorHAnsi" w:cstheme="majorHAnsi"/>
          <w:i/>
          <w:iCs/>
          <w:sz w:val="18"/>
        </w:rPr>
        <w:t>souběžných inženýrských sítí od příslušných správců a zabezpečí jejich</w:t>
      </w:r>
      <w:r w:rsidR="00634591" w:rsidRPr="006070EA">
        <w:rPr>
          <w:rFonts w:asciiTheme="majorHAnsi" w:hAnsiTheme="majorHAnsi" w:cstheme="majorHAnsi"/>
          <w:i/>
          <w:iCs/>
          <w:sz w:val="18"/>
        </w:rPr>
        <w:t xml:space="preserve"> </w:t>
      </w:r>
      <w:r w:rsidRPr="006070EA">
        <w:rPr>
          <w:rFonts w:asciiTheme="majorHAnsi" w:hAnsiTheme="majorHAnsi" w:cstheme="majorHAnsi"/>
          <w:i/>
          <w:iCs/>
          <w:sz w:val="18"/>
        </w:rPr>
        <w:t>vyznačení v terénu.</w:t>
      </w:r>
    </w:p>
    <w:p w14:paraId="2FAD1CFC" w14:textId="2872A769" w:rsidR="00AB1F4C" w:rsidRPr="006070EA" w:rsidRDefault="00AB1F4C" w:rsidP="009E07E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Územním plánem jsou </w:t>
      </w:r>
      <w:r w:rsidR="00FC2281" w:rsidRPr="006070EA">
        <w:rPr>
          <w:rFonts w:asciiTheme="majorHAnsi" w:hAnsiTheme="majorHAnsi" w:cstheme="majorHAnsi"/>
          <w:sz w:val="18"/>
        </w:rPr>
        <w:t xml:space="preserve">dále </w:t>
      </w:r>
      <w:r w:rsidRPr="006070EA">
        <w:rPr>
          <w:rFonts w:asciiTheme="majorHAnsi" w:hAnsiTheme="majorHAnsi" w:cstheme="majorHAnsi"/>
          <w:sz w:val="18"/>
        </w:rPr>
        <w:t>v rámci hlavního, přípustného či podmíněně přípustného využití stanoveny podmínky pro realizaci staveb a sítí technické infrastruktury ve všech plochách s rozdílným způsobem využití.</w:t>
      </w:r>
    </w:p>
    <w:p w14:paraId="1F3DCBC9" w14:textId="77777777" w:rsidR="00AB1F4C" w:rsidRPr="006070EA" w:rsidRDefault="00AB1F4C" w:rsidP="009E07E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Při realizaci nové zástavby je třeba postupovat v souladu s ustanovením § 5 zákona č. 254/2001 Sb., o vodách a</w:t>
      </w:r>
      <w:r w:rsidR="001A3DCA" w:rsidRPr="006070EA">
        <w:rPr>
          <w:rFonts w:asciiTheme="majorHAnsi" w:hAnsiTheme="majorHAnsi" w:cstheme="majorHAnsi"/>
          <w:sz w:val="18"/>
        </w:rPr>
        <w:t> </w:t>
      </w:r>
      <w:r w:rsidRPr="006070EA">
        <w:rPr>
          <w:rFonts w:asciiTheme="majorHAnsi" w:hAnsiTheme="majorHAnsi" w:cstheme="majorHAnsi"/>
          <w:sz w:val="18"/>
        </w:rPr>
        <w:t>o</w:t>
      </w:r>
      <w:r w:rsidR="001A3DCA" w:rsidRPr="006070EA">
        <w:rPr>
          <w:rFonts w:asciiTheme="majorHAnsi" w:hAnsiTheme="majorHAnsi" w:cstheme="majorHAnsi"/>
          <w:sz w:val="18"/>
        </w:rPr>
        <w:t> </w:t>
      </w:r>
      <w:r w:rsidRPr="006070EA">
        <w:rPr>
          <w:rFonts w:asciiTheme="majorHAnsi" w:hAnsiTheme="majorHAnsi" w:cstheme="majorHAnsi"/>
          <w:sz w:val="18"/>
        </w:rPr>
        <w:t>změně některých zákonů (vodní zákon), ve znění pozdějších předpisů, tzn. zabezpečit zásobování těchto lokalit vodou a</w:t>
      </w:r>
      <w:r w:rsidR="001A3DCA" w:rsidRPr="006070EA">
        <w:rPr>
          <w:rFonts w:asciiTheme="majorHAnsi" w:hAnsiTheme="majorHAnsi" w:cstheme="majorHAnsi"/>
          <w:sz w:val="18"/>
        </w:rPr>
        <w:t> </w:t>
      </w:r>
      <w:r w:rsidRPr="006070EA">
        <w:rPr>
          <w:rFonts w:asciiTheme="majorHAnsi" w:hAnsiTheme="majorHAnsi" w:cstheme="majorHAnsi"/>
          <w:sz w:val="18"/>
        </w:rPr>
        <w:t>zajistit odvádění, čištění, popřípadě jiné zneškodňování odpadních vod.</w:t>
      </w:r>
    </w:p>
    <w:p w14:paraId="20BFA880" w14:textId="0D6BF6DF" w:rsidR="003317EA" w:rsidRPr="006070EA" w:rsidRDefault="003317EA" w:rsidP="003317EA">
      <w:pPr>
        <w:pStyle w:val="Atext"/>
        <w:spacing w:before="60" w:after="60"/>
        <w:rPr>
          <w:rFonts w:asciiTheme="majorHAnsi" w:hAnsiTheme="majorHAnsi" w:cstheme="majorHAnsi"/>
          <w:lang w:eastAsia="cs-CZ"/>
        </w:rPr>
      </w:pPr>
      <w:r w:rsidRPr="006070EA">
        <w:rPr>
          <w:rFonts w:asciiTheme="majorHAnsi" w:hAnsiTheme="majorHAnsi" w:cstheme="majorHAnsi"/>
        </w:rPr>
        <w:t xml:space="preserve">Zákres stávajících kanalizačních řadů včetně objektů na síti je znázorněn v grafické části Odůvodnění územního plánu ve výkrese </w:t>
      </w:r>
      <w:r w:rsidR="007361C1" w:rsidRPr="006070EA">
        <w:rPr>
          <w:rFonts w:asciiTheme="majorHAnsi" w:hAnsiTheme="majorHAnsi" w:cstheme="majorHAnsi"/>
          <w:i/>
        </w:rPr>
        <w:t>4</w:t>
      </w:r>
      <w:r w:rsidRPr="006070EA">
        <w:rPr>
          <w:rFonts w:asciiTheme="majorHAnsi" w:hAnsiTheme="majorHAnsi" w:cstheme="majorHAnsi"/>
          <w:i/>
        </w:rPr>
        <w:t> Koordinační výkres</w:t>
      </w:r>
      <w:r w:rsidRPr="006070EA">
        <w:rPr>
          <w:rFonts w:asciiTheme="majorHAnsi" w:hAnsiTheme="majorHAnsi" w:cstheme="majorHAnsi"/>
        </w:rPr>
        <w:t>. S ohledem na měřítko výkresu jde pouze o schematické vyjádření koncepce kanalizace a</w:t>
      </w:r>
      <w:r w:rsidR="007361C1" w:rsidRPr="006070EA">
        <w:rPr>
          <w:rFonts w:asciiTheme="majorHAnsi" w:hAnsiTheme="majorHAnsi" w:cstheme="majorHAnsi"/>
        </w:rPr>
        <w:t> </w:t>
      </w:r>
      <w:r w:rsidRPr="006070EA">
        <w:rPr>
          <w:rFonts w:asciiTheme="majorHAnsi" w:hAnsiTheme="majorHAnsi" w:cstheme="majorHAnsi"/>
        </w:rPr>
        <w:t xml:space="preserve">odstraňování odpadních vod bez vztahu k jednotlivým pozemkovým parcelám. </w:t>
      </w:r>
      <w:r w:rsidRPr="006070EA">
        <w:rPr>
          <w:rFonts w:asciiTheme="majorHAnsi" w:hAnsiTheme="majorHAnsi" w:cstheme="majorHAnsi"/>
          <w:lang w:eastAsia="cs-CZ"/>
        </w:rPr>
        <w:t>V navazujících řízeních tak nejsou vyloučeny změny tras jednotlivých řadů a umístění objektů na vodovodní síti.</w:t>
      </w:r>
    </w:p>
    <w:p w14:paraId="1E98AC61" w14:textId="77777777" w:rsidR="000431A8" w:rsidRPr="006070EA" w:rsidRDefault="000431A8" w:rsidP="009E07E1">
      <w:pPr>
        <w:pStyle w:val="Anadpistun"/>
        <w:rPr>
          <w:rFonts w:asciiTheme="majorHAnsi" w:hAnsiTheme="majorHAnsi" w:cstheme="majorHAnsi"/>
        </w:rPr>
      </w:pPr>
      <w:r w:rsidRPr="006070EA">
        <w:rPr>
          <w:rFonts w:asciiTheme="majorHAnsi" w:hAnsiTheme="majorHAnsi" w:cstheme="majorHAnsi"/>
        </w:rPr>
        <w:lastRenderedPageBreak/>
        <w:t>Koncepce odstraňování dešťových vod</w:t>
      </w:r>
    </w:p>
    <w:p w14:paraId="6219C79F" w14:textId="77777777" w:rsidR="000431A8" w:rsidRPr="006070EA" w:rsidRDefault="000431A8" w:rsidP="00EF7B4B">
      <w:pPr>
        <w:pStyle w:val="Norml"/>
        <w:keepLines/>
        <w:spacing w:before="60" w:after="60"/>
        <w:ind w:firstLine="709"/>
        <w:rPr>
          <w:rFonts w:asciiTheme="majorHAnsi" w:hAnsiTheme="majorHAnsi" w:cstheme="majorHAnsi"/>
        </w:rPr>
      </w:pPr>
      <w:r w:rsidRPr="006070EA">
        <w:rPr>
          <w:rFonts w:asciiTheme="majorHAnsi" w:hAnsiTheme="majorHAnsi" w:cstheme="majorHAnsi"/>
        </w:rPr>
        <w:t>Nakládání s dešťovými vodami se řídí zákonem č. 254/2001 Sb., ve znění pozdějších předpisů. Na</w:t>
      </w:r>
      <w:r w:rsidR="00783537" w:rsidRPr="006070EA">
        <w:rPr>
          <w:rFonts w:asciiTheme="majorHAnsi" w:hAnsiTheme="majorHAnsi" w:cstheme="majorHAnsi"/>
        </w:rPr>
        <w:t> </w:t>
      </w:r>
      <w:r w:rsidRPr="006070EA">
        <w:rPr>
          <w:rFonts w:asciiTheme="majorHAnsi" w:hAnsiTheme="majorHAnsi" w:cstheme="majorHAnsi"/>
        </w:rPr>
        <w:t xml:space="preserve">základě zkušeností posledních let, aktuálních oborových poznatků a světových trendů bude v budoucnu základním cílem udržet maximální množství srážkové vody v místě jejího dopadu. Období budování jednotných kanalizačních systémů, plošného odvodňování zemědělských pozemků, regulací vodních toků, industrializace zemědělské výroby a masivního zpevňování ploch vyvolalo výrazné zrychlení povrchového odtoku. Územní plán deklaruje jednoznačnou podporu takových opatření, která budou směřovat k zadržení srážkové vody v území. </w:t>
      </w:r>
    </w:p>
    <w:p w14:paraId="3DCF6A8C" w14:textId="77777777" w:rsidR="00634591" w:rsidRPr="006070EA" w:rsidRDefault="00634591" w:rsidP="009E07E1">
      <w:pPr>
        <w:pStyle w:val="Atext"/>
        <w:spacing w:before="60" w:after="60"/>
        <w:rPr>
          <w:rFonts w:asciiTheme="majorHAnsi" w:hAnsiTheme="majorHAnsi" w:cstheme="majorHAnsi"/>
        </w:rPr>
      </w:pPr>
      <w:r w:rsidRPr="006070EA">
        <w:rPr>
          <w:rFonts w:asciiTheme="majorHAnsi" w:hAnsiTheme="majorHAnsi" w:cstheme="majorHAnsi"/>
        </w:rPr>
        <w:t xml:space="preserve">S ohledem na požadavek vytváření podmínek pro zadržování, vsakování i využívání dešťových vod jako zdrojů vody (viz např. priorita č. 24 PÚR ČR) je v rámci koncepce likvidace odpadních vod v území upřednostněno odstraňování dešťových vod přímo na pozemcích jednotlivých nemovitostí. Jedná se zároveň o reakci na stávající trendy ve výstavbě, kdy v dřívějších letech docházelo k značnému rozvoji budování zpevněných ploch a jejich odvodňování do kanalizace, čímž docházelo ke zvyšování maximálního průtoku ve stokové síti a k vyčerpání jejích kapacitních možností. </w:t>
      </w:r>
    </w:p>
    <w:p w14:paraId="120C1C6B" w14:textId="7907DDA8" w:rsidR="000431A8" w:rsidRPr="006070EA" w:rsidRDefault="000431A8" w:rsidP="009E07E1">
      <w:pPr>
        <w:pStyle w:val="Atext"/>
        <w:spacing w:before="60" w:after="60"/>
        <w:rPr>
          <w:rFonts w:asciiTheme="majorHAnsi" w:hAnsiTheme="majorHAnsi" w:cstheme="majorHAnsi"/>
        </w:rPr>
      </w:pPr>
      <w:r w:rsidRPr="006070EA">
        <w:rPr>
          <w:rFonts w:asciiTheme="majorHAnsi" w:hAnsiTheme="majorHAnsi" w:cstheme="majorHAnsi"/>
        </w:rPr>
        <w:t>Při zástavbě je nutno dbát na to, aby odtokové poměry z povrchu urbanizovaného území byly po výstavbě srovnatelné se stavem před ní, tzn., aby nedocházelo k výraznému zhoršení odtokových poměrů v</w:t>
      </w:r>
      <w:r w:rsidR="00783537" w:rsidRPr="006070EA">
        <w:rPr>
          <w:rFonts w:asciiTheme="majorHAnsi" w:hAnsiTheme="majorHAnsi" w:cstheme="majorHAnsi"/>
        </w:rPr>
        <w:t> </w:t>
      </w:r>
      <w:r w:rsidRPr="006070EA">
        <w:rPr>
          <w:rFonts w:asciiTheme="majorHAnsi" w:hAnsiTheme="majorHAnsi" w:cstheme="majorHAnsi"/>
        </w:rPr>
        <w:t>území. V zastavěném území a zastavitelných plochách je nutné srážkové vody z důvodu zpomalení odtoku z území v maximální možné míře likvidovány přímo na pozemcích (akumulací, vsakováním) v souladu s vyhláškou č. 501/2006 Sb., o obecných požadavcích na využívání území.</w:t>
      </w:r>
    </w:p>
    <w:p w14:paraId="75AAFFCC" w14:textId="77777777" w:rsidR="000431A8" w:rsidRPr="006070EA" w:rsidRDefault="000431A8" w:rsidP="009E07E1">
      <w:pPr>
        <w:pStyle w:val="Atext"/>
        <w:spacing w:before="60" w:after="60"/>
        <w:rPr>
          <w:rFonts w:asciiTheme="majorHAnsi" w:hAnsiTheme="majorHAnsi" w:cstheme="majorHAnsi"/>
        </w:rPr>
      </w:pPr>
      <w:r w:rsidRPr="006070EA">
        <w:rPr>
          <w:rFonts w:asciiTheme="majorHAnsi" w:hAnsiTheme="majorHAnsi" w:cstheme="majorHAnsi"/>
        </w:rPr>
        <w:t>V zastavěném území a zastavitelných plochách je nezbytné upřednostnit akumulaci a vsakování před přímým zaústěním do odvodňovacích systémů (i povrchových).</w:t>
      </w:r>
    </w:p>
    <w:p w14:paraId="1AD37E4F" w14:textId="2A9C245D" w:rsidR="00AB1F4C" w:rsidRPr="006070EA" w:rsidRDefault="000431A8" w:rsidP="00033E23">
      <w:pPr>
        <w:pStyle w:val="Atext"/>
        <w:spacing w:before="60" w:after="60"/>
        <w:rPr>
          <w:rFonts w:asciiTheme="majorHAnsi" w:hAnsiTheme="majorHAnsi" w:cstheme="majorHAnsi"/>
        </w:rPr>
      </w:pPr>
      <w:r w:rsidRPr="006070EA">
        <w:rPr>
          <w:rFonts w:asciiTheme="majorHAnsi" w:hAnsiTheme="majorHAnsi" w:cstheme="majorHAnsi"/>
        </w:rPr>
        <w:t>V nezastavěném území je nutné podporovat opatření, zejména nestavebního charakteru směřující k obecnému zvyšování retenčních schopností území. Jedná se často o způsoby a postupy hospodaření na zemědělské půdě, ochranná a</w:t>
      </w:r>
      <w:r w:rsidR="00574A12" w:rsidRPr="006070EA">
        <w:rPr>
          <w:rFonts w:asciiTheme="majorHAnsi" w:hAnsiTheme="majorHAnsi" w:cstheme="majorHAnsi"/>
        </w:rPr>
        <w:t> </w:t>
      </w:r>
      <w:r w:rsidRPr="006070EA">
        <w:rPr>
          <w:rFonts w:asciiTheme="majorHAnsi" w:hAnsiTheme="majorHAnsi" w:cstheme="majorHAnsi"/>
        </w:rPr>
        <w:t xml:space="preserve">revitalizační opatření na vodních tocích a v údolních nivách a zásady při navrhování liniových staveb dopravní infrastruktury. </w:t>
      </w:r>
    </w:p>
    <w:p w14:paraId="669D5EA1" w14:textId="1D7CA3FA" w:rsidR="00634591" w:rsidRPr="006070EA" w:rsidRDefault="00634591" w:rsidP="0063459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21590A">
        <w:rPr>
          <w:rFonts w:asciiTheme="majorHAnsi" w:hAnsiTheme="majorHAnsi" w:cstheme="majorHAnsi"/>
          <w:b/>
          <w:i/>
          <w:snapToGrid w:val="0"/>
          <w:u w:val="single"/>
        </w:rPr>
        <w:t>38</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6153E404" w14:textId="46FCFF8E" w:rsidR="00634591" w:rsidRPr="006070EA" w:rsidRDefault="00634591" w:rsidP="00033E23">
      <w:pPr>
        <w:pStyle w:val="Atext"/>
        <w:spacing w:before="60" w:after="60"/>
        <w:rPr>
          <w:rFonts w:asciiTheme="majorHAnsi" w:hAnsiTheme="majorHAnsi" w:cstheme="majorHAnsi"/>
        </w:rPr>
      </w:pPr>
      <w:r w:rsidRPr="006070EA">
        <w:rPr>
          <w:rFonts w:asciiTheme="majorHAnsi" w:hAnsiTheme="majorHAnsi" w:cstheme="majorHAnsi"/>
        </w:rPr>
        <w:t xml:space="preserve">Odůvodnění vymezení koridoru technické infrastruktury </w:t>
      </w:r>
      <w:r w:rsidR="0054075C" w:rsidRPr="006070EA">
        <w:rPr>
          <w:rFonts w:asciiTheme="majorHAnsi" w:hAnsiTheme="majorHAnsi" w:cstheme="majorHAnsi"/>
        </w:rPr>
        <w:t>CNU.</w:t>
      </w:r>
      <w:r w:rsidRPr="006070EA">
        <w:rPr>
          <w:rFonts w:asciiTheme="majorHAnsi" w:hAnsiTheme="majorHAnsi" w:cstheme="majorHAnsi"/>
        </w:rPr>
        <w:t>KTI1 je uvedeno v předchozích částech této kapitoly – Zásobování vodou a Kanalizace a odstraňování odpadních vod (v rámci dílčích odůvodnění jednotlivých koncepcí).</w:t>
      </w:r>
    </w:p>
    <w:p w14:paraId="72A7F6BB" w14:textId="4E5BAF3E" w:rsidR="00634591" w:rsidRPr="006070EA" w:rsidRDefault="00634591" w:rsidP="00634591">
      <w:pPr>
        <w:pStyle w:val="Atext"/>
        <w:keepNext/>
        <w:rPr>
          <w:rFonts w:asciiTheme="majorHAnsi" w:hAnsiTheme="majorHAnsi" w:cstheme="majorHAnsi"/>
        </w:rPr>
      </w:pPr>
      <w:r w:rsidRPr="006070EA">
        <w:rPr>
          <w:rFonts w:asciiTheme="majorHAnsi" w:hAnsiTheme="majorHAnsi" w:cstheme="majorHAnsi"/>
        </w:rPr>
        <w:t>Koridor technické infrastruktury je vymezen v případě, kdy přesné umístění stavby technické infrastruktury není přesně známo a je nutné jej prověřit a zpřesnit v rámci podrobnějších podkladů a dokumentací, případně pro zajištění dostatečného prostoru pro realizaci souvisejících staveb a opatření. Vymezení překryvného koridoru nad odlišnými plochami s</w:t>
      </w:r>
      <w:r w:rsidR="0054075C" w:rsidRPr="006070EA">
        <w:rPr>
          <w:rFonts w:asciiTheme="majorHAnsi" w:hAnsiTheme="majorHAnsi" w:cstheme="majorHAnsi"/>
        </w:rPr>
        <w:t> </w:t>
      </w:r>
      <w:r w:rsidRPr="006070EA">
        <w:rPr>
          <w:rFonts w:asciiTheme="majorHAnsi" w:hAnsiTheme="majorHAnsi" w:cstheme="majorHAnsi"/>
        </w:rPr>
        <w:t>rozdílným způsobem využití představuje způsob, jak vytvořit předpoklady pro umístění stavby technické infrastruktury v optimální poloze bez nutnosti změny ÚP; jedná se o výhodnější způsob, než je varianta vymezení konkrétní užší zastavitelné plochy či plochy přestavby, která se uplatní v případě, kdy je přesné umístění stavby již podrobněji prověřeno.</w:t>
      </w:r>
    </w:p>
    <w:p w14:paraId="4E0C89BF" w14:textId="292316CE" w:rsidR="00634591" w:rsidRPr="006070EA" w:rsidRDefault="00634591" w:rsidP="0063459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21590A">
        <w:rPr>
          <w:rFonts w:asciiTheme="majorHAnsi" w:hAnsiTheme="majorHAnsi" w:cstheme="majorHAnsi"/>
          <w:b/>
          <w:i/>
          <w:snapToGrid w:val="0"/>
          <w:u w:val="single"/>
        </w:rPr>
        <w:t>39</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7A184DC6" w14:textId="3AEE786B" w:rsidR="00634591" w:rsidRPr="006070EA" w:rsidRDefault="00634591" w:rsidP="00634591">
      <w:pPr>
        <w:pStyle w:val="Atext"/>
        <w:spacing w:before="60" w:after="60"/>
        <w:rPr>
          <w:rFonts w:asciiTheme="majorHAnsi" w:hAnsiTheme="majorHAnsi" w:cstheme="majorHAnsi"/>
          <w:color w:val="FF0000"/>
        </w:rPr>
      </w:pPr>
      <w:r w:rsidRPr="006070EA">
        <w:rPr>
          <w:rFonts w:asciiTheme="majorHAnsi" w:hAnsiTheme="majorHAnsi" w:cstheme="majorHAnsi"/>
        </w:rPr>
        <w:t>Po realizaci stavby, pro kterou je koridor vymezen, podmínky stanovené v koridoru automaticky zanikají a platí pouze podmínky stanovené v plochách s rozdílným způsobem využití vymezených pod koridorem. Pokud by pro stavbu technické infrastruktury byly vymezeny širší plochy s rozdílným způsobem využití nebo koridor nepřekryvný, bylo by po realizaci staveb nutné „zbytkové“ části území po dokončení stavby změnit (formou změny územního plánu) na požadované (případně i</w:t>
      </w:r>
      <w:r w:rsidR="0054075C" w:rsidRPr="006070EA">
        <w:rPr>
          <w:rFonts w:asciiTheme="majorHAnsi" w:hAnsiTheme="majorHAnsi" w:cstheme="majorHAnsi"/>
        </w:rPr>
        <w:t> </w:t>
      </w:r>
      <w:r w:rsidRPr="006070EA">
        <w:rPr>
          <w:rFonts w:asciiTheme="majorHAnsi" w:hAnsiTheme="majorHAnsi" w:cstheme="majorHAnsi"/>
        </w:rPr>
        <w:t>stabilizované) plochy s rozdílným způsobem využití. Z tohoto důvodu je řešení v podobě překryvného koridoru výhodnější a</w:t>
      </w:r>
      <w:r w:rsidR="0054075C" w:rsidRPr="006070EA">
        <w:rPr>
          <w:rFonts w:asciiTheme="majorHAnsi" w:hAnsiTheme="majorHAnsi" w:cstheme="majorHAnsi"/>
        </w:rPr>
        <w:t> </w:t>
      </w:r>
      <w:r w:rsidRPr="006070EA">
        <w:rPr>
          <w:rFonts w:asciiTheme="majorHAnsi" w:hAnsiTheme="majorHAnsi" w:cstheme="majorHAnsi"/>
        </w:rPr>
        <w:t>zajišťuje větší flexibilitu územního plánu v případě umisťování staveb veřejné infrastruktury.</w:t>
      </w:r>
    </w:p>
    <w:p w14:paraId="3EA14B61" w14:textId="77777777" w:rsidR="00AB1F4C" w:rsidRPr="006070EA" w:rsidRDefault="00F92BC0" w:rsidP="009E07E1">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Zásobování elektrickou energií</w:t>
      </w:r>
    </w:p>
    <w:p w14:paraId="4CD5A84C" w14:textId="13934E80" w:rsidR="00CB02FC" w:rsidRPr="006070EA" w:rsidRDefault="00CB02FC"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EB2413" w:rsidRPr="006070EA">
        <w:rPr>
          <w:rFonts w:asciiTheme="majorHAnsi" w:hAnsiTheme="majorHAnsi" w:cstheme="majorHAnsi"/>
          <w:b/>
          <w:i/>
          <w:snapToGrid w:val="0"/>
          <w:u w:val="single"/>
        </w:rPr>
        <w:t>4</w:t>
      </w:r>
      <w:r w:rsidR="0021590A">
        <w:rPr>
          <w:rFonts w:asciiTheme="majorHAnsi" w:hAnsiTheme="majorHAnsi" w:cstheme="majorHAnsi"/>
          <w:b/>
          <w:i/>
          <w:snapToGrid w:val="0"/>
          <w:u w:val="single"/>
        </w:rPr>
        <w:t>0</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3BA64034" w14:textId="77777777" w:rsidR="00AB1F4C" w:rsidRPr="006070EA" w:rsidRDefault="008F5CB2" w:rsidP="009E07E1">
      <w:pPr>
        <w:keepNext/>
        <w:tabs>
          <w:tab w:val="left" w:pos="2070"/>
        </w:tabs>
        <w:spacing w:before="120" w:after="60" w:line="240" w:lineRule="auto"/>
        <w:jc w:val="both"/>
        <w:rPr>
          <w:rFonts w:asciiTheme="majorHAnsi" w:hAnsiTheme="majorHAnsi" w:cstheme="majorHAnsi"/>
          <w:b/>
          <w:sz w:val="18"/>
        </w:rPr>
      </w:pPr>
      <w:r w:rsidRPr="006070EA">
        <w:rPr>
          <w:rFonts w:asciiTheme="majorHAnsi" w:hAnsiTheme="majorHAnsi" w:cstheme="majorHAnsi"/>
          <w:b/>
          <w:sz w:val="18"/>
        </w:rPr>
        <w:t>Popis stávající situace</w:t>
      </w:r>
      <w:r w:rsidR="00EB289F" w:rsidRPr="006070EA">
        <w:rPr>
          <w:rFonts w:asciiTheme="majorHAnsi" w:hAnsiTheme="majorHAnsi" w:cstheme="majorHAnsi"/>
          <w:b/>
          <w:sz w:val="18"/>
        </w:rPr>
        <w:t xml:space="preserve"> a návrh</w:t>
      </w:r>
    </w:p>
    <w:p w14:paraId="162DF986" w14:textId="77777777" w:rsidR="0059533B" w:rsidRPr="006070EA" w:rsidRDefault="0059533B" w:rsidP="0059533B">
      <w:pPr>
        <w:spacing w:before="120" w:after="120" w:line="240" w:lineRule="auto"/>
        <w:jc w:val="both"/>
        <w:rPr>
          <w:rFonts w:asciiTheme="majorHAnsi" w:hAnsiTheme="majorHAnsi" w:cstheme="majorHAnsi"/>
          <w:sz w:val="18"/>
          <w:u w:val="single"/>
        </w:rPr>
      </w:pPr>
      <w:r w:rsidRPr="006070EA">
        <w:rPr>
          <w:rFonts w:asciiTheme="majorHAnsi" w:hAnsiTheme="majorHAnsi" w:cstheme="majorHAnsi"/>
          <w:sz w:val="18"/>
          <w:u w:val="single"/>
        </w:rPr>
        <w:t>Způsob napájení</w:t>
      </w:r>
    </w:p>
    <w:p w14:paraId="10F98C29" w14:textId="77777777" w:rsidR="0013478F" w:rsidRPr="006070EA" w:rsidRDefault="0013478F" w:rsidP="0013478F">
      <w:pPr>
        <w:pStyle w:val="Atext"/>
        <w:rPr>
          <w:rFonts w:asciiTheme="majorHAnsi" w:hAnsiTheme="majorHAnsi" w:cstheme="majorHAnsi"/>
          <w:lang w:eastAsia="cs-CZ"/>
        </w:rPr>
      </w:pPr>
      <w:r w:rsidRPr="006070EA">
        <w:rPr>
          <w:rFonts w:asciiTheme="majorHAnsi" w:hAnsiTheme="majorHAnsi" w:cstheme="majorHAnsi"/>
          <w:lang w:eastAsia="cs-CZ"/>
        </w:rPr>
        <w:t xml:space="preserve">Provozovatelem sítě elektrické energie je ČEZ Distribuce, a.s. </w:t>
      </w:r>
    </w:p>
    <w:p w14:paraId="5082AB3A" w14:textId="11B7BD72" w:rsidR="0013478F" w:rsidRPr="006070EA" w:rsidRDefault="0013478F" w:rsidP="0013478F">
      <w:pPr>
        <w:pStyle w:val="Atext"/>
        <w:rPr>
          <w:rFonts w:asciiTheme="majorHAnsi" w:hAnsiTheme="majorHAnsi" w:cstheme="majorHAnsi"/>
          <w:lang w:eastAsia="cs-CZ"/>
        </w:rPr>
      </w:pPr>
      <w:r w:rsidRPr="006070EA">
        <w:rPr>
          <w:rFonts w:asciiTheme="majorHAnsi" w:hAnsiTheme="majorHAnsi" w:cstheme="majorHAnsi"/>
          <w:lang w:eastAsia="cs-CZ"/>
        </w:rPr>
        <w:t xml:space="preserve">Distribuce elektrické energie je realizována vedením vysokého napětí o napěťové hladině 22 kV. Jednotlivé větve tohoto typu vedení jsou zakončeny transformačními stanicemi. </w:t>
      </w:r>
    </w:p>
    <w:p w14:paraId="3FEFC1F6" w14:textId="595B659C" w:rsidR="0013478F" w:rsidRPr="006070EA" w:rsidRDefault="0013478F" w:rsidP="0013478F">
      <w:pPr>
        <w:pStyle w:val="Atext"/>
        <w:rPr>
          <w:rFonts w:asciiTheme="majorHAnsi" w:hAnsiTheme="majorHAnsi" w:cstheme="majorHAnsi"/>
          <w:lang w:eastAsia="cs-CZ"/>
        </w:rPr>
      </w:pPr>
      <w:r w:rsidRPr="006070EA">
        <w:rPr>
          <w:rFonts w:asciiTheme="majorHAnsi" w:hAnsiTheme="majorHAnsi" w:cstheme="majorHAnsi"/>
          <w:lang w:eastAsia="cs-CZ"/>
        </w:rPr>
        <w:t>Téměř celá délka vedení elektrické energie je tvořena nadzemním vedením. Na rozhraní obcí Hradištko a</w:t>
      </w:r>
      <w:r w:rsidR="00EB2413" w:rsidRPr="006070EA">
        <w:rPr>
          <w:rFonts w:asciiTheme="majorHAnsi" w:hAnsiTheme="majorHAnsi" w:cstheme="majorHAnsi"/>
          <w:lang w:eastAsia="cs-CZ"/>
        </w:rPr>
        <w:t> </w:t>
      </w:r>
      <w:r w:rsidRPr="006070EA">
        <w:rPr>
          <w:rFonts w:asciiTheme="majorHAnsi" w:hAnsiTheme="majorHAnsi" w:cstheme="majorHAnsi"/>
          <w:lang w:eastAsia="cs-CZ"/>
        </w:rPr>
        <w:t xml:space="preserve">Kostomlaty nad Labem je venkovní stanice. </w:t>
      </w:r>
    </w:p>
    <w:p w14:paraId="3AC4D2E9" w14:textId="77777777" w:rsidR="00035CF4" w:rsidRPr="006070EA" w:rsidRDefault="00035CF4" w:rsidP="009E07E1">
      <w:pPr>
        <w:spacing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Nadřazené sítě elektrizační soustavy nejsou řešeným územím vedeny. </w:t>
      </w:r>
    </w:p>
    <w:p w14:paraId="2BDC05DE" w14:textId="77777777" w:rsidR="003B69FF" w:rsidRPr="006070EA" w:rsidRDefault="003B69FF" w:rsidP="00511CA4">
      <w:pPr>
        <w:spacing w:before="120" w:after="120" w:line="240" w:lineRule="auto"/>
        <w:jc w:val="both"/>
        <w:rPr>
          <w:rFonts w:asciiTheme="majorHAnsi" w:hAnsiTheme="majorHAnsi" w:cstheme="majorHAnsi"/>
          <w:sz w:val="18"/>
          <w:u w:val="single"/>
        </w:rPr>
      </w:pPr>
      <w:r w:rsidRPr="006070EA">
        <w:rPr>
          <w:rFonts w:asciiTheme="majorHAnsi" w:hAnsiTheme="majorHAnsi" w:cstheme="majorHAnsi"/>
          <w:sz w:val="18"/>
          <w:u w:val="single"/>
        </w:rPr>
        <w:t>Primární rozvod</w:t>
      </w:r>
    </w:p>
    <w:p w14:paraId="6CC57D51" w14:textId="4B19AAE3" w:rsidR="0059533B" w:rsidRPr="006070EA" w:rsidRDefault="0059533B" w:rsidP="0059533B">
      <w:pPr>
        <w:pStyle w:val="Atext"/>
        <w:rPr>
          <w:rFonts w:asciiTheme="majorHAnsi" w:hAnsiTheme="majorHAnsi" w:cstheme="majorHAnsi"/>
        </w:rPr>
      </w:pPr>
      <w:r w:rsidRPr="006070EA">
        <w:rPr>
          <w:rFonts w:asciiTheme="majorHAnsi" w:hAnsiTheme="majorHAnsi" w:cstheme="majorHAnsi"/>
        </w:rPr>
        <w:t>Distribuční a odběratelské trafostanice 22/0,4 kV jsou připojeny nadzemním a kabelovým systémem vn 22 kV. Na většině řešeného území je rozvod vysokého napětí realizován venkovním nadzemním vedením elektrické sítě.</w:t>
      </w:r>
    </w:p>
    <w:p w14:paraId="6D2FE6CE" w14:textId="77777777" w:rsidR="00AB1F4C" w:rsidRPr="006070EA" w:rsidRDefault="00575767" w:rsidP="00EF7B4B">
      <w:pPr>
        <w:keepNext/>
        <w:spacing w:before="120" w:after="120" w:line="240" w:lineRule="auto"/>
        <w:jc w:val="both"/>
        <w:rPr>
          <w:rFonts w:asciiTheme="majorHAnsi" w:hAnsiTheme="majorHAnsi" w:cstheme="majorHAnsi"/>
          <w:sz w:val="18"/>
          <w:u w:val="single"/>
        </w:rPr>
      </w:pPr>
      <w:r w:rsidRPr="006070EA">
        <w:rPr>
          <w:rFonts w:asciiTheme="majorHAnsi" w:hAnsiTheme="majorHAnsi" w:cstheme="majorHAnsi"/>
          <w:sz w:val="18"/>
          <w:u w:val="single"/>
        </w:rPr>
        <w:lastRenderedPageBreak/>
        <w:t>Transformace</w:t>
      </w:r>
      <w:r w:rsidR="00AB1F4C" w:rsidRPr="006070EA">
        <w:rPr>
          <w:rFonts w:asciiTheme="majorHAnsi" w:hAnsiTheme="majorHAnsi" w:cstheme="majorHAnsi"/>
          <w:sz w:val="18"/>
          <w:u w:val="single"/>
        </w:rPr>
        <w:t xml:space="preserve"> </w:t>
      </w:r>
      <w:r w:rsidR="000B1853" w:rsidRPr="006070EA">
        <w:rPr>
          <w:rFonts w:asciiTheme="majorHAnsi" w:hAnsiTheme="majorHAnsi" w:cstheme="majorHAnsi"/>
          <w:sz w:val="18"/>
          <w:u w:val="single"/>
        </w:rPr>
        <w:t>VN</w:t>
      </w:r>
      <w:r w:rsidR="00AB1F4C" w:rsidRPr="006070EA">
        <w:rPr>
          <w:rFonts w:asciiTheme="majorHAnsi" w:hAnsiTheme="majorHAnsi" w:cstheme="majorHAnsi"/>
          <w:sz w:val="18"/>
          <w:u w:val="single"/>
        </w:rPr>
        <w:t>/</w:t>
      </w:r>
      <w:r w:rsidR="000B1853" w:rsidRPr="006070EA">
        <w:rPr>
          <w:rFonts w:asciiTheme="majorHAnsi" w:hAnsiTheme="majorHAnsi" w:cstheme="majorHAnsi"/>
          <w:sz w:val="18"/>
          <w:u w:val="single"/>
        </w:rPr>
        <w:t>NN</w:t>
      </w:r>
    </w:p>
    <w:p w14:paraId="54A088C1" w14:textId="77777777" w:rsidR="0013478F" w:rsidRPr="006070EA" w:rsidRDefault="0013478F" w:rsidP="0013478F">
      <w:pPr>
        <w:pStyle w:val="Atext"/>
        <w:rPr>
          <w:rFonts w:asciiTheme="majorHAnsi" w:hAnsiTheme="majorHAnsi" w:cstheme="majorHAnsi"/>
          <w:color w:val="000000"/>
          <w:szCs w:val="18"/>
        </w:rPr>
      </w:pPr>
      <w:r w:rsidRPr="006070EA">
        <w:rPr>
          <w:rFonts w:asciiTheme="majorHAnsi" w:hAnsiTheme="majorHAnsi" w:cstheme="majorHAnsi"/>
          <w:color w:val="000000"/>
          <w:szCs w:val="18"/>
        </w:rPr>
        <w:t>K transformaci vysokého napětí na nízké slouží celkem 13 distribučních trafostanic.</w:t>
      </w:r>
    </w:p>
    <w:p w14:paraId="2DAB48C7" w14:textId="77777777" w:rsidR="0013478F" w:rsidRPr="006070EA" w:rsidRDefault="0013478F" w:rsidP="0013478F">
      <w:pPr>
        <w:pStyle w:val="Atext"/>
        <w:rPr>
          <w:rFonts w:asciiTheme="majorHAnsi" w:hAnsiTheme="majorHAnsi" w:cstheme="majorHAnsi"/>
          <w:color w:val="000000"/>
          <w:szCs w:val="18"/>
        </w:rPr>
      </w:pPr>
      <w:r w:rsidRPr="006070EA">
        <w:rPr>
          <w:rFonts w:asciiTheme="majorHAnsi" w:hAnsiTheme="majorHAnsi" w:cstheme="majorHAnsi"/>
          <w:b/>
          <w:color w:val="000000"/>
          <w:szCs w:val="18"/>
        </w:rPr>
        <w:t xml:space="preserve">k. ú. Kostomlaty nad Labem </w:t>
      </w:r>
      <w:r w:rsidRPr="006070EA">
        <w:rPr>
          <w:rFonts w:asciiTheme="majorHAnsi" w:hAnsiTheme="majorHAnsi" w:cstheme="majorHAnsi"/>
          <w:b/>
          <w:color w:val="000000"/>
          <w:szCs w:val="18"/>
        </w:rPr>
        <w:tab/>
      </w:r>
      <w:r w:rsidRPr="006070EA">
        <w:rPr>
          <w:rFonts w:asciiTheme="majorHAnsi" w:hAnsiTheme="majorHAnsi" w:cstheme="majorHAnsi"/>
          <w:color w:val="000000"/>
          <w:szCs w:val="18"/>
        </w:rPr>
        <w:tab/>
        <w:t>– 8x Kostomlaty, 1x Rozkoš</w:t>
      </w:r>
    </w:p>
    <w:p w14:paraId="1F13CD04" w14:textId="7CCA4817" w:rsidR="0013478F" w:rsidRPr="006070EA" w:rsidRDefault="0013478F" w:rsidP="0013478F">
      <w:pPr>
        <w:pStyle w:val="Atext"/>
        <w:rPr>
          <w:rFonts w:asciiTheme="majorHAnsi" w:hAnsiTheme="majorHAnsi" w:cstheme="majorHAnsi"/>
          <w:color w:val="000000"/>
          <w:szCs w:val="18"/>
        </w:rPr>
      </w:pPr>
      <w:r w:rsidRPr="006070EA">
        <w:rPr>
          <w:rFonts w:asciiTheme="majorHAnsi" w:hAnsiTheme="majorHAnsi" w:cstheme="majorHAnsi"/>
          <w:b/>
          <w:color w:val="000000"/>
          <w:szCs w:val="18"/>
        </w:rPr>
        <w:t>k. ú. Lány u Kostomlat na Labem</w:t>
      </w:r>
      <w:r w:rsidRPr="006070EA">
        <w:rPr>
          <w:rFonts w:asciiTheme="majorHAnsi" w:hAnsiTheme="majorHAnsi" w:cstheme="majorHAnsi"/>
          <w:color w:val="000000"/>
          <w:szCs w:val="18"/>
        </w:rPr>
        <w:tab/>
        <w:t>– 1x Lány</w:t>
      </w:r>
    </w:p>
    <w:p w14:paraId="3C08A00F" w14:textId="77777777" w:rsidR="0013478F" w:rsidRPr="006070EA" w:rsidRDefault="0013478F" w:rsidP="0087272A">
      <w:pPr>
        <w:spacing w:after="60" w:line="240" w:lineRule="auto"/>
        <w:ind w:firstLine="709"/>
        <w:jc w:val="both"/>
        <w:rPr>
          <w:rFonts w:asciiTheme="majorHAnsi" w:hAnsiTheme="majorHAnsi" w:cstheme="majorHAnsi"/>
          <w:color w:val="000000"/>
          <w:sz w:val="18"/>
          <w:szCs w:val="18"/>
        </w:rPr>
      </w:pPr>
      <w:r w:rsidRPr="006070EA">
        <w:rPr>
          <w:rFonts w:asciiTheme="majorHAnsi" w:hAnsiTheme="majorHAnsi" w:cstheme="majorHAnsi"/>
          <w:b/>
          <w:color w:val="000000"/>
          <w:sz w:val="18"/>
          <w:szCs w:val="18"/>
        </w:rPr>
        <w:t>k. ú. Hronětice</w:t>
      </w:r>
      <w:r w:rsidRPr="006070EA">
        <w:rPr>
          <w:rFonts w:asciiTheme="majorHAnsi" w:hAnsiTheme="majorHAnsi" w:cstheme="majorHAnsi"/>
          <w:color w:val="000000"/>
          <w:sz w:val="18"/>
          <w:szCs w:val="18"/>
        </w:rPr>
        <w:tab/>
      </w:r>
      <w:r w:rsidRPr="006070EA">
        <w:rPr>
          <w:rFonts w:asciiTheme="majorHAnsi" w:hAnsiTheme="majorHAnsi" w:cstheme="majorHAnsi"/>
          <w:color w:val="000000"/>
          <w:sz w:val="18"/>
          <w:szCs w:val="18"/>
        </w:rPr>
        <w:tab/>
      </w:r>
      <w:r w:rsidRPr="006070EA">
        <w:rPr>
          <w:rFonts w:asciiTheme="majorHAnsi" w:hAnsiTheme="majorHAnsi" w:cstheme="majorHAnsi"/>
          <w:color w:val="000000"/>
          <w:sz w:val="18"/>
          <w:szCs w:val="18"/>
        </w:rPr>
        <w:tab/>
        <w:t>– 2x Hronětice, 1x Vápensko</w:t>
      </w:r>
    </w:p>
    <w:p w14:paraId="40B743A0" w14:textId="77777777" w:rsidR="00575767" w:rsidRPr="006070EA" w:rsidRDefault="00575767" w:rsidP="00575767">
      <w:pPr>
        <w:pStyle w:val="Anadpispodtren"/>
        <w:spacing w:after="60"/>
        <w:rPr>
          <w:rFonts w:asciiTheme="majorHAnsi" w:hAnsiTheme="majorHAnsi" w:cstheme="majorHAnsi"/>
        </w:rPr>
      </w:pPr>
      <w:r w:rsidRPr="006070EA">
        <w:rPr>
          <w:rFonts w:asciiTheme="majorHAnsi" w:hAnsiTheme="majorHAnsi" w:cstheme="majorHAnsi"/>
        </w:rPr>
        <w:t>Sekundární rozvod</w:t>
      </w:r>
    </w:p>
    <w:p w14:paraId="51AA1D07" w14:textId="77777777" w:rsidR="00575767" w:rsidRPr="006070EA" w:rsidRDefault="00575767" w:rsidP="00575767">
      <w:pPr>
        <w:pStyle w:val="Anadpispodtren"/>
        <w:keepNext w:val="0"/>
        <w:spacing w:after="60"/>
        <w:ind w:firstLine="709"/>
        <w:rPr>
          <w:rFonts w:asciiTheme="majorHAnsi" w:hAnsiTheme="majorHAnsi" w:cstheme="majorHAnsi"/>
          <w:u w:val="none"/>
        </w:rPr>
      </w:pPr>
      <w:r w:rsidRPr="006070EA">
        <w:rPr>
          <w:rFonts w:asciiTheme="majorHAnsi" w:hAnsiTheme="majorHAnsi" w:cstheme="majorHAnsi"/>
          <w:u w:val="none"/>
        </w:rPr>
        <w:t>Sekundární vedení je provedeno normalizovanou napěťovou soustavou.</w:t>
      </w:r>
    </w:p>
    <w:p w14:paraId="06286F76" w14:textId="1B5C7A67" w:rsidR="00575767" w:rsidRPr="006070EA" w:rsidRDefault="00575767" w:rsidP="00575767">
      <w:pPr>
        <w:pStyle w:val="Atext"/>
        <w:spacing w:before="60" w:after="0"/>
        <w:rPr>
          <w:rFonts w:asciiTheme="majorHAnsi" w:hAnsiTheme="majorHAnsi" w:cstheme="majorHAnsi"/>
        </w:rPr>
      </w:pPr>
      <w:r w:rsidRPr="006070EA">
        <w:rPr>
          <w:rFonts w:asciiTheme="majorHAnsi" w:hAnsiTheme="majorHAnsi" w:cstheme="majorHAnsi"/>
        </w:rPr>
        <w:t>Při napojování zastavitelných ploch a při rekonstrukci současných vrchních vedení nízkého napětí se doporučuje v zastavěném území obce provádět nové elektrorozvody kabelizací. Případné přeložky stávajících energetických zařízení budou řešeny v souladu s § 47 zákona č. 458/2000 Sb., o podmínkách podnikání a o výkonu státní správy v energetických odvětvích a</w:t>
      </w:r>
      <w:r w:rsidR="0054075C" w:rsidRPr="006070EA">
        <w:rPr>
          <w:rFonts w:asciiTheme="majorHAnsi" w:hAnsiTheme="majorHAnsi" w:cstheme="majorHAnsi"/>
        </w:rPr>
        <w:t> </w:t>
      </w:r>
      <w:r w:rsidRPr="006070EA">
        <w:rPr>
          <w:rFonts w:asciiTheme="majorHAnsi" w:hAnsiTheme="majorHAnsi" w:cstheme="majorHAnsi"/>
        </w:rPr>
        <w:t>o změně některých zákonů (energetický zákon), ve znění pozdějších předpisů (dále jen „energetický zákon“).</w:t>
      </w:r>
    </w:p>
    <w:p w14:paraId="7F8D92BA" w14:textId="77777777" w:rsidR="00B43FE7" w:rsidRPr="006070EA" w:rsidRDefault="00B43FE7" w:rsidP="008A0B02">
      <w:pPr>
        <w:pStyle w:val="Import1"/>
        <w:tabs>
          <w:tab w:val="left" w:pos="1985"/>
        </w:tabs>
        <w:spacing w:before="120" w:after="120" w:line="240" w:lineRule="auto"/>
        <w:jc w:val="both"/>
        <w:rPr>
          <w:rFonts w:asciiTheme="majorHAnsi" w:hAnsiTheme="majorHAnsi" w:cstheme="majorHAnsi"/>
          <w:sz w:val="18"/>
          <w:szCs w:val="18"/>
          <w:u w:val="single"/>
        </w:rPr>
      </w:pPr>
      <w:r w:rsidRPr="006070EA">
        <w:rPr>
          <w:rFonts w:asciiTheme="majorHAnsi" w:hAnsiTheme="majorHAnsi" w:cstheme="majorHAnsi"/>
          <w:sz w:val="18"/>
          <w:szCs w:val="18"/>
          <w:u w:val="single"/>
        </w:rPr>
        <w:t>Zajištění výkonu</w:t>
      </w:r>
    </w:p>
    <w:p w14:paraId="5AE4769E" w14:textId="77777777" w:rsidR="009022DC" w:rsidRPr="006070EA" w:rsidRDefault="00F10A03" w:rsidP="0081365B">
      <w:pPr>
        <w:spacing w:before="120" w:after="120"/>
        <w:ind w:firstLine="709"/>
        <w:jc w:val="both"/>
        <w:rPr>
          <w:rFonts w:asciiTheme="majorHAnsi" w:hAnsiTheme="majorHAnsi" w:cstheme="majorHAnsi"/>
          <w:sz w:val="18"/>
          <w:szCs w:val="18"/>
        </w:rPr>
      </w:pPr>
      <w:r w:rsidRPr="006070EA">
        <w:rPr>
          <w:rFonts w:asciiTheme="majorHAnsi" w:hAnsiTheme="majorHAnsi" w:cstheme="majorHAnsi"/>
          <w:sz w:val="18"/>
          <w:szCs w:val="18"/>
        </w:rPr>
        <w:t>Územní plán předpokládá výstavbu výhradně individuálních rodinných domů (cca 11</w:t>
      </w:r>
      <w:r w:rsidR="009022DC" w:rsidRPr="006070EA">
        <w:rPr>
          <w:rFonts w:asciiTheme="majorHAnsi" w:hAnsiTheme="majorHAnsi" w:cstheme="majorHAnsi"/>
          <w:sz w:val="18"/>
          <w:szCs w:val="18"/>
        </w:rPr>
        <w:t>4</w:t>
      </w:r>
      <w:r w:rsidRPr="006070EA">
        <w:rPr>
          <w:rFonts w:asciiTheme="majorHAnsi" w:hAnsiTheme="majorHAnsi" w:cstheme="majorHAnsi"/>
          <w:sz w:val="18"/>
          <w:szCs w:val="18"/>
        </w:rPr>
        <w:t xml:space="preserve"> RD při </w:t>
      </w:r>
      <w:proofErr w:type="gramStart"/>
      <w:r w:rsidRPr="006070EA">
        <w:rPr>
          <w:rFonts w:asciiTheme="majorHAnsi" w:hAnsiTheme="majorHAnsi" w:cstheme="majorHAnsi"/>
          <w:sz w:val="18"/>
          <w:szCs w:val="18"/>
        </w:rPr>
        <w:t>100%</w:t>
      </w:r>
      <w:proofErr w:type="gramEnd"/>
      <w:r w:rsidRPr="006070EA">
        <w:rPr>
          <w:rFonts w:asciiTheme="majorHAnsi" w:hAnsiTheme="majorHAnsi" w:cstheme="majorHAnsi"/>
          <w:sz w:val="18"/>
          <w:szCs w:val="18"/>
        </w:rPr>
        <w:t xml:space="preserve"> realizaci). </w:t>
      </w:r>
      <w:r w:rsidR="009022DC" w:rsidRPr="006070EA">
        <w:rPr>
          <w:rFonts w:asciiTheme="majorHAnsi" w:hAnsiTheme="majorHAnsi" w:cstheme="majorHAnsi"/>
          <w:sz w:val="18"/>
          <w:szCs w:val="18"/>
        </w:rPr>
        <w:t>Vzhledem k tomu, že sídlo Kostomlaty nad Labem, kde je soustředěna většina obyvatel, je plynofikováno, bude využití elektrické energie pro vytápění doplňkové a bude lokalizováno spíše do venkovských sídel, kde jsou zastoupeny také ostatní zdroje energie (spalování fosilních paliv a biomasy apod.).</w:t>
      </w:r>
      <w:r w:rsidR="0081365B" w:rsidRPr="006070EA">
        <w:rPr>
          <w:rFonts w:asciiTheme="majorHAnsi" w:hAnsiTheme="majorHAnsi" w:cstheme="majorHAnsi"/>
          <w:sz w:val="18"/>
          <w:szCs w:val="18"/>
        </w:rPr>
        <w:t xml:space="preserve"> </w:t>
      </w:r>
    </w:p>
    <w:p w14:paraId="3EF849EE" w14:textId="5F804385" w:rsidR="009022DC" w:rsidRPr="006070EA" w:rsidRDefault="009022DC" w:rsidP="0081365B">
      <w:pPr>
        <w:spacing w:before="120" w:after="120"/>
        <w:ind w:firstLine="709"/>
        <w:jc w:val="both"/>
        <w:rPr>
          <w:rFonts w:asciiTheme="majorHAnsi" w:hAnsiTheme="majorHAnsi" w:cstheme="majorHAnsi"/>
          <w:sz w:val="18"/>
          <w:szCs w:val="18"/>
        </w:rPr>
      </w:pPr>
      <w:r w:rsidRPr="006070EA">
        <w:rPr>
          <w:rFonts w:asciiTheme="majorHAnsi" w:hAnsiTheme="majorHAnsi" w:cstheme="majorHAnsi"/>
          <w:sz w:val="18"/>
          <w:szCs w:val="18"/>
        </w:rPr>
        <w:t>S ohledem na současné trendy a možnosti zajištění ekologicky šetrného vytápění individuálních staveb je uvažováno využití elektrické energie pro vytápění u max. 10 % nově realizovaných bytových jednotek. Vytápění navrhované zástavby bude zajišťováno převážně ostatními zdroji energie – plynovod, ostatní zdroje energie (90 %). Bilance nárůstu potřeby elektrické energie u stávající zástavby je uvažována cca 1-2 % ročně (k = 1,35 pro návrhové období do r. 2035).</w:t>
      </w:r>
    </w:p>
    <w:p w14:paraId="499AAE39" w14:textId="5A002E31" w:rsidR="00F10A03" w:rsidRPr="006070EA" w:rsidRDefault="00F10A03" w:rsidP="00F10A03">
      <w:pPr>
        <w:keepNext/>
        <w:spacing w:before="120" w:after="60"/>
        <w:jc w:val="both"/>
        <w:rPr>
          <w:rFonts w:asciiTheme="majorHAnsi" w:hAnsiTheme="majorHAnsi" w:cstheme="majorHAnsi"/>
          <w:sz w:val="18"/>
          <w:szCs w:val="18"/>
          <w:u w:val="single"/>
        </w:rPr>
      </w:pPr>
      <w:r w:rsidRPr="006070EA">
        <w:rPr>
          <w:rFonts w:asciiTheme="majorHAnsi" w:hAnsiTheme="majorHAnsi" w:cstheme="majorHAnsi"/>
          <w:sz w:val="18"/>
          <w:szCs w:val="18"/>
          <w:u w:val="single"/>
        </w:rPr>
        <w:t>Bilance</w:t>
      </w:r>
      <w:r w:rsidR="009022DC" w:rsidRPr="006070EA">
        <w:rPr>
          <w:rFonts w:asciiTheme="majorHAnsi" w:hAnsiTheme="majorHAnsi" w:cstheme="majorHAnsi"/>
          <w:sz w:val="18"/>
          <w:szCs w:val="18"/>
          <w:u w:val="single"/>
        </w:rPr>
        <w:t xml:space="preserve"> potřeby elektrické energie – navrhovaná zástavba</w:t>
      </w:r>
    </w:p>
    <w:p w14:paraId="0BA484F2" w14:textId="045055A6" w:rsidR="009022DC" w:rsidRPr="006070EA" w:rsidRDefault="009022DC" w:rsidP="009022DC">
      <w:pPr>
        <w:pStyle w:val="Atext"/>
        <w:rPr>
          <w:rFonts w:asciiTheme="majorHAnsi" w:eastAsia="Calibri" w:hAnsiTheme="majorHAnsi" w:cstheme="majorHAnsi"/>
        </w:rPr>
      </w:pPr>
      <w:r w:rsidRPr="006070EA">
        <w:rPr>
          <w:rFonts w:asciiTheme="majorHAnsi" w:eastAsia="Calibri" w:hAnsiTheme="majorHAnsi" w:cstheme="majorHAnsi"/>
        </w:rPr>
        <w:t>Výpočet požadovaného příkonu je proveden samostatně pro navrhovanou zástavbu při předpokládaném využití rozvojových ploch pro realizaci 114 bytových jednotek v rodinných domech v návrhovém období do r. 2035. Pro potřeby odběru ostatních rozvojových ploch (zejména průmyslových odběrů a infrastruktury) je uvažováno s 20% navýšením potřeby elektrické energie (k</w:t>
      </w:r>
      <w:r w:rsidRPr="006070EA">
        <w:rPr>
          <w:rFonts w:asciiTheme="majorHAnsi" w:eastAsia="Calibri" w:hAnsiTheme="majorHAnsi" w:cstheme="majorHAnsi"/>
          <w:vertAlign w:val="subscript"/>
        </w:rPr>
        <w:t>2</w:t>
      </w:r>
      <w:r w:rsidRPr="006070EA">
        <w:rPr>
          <w:rFonts w:asciiTheme="majorHAnsi" w:eastAsia="Calibri" w:hAnsiTheme="majorHAnsi" w:cstheme="majorHAnsi"/>
        </w:rPr>
        <w:t> = 0,2).</w:t>
      </w:r>
    </w:p>
    <w:p w14:paraId="418CE300" w14:textId="7A3ECA74" w:rsidR="009022DC" w:rsidRPr="006070EA" w:rsidRDefault="009022DC" w:rsidP="009022DC">
      <w:pPr>
        <w:tabs>
          <w:tab w:val="left" w:pos="720"/>
          <w:tab w:val="left" w:pos="1584"/>
          <w:tab w:val="left" w:pos="1985"/>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before="60" w:after="60" w:line="240" w:lineRule="auto"/>
        <w:ind w:firstLine="709"/>
        <w:jc w:val="both"/>
        <w:rPr>
          <w:rFonts w:asciiTheme="majorHAnsi" w:eastAsia="Times New Roman" w:hAnsiTheme="majorHAnsi" w:cstheme="majorHAnsi"/>
          <w:sz w:val="18"/>
          <w:szCs w:val="18"/>
          <w:lang w:eastAsia="ar-SA"/>
        </w:rPr>
      </w:pPr>
      <w:r w:rsidRPr="006070EA">
        <w:rPr>
          <w:rFonts w:asciiTheme="majorHAnsi" w:eastAsia="Times New Roman" w:hAnsiTheme="majorHAnsi" w:cstheme="majorHAnsi"/>
          <w:color w:val="FF0000"/>
          <w:sz w:val="18"/>
          <w:szCs w:val="18"/>
          <w:lang w:eastAsia="ar-SA"/>
        </w:rPr>
        <w:tab/>
      </w:r>
      <w:r w:rsidR="00FB72ED" w:rsidRPr="006070EA">
        <w:rPr>
          <w:rFonts w:asciiTheme="majorHAnsi" w:eastAsia="Times New Roman" w:hAnsiTheme="majorHAnsi" w:cstheme="majorHAnsi"/>
          <w:sz w:val="18"/>
          <w:szCs w:val="18"/>
          <w:lang w:eastAsia="ar-SA"/>
        </w:rPr>
        <w:t>11</w:t>
      </w:r>
      <w:r w:rsidRPr="006070EA">
        <w:rPr>
          <w:rFonts w:asciiTheme="majorHAnsi" w:eastAsia="Times New Roman" w:hAnsiTheme="majorHAnsi" w:cstheme="majorHAnsi"/>
          <w:sz w:val="18"/>
          <w:szCs w:val="18"/>
          <w:lang w:eastAsia="ar-SA"/>
        </w:rPr>
        <w:t xml:space="preserve"> BJ el. vytápěných</w:t>
      </w:r>
      <w:r w:rsidRPr="006070EA">
        <w:rPr>
          <w:rFonts w:asciiTheme="majorHAnsi" w:eastAsia="Times New Roman" w:hAnsiTheme="majorHAnsi" w:cstheme="majorHAnsi"/>
          <w:sz w:val="18"/>
          <w:szCs w:val="18"/>
          <w:lang w:eastAsia="ar-SA"/>
        </w:rPr>
        <w:tab/>
      </w:r>
      <w:r w:rsidRPr="006070EA">
        <w:rPr>
          <w:rFonts w:asciiTheme="majorHAnsi" w:eastAsia="Times New Roman" w:hAnsiTheme="majorHAnsi" w:cstheme="majorHAnsi"/>
          <w:sz w:val="18"/>
          <w:szCs w:val="18"/>
          <w:lang w:eastAsia="ar-SA"/>
        </w:rPr>
        <w:tab/>
      </w:r>
      <m:oMath>
        <m:sSub>
          <m:sSubPr>
            <m:ctrlPr>
              <w:rPr>
                <w:rFonts w:ascii="Cambria Math" w:eastAsia="Times New Roman" w:hAnsi="Cambria Math" w:cstheme="majorHAnsi"/>
                <w:i/>
                <w:sz w:val="18"/>
                <w:szCs w:val="18"/>
                <w:lang w:eastAsia="ar-SA"/>
              </w:rPr>
            </m:ctrlPr>
          </m:sSubPr>
          <m:e>
            <m:r>
              <w:rPr>
                <w:rFonts w:ascii="Cambria Math" w:eastAsia="Times New Roman" w:hAnsi="Cambria Math" w:cstheme="majorHAnsi"/>
                <w:sz w:val="18"/>
                <w:szCs w:val="18"/>
                <w:lang w:eastAsia="ar-SA"/>
              </w:rPr>
              <m:t>P</m:t>
            </m:r>
          </m:e>
          <m:sub>
            <m:r>
              <w:rPr>
                <w:rFonts w:ascii="Cambria Math" w:eastAsia="Times New Roman" w:hAnsi="Cambria Math" w:cstheme="majorHAnsi"/>
                <w:sz w:val="18"/>
                <w:szCs w:val="18"/>
                <w:lang w:eastAsia="ar-SA"/>
              </w:rPr>
              <m:t>1</m:t>
            </m:r>
          </m:sub>
        </m:sSub>
        <m:r>
          <w:rPr>
            <w:rFonts w:ascii="Cambria Math" w:eastAsia="Times New Roman" w:hAnsi="Cambria Math" w:cstheme="majorHAnsi"/>
            <w:sz w:val="18"/>
            <w:szCs w:val="18"/>
            <w:lang w:eastAsia="ar-SA"/>
          </w:rPr>
          <m:t>=11*</m:t>
        </m:r>
        <m:d>
          <m:dPr>
            <m:ctrlPr>
              <w:rPr>
                <w:rFonts w:ascii="Cambria Math" w:eastAsia="Times New Roman" w:hAnsi="Cambria Math" w:cstheme="majorHAnsi"/>
                <w:i/>
                <w:sz w:val="18"/>
                <w:szCs w:val="18"/>
                <w:lang w:eastAsia="ar-SA"/>
              </w:rPr>
            </m:ctrlPr>
          </m:dPr>
          <m:e>
            <m:r>
              <w:rPr>
                <w:rFonts w:ascii="Cambria Math" w:eastAsia="Times New Roman" w:hAnsi="Cambria Math" w:cstheme="majorHAnsi"/>
                <w:sz w:val="18"/>
                <w:szCs w:val="18"/>
                <w:lang w:eastAsia="ar-SA"/>
              </w:rPr>
              <m:t>6+</m:t>
            </m:r>
            <m:f>
              <m:fPr>
                <m:ctrlPr>
                  <w:rPr>
                    <w:rFonts w:ascii="Cambria Math" w:eastAsia="Times New Roman" w:hAnsi="Cambria Math" w:cstheme="majorHAnsi"/>
                    <w:i/>
                    <w:sz w:val="18"/>
                    <w:szCs w:val="18"/>
                    <w:lang w:eastAsia="ar-SA"/>
                  </w:rPr>
                </m:ctrlPr>
              </m:fPr>
              <m:num>
                <m:r>
                  <w:rPr>
                    <w:rFonts w:ascii="Cambria Math" w:eastAsia="Times New Roman" w:hAnsi="Cambria Math" w:cstheme="majorHAnsi"/>
                    <w:sz w:val="18"/>
                    <w:szCs w:val="18"/>
                    <w:lang w:eastAsia="ar-SA"/>
                  </w:rPr>
                  <m:t>4</m:t>
                </m:r>
              </m:num>
              <m:den>
                <m:rad>
                  <m:radPr>
                    <m:degHide m:val="1"/>
                    <m:ctrlPr>
                      <w:rPr>
                        <w:rFonts w:ascii="Cambria Math" w:eastAsia="Times New Roman" w:hAnsi="Cambria Math" w:cstheme="majorHAnsi"/>
                        <w:i/>
                        <w:sz w:val="18"/>
                        <w:szCs w:val="18"/>
                        <w:lang w:eastAsia="ar-SA"/>
                      </w:rPr>
                    </m:ctrlPr>
                  </m:radPr>
                  <m:deg/>
                  <m:e>
                    <m:r>
                      <w:rPr>
                        <w:rFonts w:ascii="Cambria Math" w:eastAsia="Times New Roman" w:hAnsi="Cambria Math" w:cstheme="majorHAnsi"/>
                        <w:sz w:val="18"/>
                        <w:szCs w:val="18"/>
                        <w:lang w:eastAsia="ar-SA"/>
                      </w:rPr>
                      <m:t>11</m:t>
                    </m:r>
                  </m:e>
                </m:rad>
              </m:den>
            </m:f>
          </m:e>
        </m:d>
        <m:r>
          <w:rPr>
            <w:rFonts w:ascii="Cambria Math" w:eastAsia="Times New Roman" w:hAnsi="Cambria Math" w:cstheme="majorHAnsi"/>
            <w:sz w:val="18"/>
            <w:szCs w:val="18"/>
            <w:lang w:eastAsia="ar-SA"/>
          </w:rPr>
          <m:t>=79</m:t>
        </m:r>
      </m:oMath>
    </w:p>
    <w:p w14:paraId="54ED3B7C" w14:textId="0900518E" w:rsidR="009022DC" w:rsidRPr="006070EA" w:rsidRDefault="009022DC" w:rsidP="009022DC">
      <w:pPr>
        <w:tabs>
          <w:tab w:val="left" w:pos="720"/>
          <w:tab w:val="left" w:pos="1584"/>
          <w:tab w:val="left" w:pos="1985"/>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before="60" w:after="60" w:line="240" w:lineRule="auto"/>
        <w:ind w:firstLine="709"/>
        <w:jc w:val="both"/>
        <w:rPr>
          <w:rFonts w:asciiTheme="majorHAnsi" w:eastAsia="Times New Roman" w:hAnsiTheme="majorHAnsi" w:cstheme="majorHAnsi"/>
          <w:sz w:val="18"/>
          <w:szCs w:val="18"/>
          <w:lang w:eastAsia="ar-SA"/>
        </w:rPr>
      </w:pPr>
      <w:r w:rsidRPr="006070EA">
        <w:rPr>
          <w:rFonts w:asciiTheme="majorHAnsi" w:eastAsia="Times New Roman" w:hAnsiTheme="majorHAnsi" w:cstheme="majorHAnsi"/>
          <w:sz w:val="18"/>
          <w:szCs w:val="18"/>
          <w:lang w:eastAsia="ar-SA"/>
        </w:rPr>
        <w:t>103 BJ ost. vytápění</w:t>
      </w:r>
      <w:r w:rsidRPr="006070EA">
        <w:rPr>
          <w:rFonts w:asciiTheme="majorHAnsi" w:eastAsia="Times New Roman" w:hAnsiTheme="majorHAnsi" w:cstheme="majorHAnsi"/>
          <w:sz w:val="18"/>
          <w:szCs w:val="18"/>
          <w:lang w:eastAsia="ar-SA"/>
        </w:rPr>
        <w:tab/>
      </w:r>
      <w:r w:rsidRPr="006070EA">
        <w:rPr>
          <w:rFonts w:asciiTheme="majorHAnsi" w:eastAsia="Times New Roman" w:hAnsiTheme="majorHAnsi" w:cstheme="majorHAnsi"/>
          <w:sz w:val="18"/>
          <w:szCs w:val="18"/>
          <w:lang w:eastAsia="ar-SA"/>
        </w:rPr>
        <w:tab/>
      </w:r>
      <m:oMath>
        <m:sSub>
          <m:sSubPr>
            <m:ctrlPr>
              <w:rPr>
                <w:rFonts w:ascii="Cambria Math" w:eastAsia="Times New Roman" w:hAnsi="Cambria Math" w:cstheme="majorHAnsi"/>
                <w:i/>
                <w:sz w:val="18"/>
                <w:szCs w:val="18"/>
                <w:lang w:eastAsia="ar-SA"/>
              </w:rPr>
            </m:ctrlPr>
          </m:sSubPr>
          <m:e>
            <m:r>
              <w:rPr>
                <w:rFonts w:ascii="Cambria Math" w:eastAsia="Times New Roman" w:hAnsi="Cambria Math" w:cstheme="majorHAnsi"/>
                <w:sz w:val="18"/>
                <w:szCs w:val="18"/>
                <w:lang w:eastAsia="ar-SA"/>
              </w:rPr>
              <m:t>P</m:t>
            </m:r>
          </m:e>
          <m:sub>
            <m:r>
              <w:rPr>
                <w:rFonts w:ascii="Cambria Math" w:eastAsia="Times New Roman" w:hAnsi="Cambria Math" w:cstheme="majorHAnsi"/>
                <w:sz w:val="18"/>
                <w:szCs w:val="18"/>
                <w:lang w:eastAsia="ar-SA"/>
              </w:rPr>
              <m:t>2</m:t>
            </m:r>
          </m:sub>
        </m:sSub>
        <m:r>
          <w:rPr>
            <w:rFonts w:ascii="Cambria Math" w:eastAsia="Times New Roman" w:hAnsi="Cambria Math" w:cstheme="majorHAnsi"/>
            <w:sz w:val="18"/>
            <w:szCs w:val="18"/>
            <w:lang w:eastAsia="ar-SA"/>
          </w:rPr>
          <m:t>=103*</m:t>
        </m:r>
        <m:d>
          <m:dPr>
            <m:ctrlPr>
              <w:rPr>
                <w:rFonts w:ascii="Cambria Math" w:eastAsia="Times New Roman" w:hAnsi="Cambria Math" w:cstheme="majorHAnsi"/>
                <w:i/>
                <w:sz w:val="18"/>
                <w:szCs w:val="18"/>
                <w:lang w:eastAsia="ar-SA"/>
              </w:rPr>
            </m:ctrlPr>
          </m:dPr>
          <m:e>
            <m:r>
              <w:rPr>
                <w:rFonts w:ascii="Cambria Math" w:eastAsia="Times New Roman" w:hAnsi="Cambria Math" w:cstheme="majorHAnsi"/>
                <w:sz w:val="18"/>
                <w:szCs w:val="18"/>
                <w:lang w:eastAsia="ar-SA"/>
              </w:rPr>
              <m:t>1,6+</m:t>
            </m:r>
            <m:f>
              <m:fPr>
                <m:ctrlPr>
                  <w:rPr>
                    <w:rFonts w:ascii="Cambria Math" w:eastAsia="Times New Roman" w:hAnsi="Cambria Math" w:cstheme="majorHAnsi"/>
                    <w:i/>
                    <w:sz w:val="18"/>
                    <w:szCs w:val="18"/>
                    <w:lang w:eastAsia="ar-SA"/>
                  </w:rPr>
                </m:ctrlPr>
              </m:fPr>
              <m:num>
                <m:r>
                  <w:rPr>
                    <w:rFonts w:ascii="Cambria Math" w:eastAsia="Times New Roman" w:hAnsi="Cambria Math" w:cstheme="majorHAnsi"/>
                    <w:sz w:val="18"/>
                    <w:szCs w:val="18"/>
                    <w:lang w:eastAsia="ar-SA"/>
                  </w:rPr>
                  <m:t>6,4</m:t>
                </m:r>
              </m:num>
              <m:den>
                <m:rad>
                  <m:radPr>
                    <m:degHide m:val="1"/>
                    <m:ctrlPr>
                      <w:rPr>
                        <w:rFonts w:ascii="Cambria Math" w:eastAsia="Times New Roman" w:hAnsi="Cambria Math" w:cstheme="majorHAnsi"/>
                        <w:i/>
                        <w:sz w:val="18"/>
                        <w:szCs w:val="18"/>
                        <w:lang w:eastAsia="ar-SA"/>
                      </w:rPr>
                    </m:ctrlPr>
                  </m:radPr>
                  <m:deg/>
                  <m:e>
                    <m:r>
                      <w:rPr>
                        <w:rFonts w:ascii="Cambria Math" w:eastAsia="Times New Roman" w:hAnsi="Cambria Math" w:cstheme="majorHAnsi"/>
                        <w:sz w:val="18"/>
                        <w:szCs w:val="18"/>
                        <w:lang w:eastAsia="ar-SA"/>
                      </w:rPr>
                      <m:t>103</m:t>
                    </m:r>
                  </m:e>
                </m:rad>
              </m:den>
            </m:f>
          </m:e>
        </m:d>
        <m:r>
          <w:rPr>
            <w:rFonts w:ascii="Cambria Math" w:eastAsia="Times New Roman" w:hAnsi="Cambria Math" w:cstheme="majorHAnsi"/>
            <w:sz w:val="18"/>
            <w:szCs w:val="18"/>
            <w:lang w:eastAsia="ar-SA"/>
          </w:rPr>
          <m:t>=230</m:t>
        </m:r>
      </m:oMath>
    </w:p>
    <w:p w14:paraId="2C0FDEA3" w14:textId="180E44C5" w:rsidR="009022DC" w:rsidRPr="006070EA" w:rsidRDefault="009022DC" w:rsidP="009022DC">
      <w:pPr>
        <w:tabs>
          <w:tab w:val="left" w:pos="720"/>
          <w:tab w:val="left" w:pos="1584"/>
          <w:tab w:val="left" w:pos="1985"/>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before="60" w:after="60" w:line="240" w:lineRule="auto"/>
        <w:ind w:firstLine="709"/>
        <w:jc w:val="both"/>
        <w:rPr>
          <w:rFonts w:asciiTheme="majorHAnsi" w:eastAsia="Times New Roman" w:hAnsiTheme="majorHAnsi" w:cstheme="majorHAnsi"/>
          <w:sz w:val="18"/>
          <w:szCs w:val="18"/>
          <w:lang w:eastAsia="ar-SA"/>
        </w:rPr>
      </w:pPr>
      <w:r w:rsidRPr="006070EA">
        <w:rPr>
          <w:rFonts w:asciiTheme="majorHAnsi" w:eastAsia="Times New Roman" w:hAnsiTheme="majorHAnsi" w:cstheme="majorHAnsi"/>
          <w:sz w:val="18"/>
          <w:szCs w:val="18"/>
          <w:lang w:eastAsia="ar-SA"/>
        </w:rPr>
        <w:tab/>
        <w:t>Σ BJ (předpoklad realizace)</w:t>
      </w:r>
      <w:r w:rsidRPr="006070EA">
        <w:rPr>
          <w:rFonts w:asciiTheme="majorHAnsi" w:eastAsia="Times New Roman" w:hAnsiTheme="majorHAnsi" w:cstheme="majorHAnsi"/>
          <w:sz w:val="18"/>
          <w:szCs w:val="18"/>
          <w:lang w:eastAsia="ar-SA"/>
        </w:rPr>
        <w:tab/>
      </w:r>
      <m:oMath>
        <m:sSub>
          <m:sSubPr>
            <m:ctrlPr>
              <w:rPr>
                <w:rFonts w:ascii="Cambria Math" w:eastAsia="Times New Roman" w:hAnsi="Cambria Math" w:cstheme="majorHAnsi"/>
                <w:i/>
                <w:sz w:val="18"/>
                <w:szCs w:val="18"/>
                <w:lang w:eastAsia="ar-SA"/>
              </w:rPr>
            </m:ctrlPr>
          </m:sSubPr>
          <m:e>
            <m:r>
              <w:rPr>
                <w:rFonts w:ascii="Cambria Math" w:eastAsia="Times New Roman" w:hAnsi="Cambria Math" w:cstheme="majorHAnsi"/>
                <w:sz w:val="18"/>
                <w:szCs w:val="18"/>
                <w:lang w:eastAsia="ar-SA"/>
              </w:rPr>
              <m:t>P</m:t>
            </m:r>
          </m:e>
          <m:sub>
            <m:r>
              <w:rPr>
                <w:rFonts w:ascii="Cambria Math" w:eastAsia="Times New Roman" w:hAnsi="Cambria Math" w:cstheme="majorHAnsi"/>
                <w:sz w:val="18"/>
                <w:szCs w:val="18"/>
                <w:lang w:eastAsia="ar-SA"/>
              </w:rPr>
              <m:t>3</m:t>
            </m:r>
          </m:sub>
        </m:sSub>
        <m:r>
          <w:rPr>
            <w:rFonts w:ascii="Cambria Math" w:eastAsia="Times New Roman" w:hAnsi="Cambria Math" w:cstheme="majorHAnsi"/>
            <w:sz w:val="18"/>
            <w:szCs w:val="18"/>
            <w:lang w:eastAsia="ar-SA"/>
          </w:rPr>
          <m:t>=</m:t>
        </m:r>
        <m:sSub>
          <m:sSubPr>
            <m:ctrlPr>
              <w:rPr>
                <w:rFonts w:ascii="Cambria Math" w:eastAsia="Times New Roman" w:hAnsi="Cambria Math" w:cstheme="majorHAnsi"/>
                <w:i/>
                <w:sz w:val="18"/>
                <w:szCs w:val="18"/>
                <w:lang w:eastAsia="ar-SA"/>
              </w:rPr>
            </m:ctrlPr>
          </m:sSubPr>
          <m:e>
            <m:r>
              <w:rPr>
                <w:rFonts w:ascii="Cambria Math" w:eastAsia="Times New Roman" w:hAnsi="Cambria Math" w:cstheme="majorHAnsi"/>
                <w:sz w:val="18"/>
                <w:szCs w:val="18"/>
                <w:lang w:eastAsia="ar-SA"/>
              </w:rPr>
              <m:t>P</m:t>
            </m:r>
          </m:e>
          <m:sub>
            <m:r>
              <w:rPr>
                <w:rFonts w:ascii="Cambria Math" w:eastAsia="Times New Roman" w:hAnsi="Cambria Math" w:cstheme="majorHAnsi"/>
                <w:sz w:val="18"/>
                <w:szCs w:val="18"/>
                <w:lang w:eastAsia="ar-SA"/>
              </w:rPr>
              <m:t>1</m:t>
            </m:r>
          </m:sub>
        </m:sSub>
        <m:sSub>
          <m:sSubPr>
            <m:ctrlPr>
              <w:rPr>
                <w:rFonts w:ascii="Cambria Math" w:eastAsia="Times New Roman" w:hAnsi="Cambria Math" w:cstheme="majorHAnsi"/>
                <w:i/>
                <w:sz w:val="18"/>
                <w:szCs w:val="18"/>
                <w:lang w:eastAsia="ar-SA"/>
              </w:rPr>
            </m:ctrlPr>
          </m:sSubPr>
          <m:e>
            <m:r>
              <w:rPr>
                <w:rFonts w:ascii="Cambria Math" w:eastAsia="Times New Roman" w:hAnsi="Cambria Math" w:cstheme="majorHAnsi"/>
                <w:sz w:val="18"/>
                <w:szCs w:val="18"/>
                <w:lang w:eastAsia="ar-SA"/>
              </w:rPr>
              <m:t>+P</m:t>
            </m:r>
          </m:e>
          <m:sub>
            <m:r>
              <w:rPr>
                <w:rFonts w:ascii="Cambria Math" w:eastAsia="Times New Roman" w:hAnsi="Cambria Math" w:cstheme="majorHAnsi"/>
                <w:sz w:val="18"/>
                <w:szCs w:val="18"/>
                <w:lang w:eastAsia="ar-SA"/>
              </w:rPr>
              <m:t>2</m:t>
            </m:r>
          </m:sub>
        </m:sSub>
        <m:r>
          <w:rPr>
            <w:rFonts w:ascii="Cambria Math" w:eastAsia="Times New Roman" w:hAnsi="Cambria Math" w:cstheme="majorHAnsi"/>
            <w:sz w:val="18"/>
            <w:szCs w:val="18"/>
            <w:lang w:eastAsia="ar-SA"/>
          </w:rPr>
          <m:t>=79+230=309</m:t>
        </m:r>
      </m:oMath>
    </w:p>
    <w:p w14:paraId="77DCDDD7" w14:textId="387AD816" w:rsidR="009022DC" w:rsidRPr="006070EA" w:rsidRDefault="009022DC" w:rsidP="009022DC">
      <w:pPr>
        <w:tabs>
          <w:tab w:val="left" w:pos="720"/>
          <w:tab w:val="left" w:pos="1584"/>
          <w:tab w:val="left" w:pos="1985"/>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before="60" w:after="60" w:line="240" w:lineRule="auto"/>
        <w:ind w:firstLine="709"/>
        <w:jc w:val="both"/>
        <w:rPr>
          <w:rFonts w:asciiTheme="majorHAnsi" w:eastAsia="Times New Roman" w:hAnsiTheme="majorHAnsi" w:cstheme="majorHAnsi"/>
          <w:sz w:val="18"/>
          <w:szCs w:val="18"/>
          <w:lang w:eastAsia="ar-SA"/>
        </w:rPr>
      </w:pPr>
      <w:r w:rsidRPr="006070EA">
        <w:rPr>
          <w:rFonts w:asciiTheme="majorHAnsi" w:eastAsia="Times New Roman" w:hAnsiTheme="majorHAnsi" w:cstheme="majorHAnsi"/>
          <w:b/>
          <w:sz w:val="18"/>
          <w:szCs w:val="18"/>
          <w:lang w:eastAsia="ar-SA"/>
        </w:rPr>
        <w:tab/>
      </w:r>
      <w:r w:rsidRPr="006070EA">
        <w:rPr>
          <w:rFonts w:asciiTheme="majorHAnsi" w:eastAsia="Times New Roman" w:hAnsiTheme="majorHAnsi" w:cstheme="majorHAnsi"/>
          <w:sz w:val="18"/>
          <w:szCs w:val="18"/>
          <w:lang w:eastAsia="ar-SA"/>
        </w:rPr>
        <w:t>Ostatní rozvojové plochy</w:t>
      </w:r>
      <w:r w:rsidRPr="006070EA">
        <w:rPr>
          <w:rFonts w:asciiTheme="majorHAnsi" w:eastAsia="Times New Roman" w:hAnsiTheme="majorHAnsi" w:cstheme="majorHAnsi"/>
          <w:sz w:val="18"/>
          <w:szCs w:val="18"/>
          <w:lang w:eastAsia="ar-SA"/>
        </w:rPr>
        <w:tab/>
      </w:r>
      <m:oMath>
        <m:sSub>
          <m:sSubPr>
            <m:ctrlPr>
              <w:rPr>
                <w:rFonts w:ascii="Cambria Math" w:eastAsia="Times New Roman" w:hAnsi="Cambria Math" w:cstheme="majorHAnsi"/>
                <w:i/>
                <w:sz w:val="18"/>
                <w:szCs w:val="18"/>
                <w:lang w:eastAsia="ar-SA"/>
              </w:rPr>
            </m:ctrlPr>
          </m:sSubPr>
          <m:e>
            <m:r>
              <w:rPr>
                <w:rFonts w:ascii="Cambria Math" w:eastAsia="Times New Roman" w:hAnsi="Cambria Math" w:cstheme="majorHAnsi"/>
                <w:sz w:val="18"/>
                <w:szCs w:val="18"/>
                <w:lang w:eastAsia="ar-SA"/>
              </w:rPr>
              <m:t>P</m:t>
            </m:r>
          </m:e>
          <m:sub>
            <m:r>
              <w:rPr>
                <w:rFonts w:ascii="Cambria Math" w:eastAsia="Times New Roman" w:hAnsi="Cambria Math" w:cstheme="majorHAnsi"/>
                <w:sz w:val="18"/>
                <w:szCs w:val="18"/>
                <w:lang w:eastAsia="ar-SA"/>
              </w:rPr>
              <m:t>4</m:t>
            </m:r>
          </m:sub>
        </m:sSub>
        <m:r>
          <w:rPr>
            <w:rFonts w:ascii="Cambria Math" w:eastAsia="Times New Roman" w:hAnsi="Cambria Math" w:cstheme="majorHAnsi"/>
            <w:sz w:val="18"/>
            <w:szCs w:val="18"/>
            <w:lang w:eastAsia="ar-SA"/>
          </w:rPr>
          <m:t>=</m:t>
        </m:r>
        <m:sSub>
          <m:sSubPr>
            <m:ctrlPr>
              <w:rPr>
                <w:rFonts w:ascii="Cambria Math" w:eastAsia="Times New Roman" w:hAnsi="Cambria Math" w:cstheme="majorHAnsi"/>
                <w:i/>
                <w:sz w:val="18"/>
                <w:szCs w:val="18"/>
                <w:lang w:eastAsia="ar-SA"/>
              </w:rPr>
            </m:ctrlPr>
          </m:sSubPr>
          <m:e>
            <m:r>
              <w:rPr>
                <w:rFonts w:ascii="Cambria Math" w:eastAsia="Times New Roman" w:hAnsi="Cambria Math" w:cstheme="majorHAnsi"/>
                <w:sz w:val="18"/>
                <w:szCs w:val="18"/>
                <w:lang w:eastAsia="ar-SA"/>
              </w:rPr>
              <m:t>k</m:t>
            </m:r>
          </m:e>
          <m:sub>
            <m:r>
              <w:rPr>
                <w:rFonts w:ascii="Cambria Math" w:eastAsia="Times New Roman" w:hAnsi="Cambria Math" w:cstheme="majorHAnsi"/>
                <w:sz w:val="18"/>
                <w:szCs w:val="18"/>
                <w:lang w:eastAsia="ar-SA"/>
              </w:rPr>
              <m:t>2</m:t>
            </m:r>
          </m:sub>
        </m:sSub>
        <m:r>
          <w:rPr>
            <w:rFonts w:ascii="Cambria Math" w:eastAsia="Times New Roman" w:hAnsi="Cambria Math" w:cstheme="majorHAnsi"/>
            <w:sz w:val="18"/>
            <w:szCs w:val="18"/>
            <w:lang w:eastAsia="ar-SA"/>
          </w:rPr>
          <m:t>*</m:t>
        </m:r>
        <m:sSub>
          <m:sSubPr>
            <m:ctrlPr>
              <w:rPr>
                <w:rFonts w:ascii="Cambria Math" w:eastAsia="Times New Roman" w:hAnsi="Cambria Math" w:cstheme="majorHAnsi"/>
                <w:i/>
                <w:sz w:val="18"/>
                <w:szCs w:val="18"/>
                <w:lang w:eastAsia="ar-SA"/>
              </w:rPr>
            </m:ctrlPr>
          </m:sSubPr>
          <m:e>
            <m:r>
              <w:rPr>
                <w:rFonts w:ascii="Cambria Math" w:eastAsia="Times New Roman" w:hAnsi="Cambria Math" w:cstheme="majorHAnsi"/>
                <w:sz w:val="18"/>
                <w:szCs w:val="18"/>
                <w:lang w:eastAsia="ar-SA"/>
              </w:rPr>
              <m:t>P</m:t>
            </m:r>
          </m:e>
          <m:sub>
            <m:r>
              <w:rPr>
                <w:rFonts w:ascii="Cambria Math" w:eastAsia="Times New Roman" w:hAnsi="Cambria Math" w:cstheme="majorHAnsi"/>
                <w:sz w:val="18"/>
                <w:szCs w:val="18"/>
                <w:lang w:eastAsia="ar-SA"/>
              </w:rPr>
              <m:t>3</m:t>
            </m:r>
          </m:sub>
        </m:sSub>
        <m:r>
          <w:rPr>
            <w:rFonts w:ascii="Cambria Math" w:eastAsia="Times New Roman" w:hAnsi="Cambria Math" w:cstheme="majorHAnsi"/>
            <w:sz w:val="18"/>
            <w:szCs w:val="18"/>
            <w:lang w:eastAsia="ar-SA"/>
          </w:rPr>
          <m:t>=0,2*309=62</m:t>
        </m:r>
      </m:oMath>
    </w:p>
    <w:p w14:paraId="6F377E02" w14:textId="62E1E8F5" w:rsidR="009022DC" w:rsidRPr="006070EA" w:rsidRDefault="009022DC" w:rsidP="009022DC">
      <w:pPr>
        <w:tabs>
          <w:tab w:val="left" w:pos="720"/>
          <w:tab w:val="left" w:pos="1584"/>
          <w:tab w:val="left" w:pos="1985"/>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before="60" w:after="120" w:line="240" w:lineRule="auto"/>
        <w:jc w:val="both"/>
        <w:rPr>
          <w:rFonts w:asciiTheme="majorHAnsi" w:eastAsia="Calibri" w:hAnsiTheme="majorHAnsi" w:cstheme="majorHAnsi"/>
          <w:sz w:val="18"/>
          <w:szCs w:val="18"/>
        </w:rPr>
      </w:pPr>
      <w:r w:rsidRPr="006070EA">
        <w:rPr>
          <w:rFonts w:asciiTheme="majorHAnsi" w:eastAsia="Calibri" w:hAnsiTheme="majorHAnsi" w:cstheme="majorHAnsi"/>
          <w:b/>
          <w:sz w:val="18"/>
          <w:szCs w:val="18"/>
        </w:rPr>
        <w:tab/>
        <w:t>Σ distribuce v roce 2035</w:t>
      </w:r>
      <w:r w:rsidRPr="006070EA">
        <w:rPr>
          <w:rFonts w:asciiTheme="majorHAnsi" w:eastAsia="Calibri" w:hAnsiTheme="majorHAnsi" w:cstheme="majorHAnsi"/>
          <w:b/>
          <w:sz w:val="18"/>
          <w:szCs w:val="18"/>
        </w:rPr>
        <w:tab/>
      </w:r>
      <m:oMath>
        <m:sSub>
          <m:sSubPr>
            <m:ctrlPr>
              <w:rPr>
                <w:rFonts w:ascii="Cambria Math" w:eastAsia="Times New Roman" w:hAnsi="Cambria Math" w:cstheme="majorHAnsi"/>
                <w:i/>
                <w:sz w:val="18"/>
                <w:szCs w:val="18"/>
                <w:lang w:eastAsia="ar-SA"/>
              </w:rPr>
            </m:ctrlPr>
          </m:sSubPr>
          <m:e>
            <m:r>
              <w:rPr>
                <w:rFonts w:ascii="Cambria Math" w:eastAsia="Calibri" w:hAnsi="Cambria Math" w:cstheme="majorHAnsi"/>
                <w:sz w:val="18"/>
                <w:szCs w:val="18"/>
              </w:rPr>
              <m:t>P</m:t>
            </m:r>
          </m:e>
          <m:sub>
            <m:r>
              <w:rPr>
                <w:rFonts w:ascii="Cambria Math" w:eastAsia="Calibri" w:hAnsi="Cambria Math" w:cstheme="majorHAnsi"/>
                <w:sz w:val="18"/>
                <w:szCs w:val="18"/>
              </w:rPr>
              <m:t>5</m:t>
            </m:r>
          </m:sub>
        </m:sSub>
        <m:r>
          <w:rPr>
            <w:rFonts w:ascii="Cambria Math" w:eastAsia="Calibri" w:hAnsi="Cambria Math" w:cstheme="majorHAnsi"/>
            <w:sz w:val="18"/>
            <w:szCs w:val="18"/>
          </w:rPr>
          <m:t>=</m:t>
        </m:r>
        <m:r>
          <w:rPr>
            <w:rFonts w:ascii="Cambria Math" w:eastAsia="Times New Roman" w:hAnsi="Cambria Math" w:cstheme="majorHAnsi"/>
            <w:sz w:val="18"/>
            <w:szCs w:val="18"/>
            <w:lang w:eastAsia="ar-SA"/>
          </w:rPr>
          <m:t>stávající zástavba+</m:t>
        </m:r>
        <m:sSub>
          <m:sSubPr>
            <m:ctrlPr>
              <w:rPr>
                <w:rFonts w:ascii="Cambria Math" w:eastAsia="Times New Roman" w:hAnsi="Cambria Math" w:cstheme="majorHAnsi"/>
                <w:i/>
                <w:sz w:val="18"/>
                <w:szCs w:val="18"/>
                <w:lang w:eastAsia="ar-SA"/>
              </w:rPr>
            </m:ctrlPr>
          </m:sSubPr>
          <m:e>
            <m:r>
              <w:rPr>
                <w:rFonts w:ascii="Cambria Math" w:eastAsia="Calibri" w:hAnsi="Cambria Math" w:cstheme="majorHAnsi"/>
                <w:sz w:val="18"/>
                <w:szCs w:val="18"/>
              </w:rPr>
              <m:t>P</m:t>
            </m:r>
          </m:e>
          <m:sub>
            <m:r>
              <w:rPr>
                <w:rFonts w:ascii="Cambria Math" w:eastAsia="Calibri" w:hAnsi="Cambria Math" w:cstheme="majorHAnsi"/>
                <w:sz w:val="18"/>
                <w:szCs w:val="18"/>
              </w:rPr>
              <m:t xml:space="preserve">3 </m:t>
            </m:r>
          </m:sub>
        </m:sSub>
        <m:sSub>
          <m:sSubPr>
            <m:ctrlPr>
              <w:rPr>
                <w:rFonts w:ascii="Cambria Math" w:eastAsia="Times New Roman" w:hAnsi="Cambria Math" w:cstheme="majorHAnsi"/>
                <w:i/>
                <w:sz w:val="18"/>
                <w:szCs w:val="18"/>
                <w:lang w:eastAsia="ar-SA"/>
              </w:rPr>
            </m:ctrlPr>
          </m:sSubPr>
          <m:e>
            <m:r>
              <w:rPr>
                <w:rFonts w:ascii="Cambria Math" w:eastAsia="Calibri" w:hAnsi="Cambria Math" w:cstheme="majorHAnsi"/>
                <w:sz w:val="18"/>
                <w:szCs w:val="18"/>
              </w:rPr>
              <m:t>+ P</m:t>
            </m:r>
          </m:e>
          <m:sub>
            <m:r>
              <w:rPr>
                <w:rFonts w:ascii="Cambria Math" w:eastAsia="Calibri" w:hAnsi="Cambria Math" w:cstheme="majorHAnsi"/>
                <w:sz w:val="18"/>
                <w:szCs w:val="18"/>
              </w:rPr>
              <m:t>4</m:t>
            </m:r>
          </m:sub>
        </m:sSub>
        <m:r>
          <w:rPr>
            <w:rFonts w:ascii="Cambria Math" w:eastAsia="Calibri" w:hAnsi="Cambria Math" w:cstheme="majorHAnsi"/>
            <w:sz w:val="18"/>
            <w:szCs w:val="18"/>
          </w:rPr>
          <m:t>=stávající zástavba+309+62=</m:t>
        </m:r>
      </m:oMath>
    </w:p>
    <w:p w14:paraId="3EEA0B23" w14:textId="06784C1E" w:rsidR="009022DC" w:rsidRPr="006070EA" w:rsidRDefault="00D53795" w:rsidP="009022DC">
      <w:pPr>
        <w:tabs>
          <w:tab w:val="left" w:pos="720"/>
          <w:tab w:val="left" w:pos="1584"/>
          <w:tab w:val="left" w:pos="1985"/>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pacing w:before="60" w:after="120" w:line="240" w:lineRule="auto"/>
        <w:jc w:val="both"/>
        <w:rPr>
          <w:rFonts w:asciiTheme="majorHAnsi" w:eastAsia="Calibri" w:hAnsiTheme="majorHAnsi" w:cstheme="majorHAnsi"/>
          <w:b/>
          <w:bCs/>
          <w:sz w:val="18"/>
          <w:szCs w:val="18"/>
        </w:rPr>
      </w:pPr>
      <m:oMathPara>
        <m:oMath>
          <m:r>
            <m:rPr>
              <m:sty m:val="bi"/>
            </m:rPr>
            <w:rPr>
              <w:rFonts w:ascii="Cambria Math" w:eastAsia="Calibri" w:hAnsi="Cambria Math" w:cstheme="majorHAnsi"/>
              <w:sz w:val="18"/>
              <w:szCs w:val="18"/>
            </w:rPr>
            <m:t>371 kW+stávající zástavba</m:t>
          </m:r>
        </m:oMath>
      </m:oMathPara>
    </w:p>
    <w:p w14:paraId="4DCB2B83" w14:textId="77777777" w:rsidR="00AB1F4C" w:rsidRPr="006070EA" w:rsidRDefault="00AB1F4C" w:rsidP="009E07E1">
      <w:pPr>
        <w:spacing w:before="120" w:after="120" w:line="240" w:lineRule="auto"/>
        <w:jc w:val="both"/>
        <w:rPr>
          <w:rFonts w:asciiTheme="majorHAnsi" w:hAnsiTheme="majorHAnsi" w:cstheme="majorHAnsi"/>
          <w:b/>
          <w:sz w:val="18"/>
        </w:rPr>
      </w:pPr>
      <w:r w:rsidRPr="006070EA">
        <w:rPr>
          <w:rFonts w:asciiTheme="majorHAnsi" w:hAnsiTheme="majorHAnsi" w:cstheme="majorHAnsi"/>
          <w:b/>
          <w:sz w:val="18"/>
        </w:rPr>
        <w:t>Odůvodnění koncepce zásobování elektrickou energií</w:t>
      </w:r>
    </w:p>
    <w:p w14:paraId="0C4F2D15" w14:textId="77777777" w:rsidR="00F8666A" w:rsidRPr="006070EA" w:rsidRDefault="00F8666A" w:rsidP="00F8666A">
      <w:pPr>
        <w:pStyle w:val="Atext"/>
        <w:spacing w:after="60"/>
        <w:rPr>
          <w:rFonts w:asciiTheme="majorHAnsi" w:hAnsiTheme="majorHAnsi" w:cstheme="majorHAnsi"/>
        </w:rPr>
      </w:pPr>
      <w:r w:rsidRPr="006070EA">
        <w:rPr>
          <w:rFonts w:asciiTheme="majorHAnsi" w:hAnsiTheme="majorHAnsi" w:cstheme="majorHAnsi"/>
        </w:rPr>
        <w:t>Stávající systém zásobování elektrickou energií je vyhovující. V důsledku poklesu elektroenergetických potřeb způsobeného restrukturalizací průmyslu, zaváděním energeticky méně náročných technologií, snižování energetické náročnosti budov apod. lze nároky pokrýt z rezerv v instalovaném výkonu. Způsob napájení obce zůstane i nadále nezměněn, stávajícím systémem vedení vn 22 kV.</w:t>
      </w:r>
    </w:p>
    <w:p w14:paraId="548131A7" w14:textId="6155FF99" w:rsidR="00F8666A" w:rsidRPr="006070EA" w:rsidRDefault="00F8666A" w:rsidP="00F8666A">
      <w:pPr>
        <w:pStyle w:val="Atext"/>
        <w:spacing w:after="60"/>
        <w:rPr>
          <w:rFonts w:asciiTheme="majorHAnsi" w:hAnsiTheme="majorHAnsi" w:cstheme="majorHAnsi"/>
        </w:rPr>
      </w:pPr>
      <w:r w:rsidRPr="006070EA">
        <w:rPr>
          <w:rFonts w:asciiTheme="majorHAnsi" w:hAnsiTheme="majorHAnsi" w:cstheme="majorHAnsi"/>
        </w:rPr>
        <w:t>Výhledový požadovaný výkon pro distribuci bude zajištěn ze stávajících trafostanic, které se v případě potřeby přezbrojí a osadí větším transformátorem. V současnosti nelze odpovědně predikovat možné nároky související např.</w:t>
      </w:r>
      <w:r w:rsidR="00BA0A74" w:rsidRPr="006070EA">
        <w:rPr>
          <w:rFonts w:asciiTheme="majorHAnsi" w:hAnsiTheme="majorHAnsi" w:cstheme="majorHAnsi"/>
        </w:rPr>
        <w:t> </w:t>
      </w:r>
      <w:r w:rsidRPr="006070EA">
        <w:rPr>
          <w:rFonts w:asciiTheme="majorHAnsi" w:hAnsiTheme="majorHAnsi" w:cstheme="majorHAnsi"/>
        </w:rPr>
        <w:t>s</w:t>
      </w:r>
      <w:r w:rsidR="00BA0A74" w:rsidRPr="006070EA">
        <w:rPr>
          <w:rFonts w:asciiTheme="majorHAnsi" w:hAnsiTheme="majorHAnsi" w:cstheme="majorHAnsi"/>
        </w:rPr>
        <w:t> </w:t>
      </w:r>
      <w:r w:rsidRPr="006070EA">
        <w:rPr>
          <w:rFonts w:asciiTheme="majorHAnsi" w:hAnsiTheme="majorHAnsi" w:cstheme="majorHAnsi"/>
        </w:rPr>
        <w:t>přílivem zahraničních investic a podporou určitého sektoru hospodářství. V případě vzniku většího průmyslového odběru bude situace řešená přezbrojením trafostanice nebo postavením nové trafostanice s vrchní primární přípojkou. V</w:t>
      </w:r>
      <w:r w:rsidR="00BA0A74" w:rsidRPr="006070EA">
        <w:rPr>
          <w:rFonts w:asciiTheme="majorHAnsi" w:hAnsiTheme="majorHAnsi" w:cstheme="majorHAnsi"/>
        </w:rPr>
        <w:t> </w:t>
      </w:r>
      <w:r w:rsidRPr="006070EA">
        <w:rPr>
          <w:rFonts w:asciiTheme="majorHAnsi" w:hAnsiTheme="majorHAnsi" w:cstheme="majorHAnsi"/>
        </w:rPr>
        <w:t xml:space="preserve">takovém případě je nutné územním plánem nastavit podmínky umožňující pružnou reakci a umožnění výstavby elektroenergetických zařízení podle aktuálních potřeb. Na tuto potřebu reaguje návrh Územního plánu </w:t>
      </w:r>
      <w:r w:rsidR="00BA0A74" w:rsidRPr="006070EA">
        <w:rPr>
          <w:rFonts w:asciiTheme="majorHAnsi" w:hAnsiTheme="majorHAnsi" w:cstheme="majorHAnsi"/>
        </w:rPr>
        <w:t>Kostomlaty nad Labem</w:t>
      </w:r>
      <w:r w:rsidRPr="006070EA">
        <w:rPr>
          <w:rFonts w:asciiTheme="majorHAnsi" w:hAnsiTheme="majorHAnsi" w:cstheme="majorHAnsi"/>
        </w:rPr>
        <w:t xml:space="preserve"> stanovením podmínek využití jednotlivých ploch s rozdílným způsobem využití, které umožňují realizaci zařízení pro zásobování elektrickou energií prakticky ve všech plochách s rozdílným způsobem využití.</w:t>
      </w:r>
    </w:p>
    <w:p w14:paraId="7B5AC841" w14:textId="72B96DA4" w:rsidR="00F8666A" w:rsidRPr="006070EA" w:rsidRDefault="00F8666A" w:rsidP="00F8666A">
      <w:pPr>
        <w:pStyle w:val="Atext"/>
        <w:spacing w:after="60"/>
        <w:rPr>
          <w:rFonts w:asciiTheme="majorHAnsi" w:hAnsiTheme="majorHAnsi" w:cstheme="majorHAnsi"/>
        </w:rPr>
      </w:pPr>
      <w:r w:rsidRPr="006070EA">
        <w:rPr>
          <w:rFonts w:asciiTheme="majorHAnsi" w:hAnsiTheme="majorHAnsi" w:cstheme="majorHAnsi"/>
        </w:rPr>
        <w:t>Při napojení zastavitelných ploch a při rekonstrukci současných vrchních vedení nízkého napětí se doporučuje v</w:t>
      </w:r>
      <w:r w:rsidR="00BA0A74" w:rsidRPr="006070EA">
        <w:rPr>
          <w:rFonts w:asciiTheme="majorHAnsi" w:hAnsiTheme="majorHAnsi" w:cstheme="majorHAnsi"/>
        </w:rPr>
        <w:t> </w:t>
      </w:r>
      <w:r w:rsidRPr="006070EA">
        <w:rPr>
          <w:rFonts w:asciiTheme="majorHAnsi" w:hAnsiTheme="majorHAnsi" w:cstheme="majorHAnsi"/>
        </w:rPr>
        <w:t xml:space="preserve">zastavěném území obce provádět nové elektrorozvody kabelizací. Upřednostnění kabelových vedení zejména v zastavěném území před nadzemním vedením je doporučeno </w:t>
      </w:r>
      <w:r w:rsidR="00BA0A74" w:rsidRPr="006070EA">
        <w:rPr>
          <w:rFonts w:asciiTheme="majorHAnsi" w:hAnsiTheme="majorHAnsi" w:cstheme="majorHAnsi"/>
        </w:rPr>
        <w:t>především</w:t>
      </w:r>
      <w:r w:rsidRPr="006070EA">
        <w:rPr>
          <w:rFonts w:asciiTheme="majorHAnsi" w:hAnsiTheme="majorHAnsi" w:cstheme="majorHAnsi"/>
        </w:rPr>
        <w:t xml:space="preserve"> z důvodu vyšší bezpečnosti, nižších provozních nákladů</w:t>
      </w:r>
      <w:r w:rsidR="00C8442F" w:rsidRPr="006070EA">
        <w:rPr>
          <w:rFonts w:asciiTheme="majorHAnsi" w:hAnsiTheme="majorHAnsi" w:cstheme="majorHAnsi"/>
        </w:rPr>
        <w:t>,</w:t>
      </w:r>
      <w:r w:rsidRPr="006070EA">
        <w:rPr>
          <w:rFonts w:asciiTheme="majorHAnsi" w:hAnsiTheme="majorHAnsi" w:cstheme="majorHAnsi"/>
        </w:rPr>
        <w:t xml:space="preserve"> a také s</w:t>
      </w:r>
      <w:r w:rsidR="00BA0A74" w:rsidRPr="006070EA">
        <w:rPr>
          <w:rFonts w:asciiTheme="majorHAnsi" w:hAnsiTheme="majorHAnsi" w:cstheme="majorHAnsi"/>
        </w:rPr>
        <w:t> </w:t>
      </w:r>
      <w:r w:rsidRPr="006070EA">
        <w:rPr>
          <w:rFonts w:asciiTheme="majorHAnsi" w:hAnsiTheme="majorHAnsi" w:cstheme="majorHAnsi"/>
        </w:rPr>
        <w:t xml:space="preserve">ohledem na menší vizuální dopad (zvýšení ochrany krajinného rázu). Případné přeložky stávajících energetických zařízení budou řešeny v souladu s § 47 zákona č. 458/2000 Sb., o podmínkách podnikání a o výkonu státní správy v energetických odvětvích a o změně některých zákonů (energetický zákon), ve znění pozdějších předpisů (dále jen „energetický zákon“). </w:t>
      </w:r>
    </w:p>
    <w:p w14:paraId="64C157BA" w14:textId="77777777" w:rsidR="00F8666A" w:rsidRPr="006070EA" w:rsidRDefault="00F8666A" w:rsidP="00F8666A">
      <w:pPr>
        <w:pStyle w:val="Atext"/>
        <w:spacing w:after="60"/>
        <w:rPr>
          <w:rFonts w:asciiTheme="majorHAnsi" w:hAnsiTheme="majorHAnsi" w:cstheme="majorHAnsi"/>
        </w:rPr>
      </w:pPr>
      <w:r w:rsidRPr="006070EA">
        <w:rPr>
          <w:rFonts w:asciiTheme="majorHAnsi" w:hAnsiTheme="majorHAnsi" w:cstheme="majorHAnsi"/>
        </w:rPr>
        <w:lastRenderedPageBreak/>
        <w:t>Rozvoj distribuční soustavy s možným posílením výkonu stávajících trafostanic, případně výstavbou nových trafostanic bude probíhat na základě posouzení konfigurace a výpočtu sítí nn. Případné umístění nových trafostanic vn/nn bude v rámci možností voleno co nejblíže k předpokládanému centru odběru včetně tras vedení vn a nn.</w:t>
      </w:r>
    </w:p>
    <w:p w14:paraId="684F6CFC" w14:textId="6A4F1948" w:rsidR="00F8666A" w:rsidRPr="006070EA" w:rsidRDefault="00F8666A" w:rsidP="00F8666A">
      <w:pPr>
        <w:pStyle w:val="Atext"/>
        <w:spacing w:after="60"/>
        <w:rPr>
          <w:rFonts w:asciiTheme="majorHAnsi" w:hAnsiTheme="majorHAnsi" w:cstheme="majorHAnsi"/>
        </w:rPr>
      </w:pPr>
      <w:r w:rsidRPr="006070EA">
        <w:rPr>
          <w:rFonts w:asciiTheme="majorHAnsi" w:hAnsiTheme="majorHAnsi" w:cstheme="majorHAnsi"/>
        </w:rPr>
        <w:t>Nové vedení elektrické energie není územním plánem explicitně vymezeno; konkrétní polohu při jeho případné realizaci je nutné prověřit a určit v územních studiích nebo v navazujících řízeních dle podrobného řešení a kapacit budoucí zástavby v jednotlivých plochách. Realizace vedení elektrické energie a souvisejících zařízení pro zásobování elektrické energie je územním plánem umožněna v rámci hlavního, přípustného nebo podmíněně přípustného využití prakticky všech ploch s</w:t>
      </w:r>
      <w:r w:rsidR="0054075C" w:rsidRPr="006070EA">
        <w:rPr>
          <w:rFonts w:asciiTheme="majorHAnsi" w:hAnsiTheme="majorHAnsi" w:cstheme="majorHAnsi"/>
        </w:rPr>
        <w:t> </w:t>
      </w:r>
      <w:r w:rsidRPr="006070EA">
        <w:rPr>
          <w:rFonts w:asciiTheme="majorHAnsi" w:hAnsiTheme="majorHAnsi" w:cstheme="majorHAnsi"/>
        </w:rPr>
        <w:t>rozdílným způsobem využití.</w:t>
      </w:r>
    </w:p>
    <w:p w14:paraId="11FDAC29" w14:textId="45B7367C" w:rsidR="00F8666A" w:rsidRPr="006070EA" w:rsidRDefault="00F8666A" w:rsidP="00F8666A">
      <w:pPr>
        <w:pStyle w:val="Atext"/>
        <w:spacing w:after="60"/>
        <w:rPr>
          <w:rFonts w:asciiTheme="majorHAnsi" w:hAnsiTheme="majorHAnsi" w:cstheme="majorHAnsi"/>
        </w:rPr>
      </w:pPr>
      <w:r w:rsidRPr="006070EA">
        <w:rPr>
          <w:rFonts w:asciiTheme="majorHAnsi" w:hAnsiTheme="majorHAnsi" w:cstheme="majorHAnsi"/>
        </w:rPr>
        <w:t xml:space="preserve">Schematické znázornění stávajících vedení elektrické energie a objektů elektroenergetického systému je zobrazeno na </w:t>
      </w:r>
      <w:r w:rsidR="00C8442F" w:rsidRPr="006070EA">
        <w:rPr>
          <w:rFonts w:asciiTheme="majorHAnsi" w:hAnsiTheme="majorHAnsi" w:cstheme="majorHAnsi"/>
        </w:rPr>
        <w:t xml:space="preserve">v </w:t>
      </w:r>
      <w:r w:rsidRPr="006070EA">
        <w:rPr>
          <w:rFonts w:asciiTheme="majorHAnsi" w:hAnsiTheme="majorHAnsi" w:cstheme="majorHAnsi"/>
        </w:rPr>
        <w:t xml:space="preserve">grafické části ÚP </w:t>
      </w:r>
      <w:r w:rsidR="00C8442F" w:rsidRPr="006070EA">
        <w:rPr>
          <w:rFonts w:asciiTheme="majorHAnsi" w:hAnsiTheme="majorHAnsi" w:cstheme="majorHAnsi"/>
        </w:rPr>
        <w:t>Kostomlaty nad Labem</w:t>
      </w:r>
      <w:r w:rsidRPr="006070EA">
        <w:rPr>
          <w:rFonts w:asciiTheme="majorHAnsi" w:hAnsiTheme="majorHAnsi" w:cstheme="majorHAnsi"/>
        </w:rPr>
        <w:t xml:space="preserve">, </w:t>
      </w:r>
      <w:r w:rsidR="00C8442F" w:rsidRPr="006070EA">
        <w:rPr>
          <w:rFonts w:asciiTheme="majorHAnsi" w:hAnsiTheme="majorHAnsi" w:cstheme="majorHAnsi"/>
        </w:rPr>
        <w:t xml:space="preserve">ve </w:t>
      </w:r>
      <w:r w:rsidRPr="006070EA">
        <w:rPr>
          <w:rFonts w:asciiTheme="majorHAnsi" w:hAnsiTheme="majorHAnsi" w:cstheme="majorHAnsi"/>
        </w:rPr>
        <w:t>výkresu 1 Koordinační výkres. S ohledem na měřítko územního plánu jde pouze o schematické vyjádření koncepce bez vztahu k jednotlivým pozemkům katastru nemovitostí. V navazujících řízeních tak nejsou vyloučeny změny tras jednotlivých řadů a umístění objektů.</w:t>
      </w:r>
    </w:p>
    <w:p w14:paraId="5756AA97" w14:textId="77777777" w:rsidR="00AB1F4C" w:rsidRPr="006070EA" w:rsidRDefault="00AB1F4C" w:rsidP="008A0B02">
      <w:pPr>
        <w:spacing w:before="120" w:after="120" w:line="240" w:lineRule="auto"/>
        <w:jc w:val="both"/>
        <w:rPr>
          <w:rFonts w:asciiTheme="majorHAnsi" w:eastAsiaTheme="minorEastAsia" w:hAnsiTheme="majorHAnsi" w:cstheme="majorHAnsi"/>
          <w:b/>
          <w:sz w:val="18"/>
        </w:rPr>
      </w:pPr>
      <w:r w:rsidRPr="006070EA">
        <w:rPr>
          <w:rFonts w:asciiTheme="majorHAnsi" w:hAnsiTheme="majorHAnsi" w:cstheme="majorHAnsi"/>
          <w:b/>
          <w:sz w:val="18"/>
        </w:rPr>
        <w:t xml:space="preserve">Ochranná pásma </w:t>
      </w:r>
    </w:p>
    <w:p w14:paraId="32DB4038" w14:textId="77777777" w:rsidR="00AB1F4C" w:rsidRPr="006070EA" w:rsidRDefault="00AB1F4C" w:rsidP="009E07E1">
      <w:pPr>
        <w:spacing w:before="60" w:after="60" w:line="240" w:lineRule="auto"/>
        <w:ind w:firstLine="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Dle zákona č. 458/2000 Sb., o podmínkách podnikání a o výkonu státní správy v energetických odvětvích a o změně některých zákonů (energetický zákon), ve znění pozdějších předpisů.</w:t>
      </w:r>
    </w:p>
    <w:p w14:paraId="203B6443" w14:textId="77777777" w:rsidR="00AB1F4C" w:rsidRPr="006070EA" w:rsidRDefault="00AB1F4C" w:rsidP="009E07E1">
      <w:pPr>
        <w:spacing w:before="60" w:after="60" w:line="240" w:lineRule="auto"/>
        <w:ind w:firstLine="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 xml:space="preserve">Ochranné pásmo nadzemního vedení je souvislý prostor vymezený svislými rovinami vedenými po obou stranách vedení ve vodorovné vzdálenosti měřené kolmo na vedení. </w:t>
      </w:r>
    </w:p>
    <w:p w14:paraId="21820F7F" w14:textId="77777777" w:rsidR="00AB1F4C" w:rsidRPr="006070EA" w:rsidRDefault="00AB1F4C" w:rsidP="00795EBA">
      <w:pPr>
        <w:spacing w:before="60" w:after="60" w:line="240" w:lineRule="auto"/>
        <w:ind w:firstLine="709"/>
        <w:jc w:val="both"/>
        <w:rPr>
          <w:rFonts w:asciiTheme="majorHAnsi" w:eastAsiaTheme="minorEastAsia" w:hAnsiTheme="majorHAnsi" w:cstheme="majorHAnsi"/>
          <w:i/>
          <w:sz w:val="18"/>
        </w:rPr>
      </w:pPr>
      <w:r w:rsidRPr="006070EA">
        <w:rPr>
          <w:rFonts w:asciiTheme="majorHAnsi" w:eastAsiaTheme="minorEastAsia" w:hAnsiTheme="majorHAnsi" w:cstheme="majorHAnsi"/>
          <w:i/>
          <w:sz w:val="18"/>
        </w:rPr>
        <w:t>Pro zařízení vybudovaná před 1. 1. 2000 a po 1. 1. 1995 platí ochranná pásma:</w:t>
      </w:r>
    </w:p>
    <w:p w14:paraId="1599349C" w14:textId="77777777" w:rsidR="00AB1F4C" w:rsidRPr="006070EA" w:rsidRDefault="00AB1F4C" w:rsidP="00795EBA">
      <w:pPr>
        <w:spacing w:before="60" w:after="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Vrchní primární vedení do 35 kV = 7 m od krajních vodičů (ochranné pásmo je vymezeno po obou stranách vedení ve vodorovné vzdálenosti měřené kolmo na vedení).</w:t>
      </w:r>
    </w:p>
    <w:p w14:paraId="3184045D" w14:textId="77777777" w:rsidR="00AB1F4C" w:rsidRPr="006070EA" w:rsidRDefault="00AB1F4C" w:rsidP="00795EBA">
      <w:pPr>
        <w:spacing w:after="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Vrchní primární vedení do 400 kV = 20 m od krajních vodičů.</w:t>
      </w:r>
    </w:p>
    <w:p w14:paraId="30A82666" w14:textId="77777777" w:rsidR="00AB1F4C" w:rsidRPr="006070EA" w:rsidRDefault="00AB1F4C" w:rsidP="00795EBA">
      <w:pPr>
        <w:spacing w:after="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Trafostanice vn/nn do 35 kV stožárová = jako vrchní vedení do 35 kV.</w:t>
      </w:r>
    </w:p>
    <w:p w14:paraId="3DD5DCE3" w14:textId="77777777" w:rsidR="00AB1F4C" w:rsidRPr="006070EA" w:rsidRDefault="00AB1F4C" w:rsidP="00795EBA">
      <w:pPr>
        <w:spacing w:after="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Trafostanice vn/nn do 35 kV zděná = 20 m od obvodové zdi.</w:t>
      </w:r>
    </w:p>
    <w:p w14:paraId="5087D564" w14:textId="77777777" w:rsidR="00AB1F4C" w:rsidRPr="006070EA" w:rsidRDefault="00AB1F4C" w:rsidP="00795EBA">
      <w:pPr>
        <w:spacing w:after="6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Kabelová veden všech druhů (do 35 kV) = 1 m na každou stranu od krajního kabelu.</w:t>
      </w:r>
    </w:p>
    <w:p w14:paraId="061250DF" w14:textId="77777777" w:rsidR="00AB1F4C" w:rsidRPr="006070EA" w:rsidRDefault="00AB1F4C" w:rsidP="00795EBA">
      <w:pPr>
        <w:spacing w:before="60" w:after="60" w:line="240" w:lineRule="auto"/>
        <w:ind w:left="709"/>
        <w:jc w:val="both"/>
        <w:rPr>
          <w:rFonts w:asciiTheme="majorHAnsi" w:eastAsiaTheme="minorEastAsia" w:hAnsiTheme="majorHAnsi" w:cstheme="majorHAnsi"/>
          <w:i/>
          <w:sz w:val="18"/>
        </w:rPr>
      </w:pPr>
      <w:r w:rsidRPr="006070EA">
        <w:rPr>
          <w:rFonts w:asciiTheme="majorHAnsi" w:eastAsiaTheme="minorEastAsia" w:hAnsiTheme="majorHAnsi" w:cstheme="majorHAnsi"/>
          <w:i/>
          <w:sz w:val="18"/>
        </w:rPr>
        <w:t>Pro zařízení vybudovaná před 1. 1. 1995 platí ochranná pásma:</w:t>
      </w:r>
    </w:p>
    <w:p w14:paraId="07B531F0" w14:textId="77777777" w:rsidR="00AB1F4C" w:rsidRPr="006070EA" w:rsidRDefault="00AB1F4C" w:rsidP="00795EBA">
      <w:pPr>
        <w:spacing w:before="60" w:after="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Vrchní primární vedení do 35 kV = 10 m od krajních vodičů (ochranné pásmo je vymezeno po obou stranách vedení ve vodorovné vzdálenosti měřené kolmo na vedení).</w:t>
      </w:r>
    </w:p>
    <w:p w14:paraId="4D497D22" w14:textId="77777777" w:rsidR="00AB1F4C" w:rsidRPr="006070EA" w:rsidRDefault="00AB1F4C" w:rsidP="00795EBA">
      <w:pPr>
        <w:spacing w:after="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Vrchní primární vedení do 400 kV = 25 m od krajních vodičů.</w:t>
      </w:r>
    </w:p>
    <w:p w14:paraId="17525CFE" w14:textId="77777777" w:rsidR="00AB1F4C" w:rsidRPr="006070EA" w:rsidRDefault="00AB1F4C" w:rsidP="00795EBA">
      <w:pPr>
        <w:spacing w:after="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Trafostanice vn/nn do 35 kV stožárová = jako vrchní vedení do 35 kV.</w:t>
      </w:r>
    </w:p>
    <w:p w14:paraId="4DC6355E" w14:textId="77777777" w:rsidR="00AB1F4C" w:rsidRPr="006070EA" w:rsidRDefault="00AB1F4C" w:rsidP="00795EBA">
      <w:pPr>
        <w:spacing w:after="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Trafostanice vn/nn do 35 kV zděná = 30 m od obvodové zdi.</w:t>
      </w:r>
    </w:p>
    <w:p w14:paraId="47FA40B9" w14:textId="77777777" w:rsidR="00AB1F4C" w:rsidRPr="006070EA" w:rsidRDefault="00AB1F4C" w:rsidP="00795EBA">
      <w:pPr>
        <w:spacing w:after="60" w:line="240" w:lineRule="auto"/>
        <w:ind w:left="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Kabelová veden všech druhů (do 35 kV) = 1 m na každou stranu od krajního kabelu.</w:t>
      </w:r>
    </w:p>
    <w:p w14:paraId="6691D06C" w14:textId="77777777" w:rsidR="00AB1F4C" w:rsidRPr="006070EA" w:rsidRDefault="00501F6A" w:rsidP="009E07E1">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 xml:space="preserve">Zásobování teplem </w:t>
      </w:r>
      <w:r w:rsidR="00575767" w:rsidRPr="006070EA">
        <w:rPr>
          <w:rFonts w:asciiTheme="majorHAnsi" w:hAnsiTheme="majorHAnsi" w:cstheme="majorHAnsi"/>
          <w:b/>
          <w:sz w:val="20"/>
        </w:rPr>
        <w:t>a plynem</w:t>
      </w:r>
    </w:p>
    <w:p w14:paraId="02F5A990" w14:textId="01F568CC" w:rsidR="00A927FD" w:rsidRPr="006070EA" w:rsidRDefault="00A927FD"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C8442F" w:rsidRPr="006070EA">
        <w:rPr>
          <w:rFonts w:asciiTheme="majorHAnsi" w:hAnsiTheme="majorHAnsi" w:cstheme="majorHAnsi"/>
          <w:b/>
          <w:i/>
          <w:snapToGrid w:val="0"/>
          <w:u w:val="single"/>
        </w:rPr>
        <w:t>4</w:t>
      </w:r>
      <w:r w:rsidR="0021590A">
        <w:rPr>
          <w:rFonts w:asciiTheme="majorHAnsi" w:hAnsiTheme="majorHAnsi" w:cstheme="majorHAnsi"/>
          <w:b/>
          <w:i/>
          <w:snapToGrid w:val="0"/>
          <w:u w:val="single"/>
        </w:rPr>
        <w:t>1</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2576A320" w14:textId="4BBDE44D" w:rsidR="00AB1F4C" w:rsidRPr="006070EA" w:rsidRDefault="00D0220D" w:rsidP="009E07E1">
      <w:pPr>
        <w:keepNext/>
        <w:spacing w:before="120" w:after="120" w:line="240" w:lineRule="auto"/>
        <w:jc w:val="both"/>
        <w:rPr>
          <w:rFonts w:asciiTheme="majorHAnsi" w:eastAsiaTheme="minorEastAsia" w:hAnsiTheme="majorHAnsi" w:cstheme="majorHAnsi"/>
          <w:b/>
          <w:sz w:val="18"/>
        </w:rPr>
      </w:pPr>
      <w:r w:rsidRPr="006070EA">
        <w:rPr>
          <w:rFonts w:asciiTheme="majorHAnsi" w:eastAsiaTheme="minorEastAsia" w:hAnsiTheme="majorHAnsi" w:cstheme="majorHAnsi"/>
          <w:b/>
          <w:sz w:val="18"/>
        </w:rPr>
        <w:t>Popis st</w:t>
      </w:r>
      <w:r w:rsidR="00AB1F4C" w:rsidRPr="006070EA">
        <w:rPr>
          <w:rFonts w:asciiTheme="majorHAnsi" w:eastAsiaTheme="minorEastAsia" w:hAnsiTheme="majorHAnsi" w:cstheme="majorHAnsi"/>
          <w:b/>
          <w:sz w:val="18"/>
        </w:rPr>
        <w:t>ávající situace</w:t>
      </w:r>
      <w:r w:rsidRPr="006070EA">
        <w:rPr>
          <w:rFonts w:asciiTheme="majorHAnsi" w:eastAsiaTheme="minorEastAsia" w:hAnsiTheme="majorHAnsi" w:cstheme="majorHAnsi"/>
          <w:b/>
          <w:sz w:val="18"/>
        </w:rPr>
        <w:t xml:space="preserve"> a návrh</w:t>
      </w:r>
    </w:p>
    <w:p w14:paraId="1C1B3C22" w14:textId="2A434437" w:rsidR="009E5E88" w:rsidRPr="006070EA" w:rsidRDefault="00C8442F" w:rsidP="009E5E88">
      <w:pPr>
        <w:pStyle w:val="Atext"/>
        <w:rPr>
          <w:rFonts w:asciiTheme="majorHAnsi" w:hAnsiTheme="majorHAnsi" w:cstheme="majorHAnsi"/>
        </w:rPr>
      </w:pPr>
      <w:r w:rsidRPr="006070EA">
        <w:rPr>
          <w:rFonts w:asciiTheme="majorHAnsi" w:hAnsiTheme="majorHAnsi" w:cstheme="majorHAnsi"/>
        </w:rPr>
        <w:t xml:space="preserve">Sídlo Kostomlaty nad Labem je plynofikováno. </w:t>
      </w:r>
      <w:r w:rsidR="009E5E88" w:rsidRPr="006070EA">
        <w:rPr>
          <w:rFonts w:asciiTheme="majorHAnsi" w:hAnsiTheme="majorHAnsi" w:cstheme="majorHAnsi"/>
        </w:rPr>
        <w:t xml:space="preserve">Distribuce plynu je realizována středotlakými plynovody. </w:t>
      </w:r>
      <w:r w:rsidRPr="006070EA">
        <w:rPr>
          <w:rFonts w:asciiTheme="majorHAnsi" w:hAnsiTheme="majorHAnsi" w:cstheme="majorHAnsi"/>
        </w:rPr>
        <w:t xml:space="preserve">Středotlaký plynovod je veden </w:t>
      </w:r>
      <w:r w:rsidR="00771951" w:rsidRPr="006070EA">
        <w:rPr>
          <w:rFonts w:asciiTheme="majorHAnsi" w:hAnsiTheme="majorHAnsi" w:cstheme="majorHAnsi"/>
        </w:rPr>
        <w:t>odbočkou z původního plynovodu vedeného od Nymburka do zemědělského areálu jižně od zastavěného území. Ostatní sídla v řešeném území nejsou plynofikována.</w:t>
      </w:r>
    </w:p>
    <w:p w14:paraId="5DCCF8EB" w14:textId="77777777" w:rsidR="009E5E88" w:rsidRPr="006070EA" w:rsidRDefault="009E5E88" w:rsidP="009E5E88">
      <w:pPr>
        <w:pStyle w:val="Atext"/>
        <w:spacing w:before="60" w:after="60"/>
        <w:rPr>
          <w:rFonts w:asciiTheme="majorHAnsi" w:hAnsiTheme="majorHAnsi" w:cstheme="majorHAnsi"/>
        </w:rPr>
      </w:pPr>
      <w:r w:rsidRPr="006070EA">
        <w:rPr>
          <w:rFonts w:asciiTheme="majorHAnsi" w:hAnsiTheme="majorHAnsi" w:cstheme="majorHAnsi"/>
        </w:rPr>
        <w:t>Zásobování teplem je v místních částech řešeného území převážně decentralizované. Pro vytápění a ohřev TUV je v Kostomlatech nad Labem využíván převážně plyn, v ostatních sídlech převažují tuhá (fosilní) paliva, popř. elektrická energie, propan-butan.</w:t>
      </w:r>
    </w:p>
    <w:p w14:paraId="30302D28" w14:textId="77777777" w:rsidR="009E5E88" w:rsidRPr="006070EA" w:rsidRDefault="009E5E88" w:rsidP="009E5E88">
      <w:pPr>
        <w:pStyle w:val="Anadpispodtren"/>
        <w:rPr>
          <w:rFonts w:asciiTheme="majorHAnsi" w:hAnsiTheme="majorHAnsi" w:cstheme="majorHAnsi"/>
        </w:rPr>
      </w:pPr>
      <w:r w:rsidRPr="006070EA">
        <w:rPr>
          <w:rFonts w:asciiTheme="majorHAnsi" w:hAnsiTheme="majorHAnsi" w:cstheme="majorHAnsi"/>
        </w:rPr>
        <w:t>Ochranná a bezpečnostní pásma:</w:t>
      </w:r>
    </w:p>
    <w:p w14:paraId="434111FA" w14:textId="77777777" w:rsidR="009E5E88" w:rsidRPr="006070EA" w:rsidRDefault="009E5E88" w:rsidP="009E5E88">
      <w:pPr>
        <w:pStyle w:val="Atext"/>
        <w:rPr>
          <w:rFonts w:asciiTheme="majorHAnsi" w:hAnsiTheme="majorHAnsi" w:cstheme="majorHAnsi"/>
        </w:rPr>
      </w:pPr>
      <w:r w:rsidRPr="006070EA">
        <w:rPr>
          <w:rFonts w:asciiTheme="majorHAnsi" w:hAnsiTheme="majorHAnsi" w:cstheme="majorHAnsi"/>
        </w:rPr>
        <w:t>Dle § 68 Zákona 48/2000 Sb., ve znění pozdějších předpisů (energetický zákon), se ochranným pásmem rozumí souvislý prostor v bezprostřední blízkosti plynárenského zařízení, který činí:</w:t>
      </w:r>
    </w:p>
    <w:p w14:paraId="325B715F" w14:textId="77777777" w:rsidR="009E5E88" w:rsidRPr="006070EA" w:rsidRDefault="009E5E88" w:rsidP="009E5E88">
      <w:pPr>
        <w:pStyle w:val="Atext"/>
        <w:ind w:left="993" w:hanging="284"/>
        <w:rPr>
          <w:rFonts w:asciiTheme="majorHAnsi" w:hAnsiTheme="majorHAnsi" w:cstheme="majorHAnsi"/>
          <w:i/>
        </w:rPr>
      </w:pPr>
      <w:r w:rsidRPr="006070EA">
        <w:rPr>
          <w:rFonts w:asciiTheme="majorHAnsi" w:hAnsiTheme="majorHAnsi" w:cstheme="majorHAnsi"/>
          <w:i/>
        </w:rPr>
        <w:t>a) u nízkotlakých a středotlakých plynovodů a plynovodních přípojek, jimiž se rozvádí plyn v zastavěném území obce 1 m na obě strany od půdorysu,</w:t>
      </w:r>
    </w:p>
    <w:p w14:paraId="79192346" w14:textId="77777777" w:rsidR="009E5E88" w:rsidRPr="006070EA" w:rsidRDefault="009E5E88" w:rsidP="009E5E88">
      <w:pPr>
        <w:pStyle w:val="Atext"/>
        <w:rPr>
          <w:rFonts w:asciiTheme="majorHAnsi" w:hAnsiTheme="majorHAnsi" w:cstheme="majorHAnsi"/>
          <w:i/>
        </w:rPr>
      </w:pPr>
      <w:r w:rsidRPr="006070EA">
        <w:rPr>
          <w:rFonts w:asciiTheme="majorHAnsi" w:hAnsiTheme="majorHAnsi" w:cstheme="majorHAnsi"/>
          <w:i/>
        </w:rPr>
        <w:t>b) u ostatních plynovodů a plynovodních přípojek 4 m na obě strany od půdorysu,</w:t>
      </w:r>
    </w:p>
    <w:p w14:paraId="546B257F" w14:textId="77777777" w:rsidR="009E5E88" w:rsidRPr="006070EA" w:rsidRDefault="009E5E88" w:rsidP="009E5E88">
      <w:pPr>
        <w:pStyle w:val="Atext"/>
        <w:rPr>
          <w:rFonts w:asciiTheme="majorHAnsi" w:hAnsiTheme="majorHAnsi" w:cstheme="majorHAnsi"/>
          <w:i/>
        </w:rPr>
      </w:pPr>
      <w:r w:rsidRPr="006070EA">
        <w:rPr>
          <w:rFonts w:asciiTheme="majorHAnsi" w:hAnsiTheme="majorHAnsi" w:cstheme="majorHAnsi"/>
          <w:i/>
        </w:rPr>
        <w:t>c) u technologických objektů 4 m od půdorysu.</w:t>
      </w:r>
    </w:p>
    <w:p w14:paraId="2D8A56B9" w14:textId="7D9E515C" w:rsidR="009E5E88" w:rsidRPr="006070EA" w:rsidRDefault="009E5E88" w:rsidP="009E5E88">
      <w:pPr>
        <w:pStyle w:val="Atext"/>
        <w:rPr>
          <w:rFonts w:asciiTheme="majorHAnsi" w:hAnsiTheme="majorHAnsi" w:cstheme="majorHAnsi"/>
          <w:i/>
        </w:rPr>
      </w:pPr>
      <w:r w:rsidRPr="006070EA">
        <w:rPr>
          <w:rFonts w:asciiTheme="majorHAnsi" w:hAnsiTheme="majorHAnsi" w:cstheme="majorHAnsi"/>
          <w:i/>
        </w:rPr>
        <w:t>V ochranném pásmu je zakázáno provádět činnosti, které by mohly ohrozit plynárenská zařízení, jejich spolehlivost a</w:t>
      </w:r>
      <w:r w:rsidR="0054075C" w:rsidRPr="006070EA">
        <w:rPr>
          <w:rFonts w:asciiTheme="majorHAnsi" w:hAnsiTheme="majorHAnsi" w:cstheme="majorHAnsi"/>
          <w:i/>
        </w:rPr>
        <w:t> </w:t>
      </w:r>
      <w:r w:rsidRPr="006070EA">
        <w:rPr>
          <w:rFonts w:asciiTheme="majorHAnsi" w:hAnsiTheme="majorHAnsi" w:cstheme="majorHAnsi"/>
          <w:i/>
        </w:rPr>
        <w:t>bezpečnost provozu. Při provádění veškerých činností v ochranném pásmu i mimo ně nesmí dojít k poškození plynárenského zařízení.</w:t>
      </w:r>
    </w:p>
    <w:p w14:paraId="7AC4831C" w14:textId="77777777" w:rsidR="00AB1F4C" w:rsidRPr="006070EA" w:rsidRDefault="00AB1F4C" w:rsidP="009E07E1">
      <w:pPr>
        <w:keepNext/>
        <w:spacing w:before="120" w:after="120" w:line="240" w:lineRule="auto"/>
        <w:jc w:val="both"/>
        <w:rPr>
          <w:rFonts w:asciiTheme="majorHAnsi" w:eastAsiaTheme="minorEastAsia" w:hAnsiTheme="majorHAnsi" w:cstheme="majorHAnsi"/>
          <w:b/>
          <w:sz w:val="18"/>
        </w:rPr>
      </w:pPr>
      <w:r w:rsidRPr="006070EA">
        <w:rPr>
          <w:rFonts w:asciiTheme="majorHAnsi" w:eastAsiaTheme="minorEastAsia" w:hAnsiTheme="majorHAnsi" w:cstheme="majorHAnsi"/>
          <w:b/>
          <w:sz w:val="18"/>
        </w:rPr>
        <w:lastRenderedPageBreak/>
        <w:t>Odůvodnění koncepce zásobování teplem a plynem</w:t>
      </w:r>
    </w:p>
    <w:p w14:paraId="1D920F96" w14:textId="22DB081B" w:rsidR="00771951" w:rsidRPr="006070EA" w:rsidRDefault="00771951" w:rsidP="00771951">
      <w:pPr>
        <w:spacing w:after="60" w:line="240" w:lineRule="auto"/>
        <w:ind w:firstLine="709"/>
        <w:jc w:val="both"/>
        <w:rPr>
          <w:rFonts w:asciiTheme="majorHAnsi" w:eastAsiaTheme="minorEastAsia" w:hAnsiTheme="majorHAnsi" w:cstheme="majorHAnsi"/>
          <w:bCs/>
          <w:iCs/>
          <w:sz w:val="18"/>
        </w:rPr>
      </w:pPr>
      <w:r w:rsidRPr="006070EA">
        <w:rPr>
          <w:rFonts w:asciiTheme="majorHAnsi" w:eastAsiaTheme="minorEastAsia" w:hAnsiTheme="majorHAnsi" w:cstheme="majorHAnsi"/>
          <w:bCs/>
          <w:iCs/>
          <w:sz w:val="18"/>
        </w:rPr>
        <w:t xml:space="preserve">Systém zásobování plynem je kapacitně schopný pokrýt požadavky v návrhovém období územního plánu při naplnění koncepce rozvoje území v Kostomlatech nad Labem. Územní plán stanovuje zachování stávajícího způsobu zásobování plynem a podporuje rozvoj plynovodu v plochách určených pro urbanistický rozvoj sídla. Při návrhu nových tras budou zhodnoceny stávající rozvody a případně navržena jejich úprava či náhrada (přehodnocení dimenzí stávající sítě, výměna některých úseků plynovodu apod.). </w:t>
      </w:r>
    </w:p>
    <w:p w14:paraId="076CBE7E" w14:textId="5FCAAA21" w:rsidR="00771951" w:rsidRPr="006070EA" w:rsidRDefault="00771951" w:rsidP="00771951">
      <w:pPr>
        <w:spacing w:after="60" w:line="240" w:lineRule="auto"/>
        <w:ind w:firstLine="709"/>
        <w:jc w:val="both"/>
        <w:rPr>
          <w:rFonts w:asciiTheme="majorHAnsi" w:eastAsiaTheme="minorEastAsia" w:hAnsiTheme="majorHAnsi" w:cstheme="majorHAnsi"/>
          <w:bCs/>
          <w:iCs/>
          <w:sz w:val="18"/>
        </w:rPr>
      </w:pPr>
      <w:r w:rsidRPr="006070EA">
        <w:rPr>
          <w:rFonts w:asciiTheme="majorHAnsi" w:eastAsiaTheme="minorEastAsia" w:hAnsiTheme="majorHAnsi" w:cstheme="majorHAnsi"/>
          <w:bCs/>
          <w:iCs/>
          <w:sz w:val="18"/>
        </w:rPr>
        <w:t>V částech území mimo dosah plynovodního systému bude vytápění řešeno individuálním způsobem. Objekty, které nebudou napojeny na rozvod zemního plynu, je vhodné vytápět jiným druhem ekologicky šetrnějšího paliva (např. biomasa). Pro předehřev teplé užitkové vody je doporučeno využívat obnovitelných zdrojů energie. Tendence postupující převahy energeticky méně náročných, úsporných a pasivních technologií, které nebudou v budoucnu klást zvýšené nároky na energetické systémy, mohou způsobit utlumení centrálních systémů zásobování tepelnou energií. Využívání alternativních zdrojů energie je územním plánem doporučeno z důvodu jejich vyšší provozní efektivity a rentability. Důvodem stanovení výroku je mimo jiné požadavek PÚR ČR (priorita 31) „Vytvářet územní podmínky pro rozvoj decentralizované, efektivní a bezpečné výroby energie z obnovitelných zdrojů, šetrné k životnímu prostředí, s cílem minimalizace jejich negativních vlivů a</w:t>
      </w:r>
      <w:r w:rsidR="0054075C" w:rsidRPr="006070EA">
        <w:rPr>
          <w:rFonts w:asciiTheme="majorHAnsi" w:eastAsiaTheme="minorEastAsia" w:hAnsiTheme="majorHAnsi" w:cstheme="majorHAnsi"/>
          <w:bCs/>
          <w:iCs/>
          <w:sz w:val="18"/>
        </w:rPr>
        <w:t> </w:t>
      </w:r>
      <w:r w:rsidRPr="006070EA">
        <w:rPr>
          <w:rFonts w:asciiTheme="majorHAnsi" w:eastAsiaTheme="minorEastAsia" w:hAnsiTheme="majorHAnsi" w:cstheme="majorHAnsi"/>
          <w:bCs/>
          <w:iCs/>
          <w:sz w:val="18"/>
        </w:rPr>
        <w:t xml:space="preserve">rizik při respektování přednosti zajištění bezpečného zásobování území energiemi.“ </w:t>
      </w:r>
    </w:p>
    <w:p w14:paraId="71D4A8CF" w14:textId="77777777" w:rsidR="00771951" w:rsidRPr="006070EA" w:rsidRDefault="00771951" w:rsidP="00771951">
      <w:pPr>
        <w:spacing w:after="60" w:line="240" w:lineRule="auto"/>
        <w:ind w:firstLine="709"/>
        <w:jc w:val="both"/>
        <w:rPr>
          <w:rFonts w:asciiTheme="majorHAnsi" w:eastAsiaTheme="minorEastAsia" w:hAnsiTheme="majorHAnsi" w:cstheme="majorHAnsi"/>
          <w:bCs/>
          <w:iCs/>
          <w:sz w:val="18"/>
        </w:rPr>
      </w:pPr>
      <w:r w:rsidRPr="006070EA">
        <w:rPr>
          <w:rFonts w:asciiTheme="majorHAnsi" w:eastAsiaTheme="minorEastAsia" w:hAnsiTheme="majorHAnsi" w:cstheme="majorHAnsi"/>
          <w:bCs/>
          <w:iCs/>
          <w:sz w:val="18"/>
        </w:rPr>
        <w:t xml:space="preserve">Aktuální trendy v oblasti architektury a stavitelství ukazují snahu preferovat individuální, na centrálních zdrojích energií nezávislé, projekty s minimálními nároky na potřebu energetických vstupů. Tendence postupující převahy energeticky méně náročných, úsporných a pasivních technologií, které nebudou v budoucnu klást nároky na energetické systémy, jsou zřejmé. Současné systémy dimenzované na mnohonásobně vyšší energetické potřeby budou disponovat stále větší výkonovou rezervou. Problematická bude naopak jejich provozní udržitelnost. </w:t>
      </w:r>
    </w:p>
    <w:p w14:paraId="7355D86B" w14:textId="4B58B4BE" w:rsidR="00771951" w:rsidRPr="006070EA" w:rsidRDefault="00771951" w:rsidP="00771951">
      <w:pPr>
        <w:spacing w:after="60" w:line="240" w:lineRule="auto"/>
        <w:ind w:firstLine="709"/>
        <w:jc w:val="both"/>
        <w:rPr>
          <w:rFonts w:asciiTheme="majorHAnsi" w:eastAsiaTheme="minorEastAsia" w:hAnsiTheme="majorHAnsi" w:cstheme="majorHAnsi"/>
          <w:bCs/>
          <w:iCs/>
          <w:sz w:val="18"/>
        </w:rPr>
      </w:pPr>
      <w:r w:rsidRPr="006070EA">
        <w:rPr>
          <w:rFonts w:asciiTheme="majorHAnsi" w:eastAsiaTheme="minorEastAsia" w:hAnsiTheme="majorHAnsi" w:cstheme="majorHAnsi"/>
          <w:bCs/>
          <w:iCs/>
          <w:sz w:val="18"/>
        </w:rPr>
        <w:t>Schematické znázornění stávajících vedení STL plynovodu je zobrazeno v grafické části Odůvodnění ÚP Kostomlaty nad Labem, výkresu 1 Koordinační výkres. S ohledem na měřítko územního plánu jde pouze o schematické vyjádření koncepce bez vztahu k jednotlivým pozemkům katastru nemovitostí. V navazujících řízeních tak nejsou vyloučeny změny tras jednotlivých řadů a umístění objektů</w:t>
      </w:r>
      <w:r w:rsidR="00372BD0" w:rsidRPr="006070EA">
        <w:rPr>
          <w:rFonts w:asciiTheme="majorHAnsi" w:eastAsiaTheme="minorEastAsia" w:hAnsiTheme="majorHAnsi" w:cstheme="majorHAnsi"/>
          <w:bCs/>
          <w:iCs/>
          <w:sz w:val="18"/>
        </w:rPr>
        <w:t>.</w:t>
      </w:r>
    </w:p>
    <w:p w14:paraId="0DFF0242" w14:textId="77777777" w:rsidR="00AB1F4C" w:rsidRPr="006070EA" w:rsidRDefault="00501F6A" w:rsidP="009E07E1">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Telekomunikace a radiokomunikace</w:t>
      </w:r>
    </w:p>
    <w:p w14:paraId="0B066769" w14:textId="37D1CB2C" w:rsidR="00A927FD" w:rsidRPr="006070EA" w:rsidRDefault="00A927FD" w:rsidP="009E07E1">
      <w:pPr>
        <w:pStyle w:val="Atext"/>
        <w:keepNext/>
        <w:ind w:firstLine="0"/>
        <w:jc w:val="right"/>
        <w:rPr>
          <w:rFonts w:asciiTheme="majorHAnsi" w:hAnsiTheme="majorHAnsi" w:cstheme="majorHAnsi"/>
          <w:i/>
          <w:snapToGrid w:val="0"/>
          <w:szCs w:val="18"/>
          <w:u w:val="single"/>
        </w:rPr>
      </w:pPr>
      <w:r w:rsidRPr="006070EA">
        <w:rPr>
          <w:rFonts w:asciiTheme="majorHAnsi" w:hAnsiTheme="majorHAnsi" w:cstheme="majorHAnsi"/>
          <w:i/>
          <w:snapToGrid w:val="0"/>
          <w:szCs w:val="18"/>
          <w:u w:val="single"/>
        </w:rPr>
        <w:t xml:space="preserve">Odůvodnění odst. </w:t>
      </w:r>
      <w:r w:rsidRPr="006070EA">
        <w:rPr>
          <w:rFonts w:asciiTheme="majorHAnsi" w:hAnsiTheme="majorHAnsi" w:cstheme="majorHAnsi"/>
          <w:b/>
          <w:i/>
          <w:snapToGrid w:val="0"/>
          <w:szCs w:val="18"/>
          <w:u w:val="single"/>
        </w:rPr>
        <w:t>(</w:t>
      </w:r>
      <w:r w:rsidR="00372BD0" w:rsidRPr="006070EA">
        <w:rPr>
          <w:rFonts w:asciiTheme="majorHAnsi" w:hAnsiTheme="majorHAnsi" w:cstheme="majorHAnsi"/>
          <w:b/>
          <w:i/>
          <w:snapToGrid w:val="0"/>
          <w:szCs w:val="18"/>
          <w:u w:val="single"/>
        </w:rPr>
        <w:t>4</w:t>
      </w:r>
      <w:r w:rsidR="0021590A">
        <w:rPr>
          <w:rFonts w:asciiTheme="majorHAnsi" w:hAnsiTheme="majorHAnsi" w:cstheme="majorHAnsi"/>
          <w:b/>
          <w:i/>
          <w:snapToGrid w:val="0"/>
          <w:szCs w:val="18"/>
          <w:u w:val="single"/>
        </w:rPr>
        <w:t>2</w:t>
      </w:r>
      <w:r w:rsidRPr="006070EA">
        <w:rPr>
          <w:rFonts w:asciiTheme="majorHAnsi" w:hAnsiTheme="majorHAnsi" w:cstheme="majorHAnsi"/>
          <w:b/>
          <w:i/>
          <w:snapToGrid w:val="0"/>
          <w:szCs w:val="18"/>
          <w:u w:val="single"/>
        </w:rPr>
        <w:t xml:space="preserve">) </w:t>
      </w:r>
      <w:r w:rsidRPr="006070EA">
        <w:rPr>
          <w:rFonts w:asciiTheme="majorHAnsi" w:hAnsiTheme="majorHAnsi" w:cstheme="majorHAnsi"/>
          <w:i/>
          <w:snapToGrid w:val="0"/>
          <w:szCs w:val="18"/>
          <w:u w:val="single"/>
        </w:rPr>
        <w:t>výrokové části</w:t>
      </w:r>
    </w:p>
    <w:p w14:paraId="0FB9DAEC" w14:textId="77777777" w:rsidR="00A927FD" w:rsidRPr="006070EA" w:rsidRDefault="00A927FD" w:rsidP="009E07E1">
      <w:pPr>
        <w:keepNext/>
        <w:spacing w:before="120" w:after="120" w:line="240" w:lineRule="auto"/>
        <w:jc w:val="both"/>
        <w:rPr>
          <w:rFonts w:asciiTheme="majorHAnsi" w:eastAsiaTheme="minorEastAsia" w:hAnsiTheme="majorHAnsi" w:cstheme="majorHAnsi"/>
          <w:b/>
          <w:sz w:val="18"/>
          <w:szCs w:val="18"/>
        </w:rPr>
      </w:pPr>
      <w:r w:rsidRPr="006070EA">
        <w:rPr>
          <w:rFonts w:asciiTheme="majorHAnsi" w:eastAsiaTheme="minorEastAsia" w:hAnsiTheme="majorHAnsi" w:cstheme="majorHAnsi"/>
          <w:b/>
          <w:sz w:val="18"/>
          <w:szCs w:val="18"/>
        </w:rPr>
        <w:t>Popis stávající situace a návrh</w:t>
      </w:r>
    </w:p>
    <w:p w14:paraId="1CE59692" w14:textId="083D0B73" w:rsidR="00372BD0" w:rsidRPr="006070EA" w:rsidRDefault="00372BD0" w:rsidP="009E5E88">
      <w:pPr>
        <w:pStyle w:val="Atext"/>
        <w:rPr>
          <w:rFonts w:asciiTheme="majorHAnsi" w:hAnsiTheme="majorHAnsi" w:cstheme="majorHAnsi"/>
          <w:lang w:eastAsia="cs-CZ"/>
        </w:rPr>
      </w:pPr>
      <w:r w:rsidRPr="006070EA">
        <w:rPr>
          <w:rFonts w:asciiTheme="majorHAnsi" w:hAnsiTheme="majorHAnsi" w:cstheme="majorHAnsi"/>
          <w:lang w:eastAsia="cs-CZ"/>
        </w:rPr>
        <w:t>Řešené území je napojeno z telefonního obvodu Středočeský (31, 32). Provozovatelem telefonní sítě je Telefonica O2 Czech Republic, a.s. Území města je plně napojeno do veřejné telefonní sítě a lze uspokojit veškeré nároky na připojení telefonních stanic.</w:t>
      </w:r>
    </w:p>
    <w:p w14:paraId="631B4CB3" w14:textId="1DDC151C" w:rsidR="009E5E88" w:rsidRPr="006070EA" w:rsidRDefault="00372BD0" w:rsidP="009E5E88">
      <w:pPr>
        <w:pStyle w:val="Atext"/>
        <w:rPr>
          <w:rFonts w:asciiTheme="majorHAnsi" w:hAnsiTheme="majorHAnsi" w:cstheme="majorHAnsi"/>
          <w:lang w:eastAsia="cs-CZ"/>
        </w:rPr>
      </w:pPr>
      <w:r w:rsidRPr="006070EA">
        <w:rPr>
          <w:rFonts w:asciiTheme="majorHAnsi" w:hAnsiTheme="majorHAnsi" w:cstheme="majorHAnsi"/>
          <w:lang w:eastAsia="cs-CZ"/>
        </w:rPr>
        <w:t xml:space="preserve">V řešeném území se nacházejí komunikační zařízení. </w:t>
      </w:r>
      <w:r w:rsidR="009E5E88" w:rsidRPr="006070EA">
        <w:rPr>
          <w:rFonts w:asciiTheme="majorHAnsi" w:hAnsiTheme="majorHAnsi" w:cstheme="majorHAnsi"/>
          <w:lang w:eastAsia="cs-CZ"/>
        </w:rPr>
        <w:t xml:space="preserve">Provozovatelem radiových stanic v území je firma T-mobile. Sítě elektronický podzemních komunikací zajišťuje společnost CETIN. Územím vede zemní trasa </w:t>
      </w:r>
      <w:r w:rsidRPr="006070EA">
        <w:rPr>
          <w:rFonts w:asciiTheme="majorHAnsi" w:hAnsiTheme="majorHAnsi" w:cstheme="majorHAnsi"/>
          <w:lang w:eastAsia="cs-CZ"/>
        </w:rPr>
        <w:t xml:space="preserve">zařízení </w:t>
      </w:r>
      <w:r w:rsidR="009E5E88" w:rsidRPr="006070EA">
        <w:rPr>
          <w:rFonts w:asciiTheme="majorHAnsi" w:hAnsiTheme="majorHAnsi" w:cstheme="majorHAnsi"/>
          <w:lang w:eastAsia="cs-CZ"/>
        </w:rPr>
        <w:t xml:space="preserve">HDPE se zafouknutým optickým kabelem provozovaná společností ČD Telematika. V území </w:t>
      </w:r>
      <w:r w:rsidRPr="006070EA">
        <w:rPr>
          <w:rFonts w:asciiTheme="majorHAnsi" w:hAnsiTheme="majorHAnsi" w:cstheme="majorHAnsi"/>
          <w:lang w:eastAsia="cs-CZ"/>
        </w:rPr>
        <w:t xml:space="preserve">je provozováno </w:t>
      </w:r>
      <w:r w:rsidR="009E5E88" w:rsidRPr="006070EA">
        <w:rPr>
          <w:rFonts w:asciiTheme="majorHAnsi" w:hAnsiTheme="majorHAnsi" w:cstheme="majorHAnsi"/>
          <w:lang w:eastAsia="cs-CZ"/>
        </w:rPr>
        <w:t>komunikační vedení Českých drah.</w:t>
      </w:r>
      <w:r w:rsidRPr="006070EA">
        <w:rPr>
          <w:rFonts w:asciiTheme="majorHAnsi" w:hAnsiTheme="majorHAnsi" w:cstheme="majorHAnsi"/>
          <w:lang w:eastAsia="cs-CZ"/>
        </w:rPr>
        <w:t xml:space="preserve"> </w:t>
      </w:r>
      <w:r w:rsidR="009E5E88" w:rsidRPr="006070EA">
        <w:rPr>
          <w:rFonts w:asciiTheme="majorHAnsi" w:hAnsiTheme="majorHAnsi" w:cstheme="majorHAnsi"/>
          <w:lang w:eastAsia="cs-CZ"/>
        </w:rPr>
        <w:t xml:space="preserve"> </w:t>
      </w:r>
    </w:p>
    <w:p w14:paraId="295A5708" w14:textId="78ED73FF" w:rsidR="009E5E88" w:rsidRPr="006070EA" w:rsidRDefault="009E5E88" w:rsidP="009E5E88">
      <w:pPr>
        <w:pStyle w:val="Atext"/>
        <w:rPr>
          <w:rFonts w:asciiTheme="majorHAnsi" w:hAnsiTheme="majorHAnsi" w:cstheme="majorHAnsi"/>
          <w:lang w:eastAsia="cs-CZ"/>
        </w:rPr>
      </w:pPr>
      <w:r w:rsidRPr="006070EA">
        <w:rPr>
          <w:rFonts w:asciiTheme="majorHAnsi" w:hAnsiTheme="majorHAnsi" w:cstheme="majorHAnsi"/>
          <w:lang w:eastAsia="cs-CZ"/>
        </w:rPr>
        <w:t xml:space="preserve">Přes dané území </w:t>
      </w:r>
      <w:r w:rsidR="00372BD0" w:rsidRPr="006070EA">
        <w:rPr>
          <w:rFonts w:asciiTheme="majorHAnsi" w:hAnsiTheme="majorHAnsi" w:cstheme="majorHAnsi"/>
          <w:lang w:eastAsia="cs-CZ"/>
        </w:rPr>
        <w:t xml:space="preserve">prochází </w:t>
      </w:r>
      <w:r w:rsidRPr="006070EA">
        <w:rPr>
          <w:rFonts w:asciiTheme="majorHAnsi" w:hAnsiTheme="majorHAnsi" w:cstheme="majorHAnsi"/>
          <w:lang w:eastAsia="cs-CZ"/>
        </w:rPr>
        <w:t>6 radioreléových tras společnosti T</w:t>
      </w:r>
      <w:r w:rsidR="00372BD0" w:rsidRPr="006070EA">
        <w:rPr>
          <w:rFonts w:asciiTheme="majorHAnsi" w:hAnsiTheme="majorHAnsi" w:cstheme="majorHAnsi"/>
          <w:lang w:eastAsia="cs-CZ"/>
        </w:rPr>
        <w:t>-m</w:t>
      </w:r>
      <w:r w:rsidRPr="006070EA">
        <w:rPr>
          <w:rFonts w:asciiTheme="majorHAnsi" w:hAnsiTheme="majorHAnsi" w:cstheme="majorHAnsi"/>
          <w:lang w:eastAsia="cs-CZ"/>
        </w:rPr>
        <w:t>obile a 1 radioreléová trasa společnosti CETIN.</w:t>
      </w:r>
      <w:r w:rsidR="00D17639" w:rsidRPr="006070EA">
        <w:rPr>
          <w:rFonts w:asciiTheme="majorHAnsi" w:hAnsiTheme="majorHAnsi" w:cstheme="majorHAnsi"/>
          <w:lang w:eastAsia="cs-CZ"/>
        </w:rPr>
        <w:t xml:space="preserve"> Na řešené území zasahují ochranná pásma radioreléové trasy a komunikačního vedení.</w:t>
      </w:r>
    </w:p>
    <w:p w14:paraId="0AAA181F" w14:textId="3C661326" w:rsidR="00372BD0" w:rsidRPr="006070EA" w:rsidRDefault="00AB1F4C" w:rsidP="00372BD0">
      <w:pPr>
        <w:pStyle w:val="Atext"/>
        <w:rPr>
          <w:rFonts w:asciiTheme="majorHAnsi" w:hAnsiTheme="majorHAnsi" w:cstheme="majorHAnsi"/>
        </w:rPr>
      </w:pPr>
      <w:r w:rsidRPr="006070EA">
        <w:rPr>
          <w:rFonts w:asciiTheme="majorHAnsi" w:eastAsiaTheme="minorEastAsia" w:hAnsiTheme="majorHAnsi" w:cstheme="majorHAnsi"/>
          <w:szCs w:val="18"/>
        </w:rPr>
        <w:t>Výše uvedené trasy</w:t>
      </w:r>
      <w:r w:rsidR="00933267" w:rsidRPr="006070EA">
        <w:rPr>
          <w:rFonts w:asciiTheme="majorHAnsi" w:eastAsiaTheme="minorEastAsia" w:hAnsiTheme="majorHAnsi" w:cstheme="majorHAnsi"/>
          <w:szCs w:val="18"/>
        </w:rPr>
        <w:t xml:space="preserve">, </w:t>
      </w:r>
      <w:r w:rsidRPr="006070EA">
        <w:rPr>
          <w:rFonts w:asciiTheme="majorHAnsi" w:eastAsiaTheme="minorEastAsia" w:hAnsiTheme="majorHAnsi" w:cstheme="majorHAnsi"/>
          <w:szCs w:val="18"/>
        </w:rPr>
        <w:t xml:space="preserve">ochranná pásma a </w:t>
      </w:r>
      <w:r w:rsidR="00933267" w:rsidRPr="006070EA">
        <w:rPr>
          <w:rFonts w:asciiTheme="majorHAnsi" w:eastAsiaTheme="minorEastAsia" w:hAnsiTheme="majorHAnsi" w:cstheme="majorHAnsi"/>
          <w:szCs w:val="18"/>
        </w:rPr>
        <w:t xml:space="preserve">komunikační </w:t>
      </w:r>
      <w:r w:rsidRPr="006070EA">
        <w:rPr>
          <w:rFonts w:asciiTheme="majorHAnsi" w:eastAsiaTheme="minorEastAsia" w:hAnsiTheme="majorHAnsi" w:cstheme="majorHAnsi"/>
          <w:szCs w:val="18"/>
        </w:rPr>
        <w:t xml:space="preserve">zařízení </w:t>
      </w:r>
      <w:r w:rsidR="00700C54" w:rsidRPr="006070EA">
        <w:rPr>
          <w:rFonts w:asciiTheme="majorHAnsi" w:eastAsiaTheme="minorEastAsia" w:hAnsiTheme="majorHAnsi" w:cstheme="majorHAnsi"/>
          <w:szCs w:val="18"/>
        </w:rPr>
        <w:t xml:space="preserve">v řešeném území </w:t>
      </w:r>
      <w:r w:rsidRPr="006070EA">
        <w:rPr>
          <w:rFonts w:asciiTheme="majorHAnsi" w:eastAsiaTheme="minorEastAsia" w:hAnsiTheme="majorHAnsi" w:cstheme="majorHAnsi"/>
          <w:szCs w:val="18"/>
        </w:rPr>
        <w:t xml:space="preserve">jsou územním plánem respektovány. Jejich grafické znázornění je obsahem grafické části Odůvodnění ÚP </w:t>
      </w:r>
      <w:r w:rsidR="00372BD0" w:rsidRPr="006070EA">
        <w:rPr>
          <w:rFonts w:asciiTheme="majorHAnsi" w:eastAsiaTheme="minorEastAsia" w:hAnsiTheme="majorHAnsi" w:cstheme="majorHAnsi"/>
          <w:szCs w:val="18"/>
        </w:rPr>
        <w:t>Kostomlaty nad Labem</w:t>
      </w:r>
      <w:r w:rsidR="00700C54" w:rsidRPr="006070EA">
        <w:rPr>
          <w:rFonts w:asciiTheme="majorHAnsi" w:eastAsiaTheme="minorEastAsia" w:hAnsiTheme="majorHAnsi" w:cstheme="majorHAnsi"/>
          <w:szCs w:val="18"/>
        </w:rPr>
        <w:t xml:space="preserve"> </w:t>
      </w:r>
      <w:r w:rsidRPr="006070EA">
        <w:rPr>
          <w:rFonts w:asciiTheme="majorHAnsi" w:eastAsiaTheme="minorEastAsia" w:hAnsiTheme="majorHAnsi" w:cstheme="majorHAnsi"/>
          <w:szCs w:val="18"/>
        </w:rPr>
        <w:t>(Koordinační výkres).</w:t>
      </w:r>
      <w:r w:rsidR="00372BD0" w:rsidRPr="006070EA">
        <w:rPr>
          <w:rFonts w:asciiTheme="majorHAnsi" w:hAnsiTheme="majorHAnsi" w:cstheme="majorHAnsi"/>
        </w:rPr>
        <w:t xml:space="preserve"> </w:t>
      </w:r>
    </w:p>
    <w:p w14:paraId="7164E124" w14:textId="77777777" w:rsidR="00AB1F4C" w:rsidRPr="006070EA" w:rsidRDefault="00AB1F4C" w:rsidP="009E07E1">
      <w:pPr>
        <w:spacing w:after="60" w:line="240" w:lineRule="auto"/>
        <w:jc w:val="both"/>
        <w:rPr>
          <w:rFonts w:asciiTheme="majorHAnsi" w:eastAsiaTheme="minorEastAsia" w:hAnsiTheme="majorHAnsi" w:cstheme="majorHAnsi"/>
          <w:b/>
          <w:sz w:val="18"/>
          <w:szCs w:val="18"/>
        </w:rPr>
      </w:pPr>
      <w:r w:rsidRPr="006070EA">
        <w:rPr>
          <w:rFonts w:asciiTheme="majorHAnsi" w:hAnsiTheme="majorHAnsi" w:cstheme="majorHAnsi"/>
          <w:b/>
          <w:sz w:val="18"/>
          <w:szCs w:val="18"/>
        </w:rPr>
        <w:t>Odůvodnění koncepce telekomunikací a radiokomunikací</w:t>
      </w:r>
    </w:p>
    <w:p w14:paraId="461E0D27" w14:textId="1157725C" w:rsidR="00AB1F4C" w:rsidRPr="006070EA" w:rsidRDefault="00AB1F4C" w:rsidP="009E07E1">
      <w:pPr>
        <w:spacing w:after="60" w:line="240" w:lineRule="auto"/>
        <w:ind w:firstLine="709"/>
        <w:jc w:val="both"/>
        <w:rPr>
          <w:rFonts w:asciiTheme="majorHAnsi" w:eastAsiaTheme="minorEastAsia" w:hAnsiTheme="majorHAnsi" w:cstheme="majorHAnsi"/>
          <w:sz w:val="18"/>
          <w:szCs w:val="18"/>
        </w:rPr>
      </w:pPr>
      <w:r w:rsidRPr="006070EA">
        <w:rPr>
          <w:rFonts w:asciiTheme="majorHAnsi" w:eastAsiaTheme="minorEastAsia" w:hAnsiTheme="majorHAnsi" w:cstheme="majorHAnsi"/>
          <w:sz w:val="18"/>
          <w:szCs w:val="18"/>
        </w:rPr>
        <w:t>Územní plán umožňuje umísťování telekomunikačních vedení a zařízení v jednotlivých plochách s rozdílným způsobem využití v zastavěném území i v zastavitelných plochách. V nezastavěném území lze veřejnou technickou infrastrukturu umísťovat v souladu s § 18, odst. 5 zákona č. 183/2006 Sb., ve znění pozdějších předpisů.</w:t>
      </w:r>
      <w:r w:rsidR="00D17639" w:rsidRPr="006070EA">
        <w:rPr>
          <w:rFonts w:asciiTheme="majorHAnsi" w:hAnsiTheme="majorHAnsi" w:cstheme="majorHAnsi"/>
        </w:rPr>
        <w:t xml:space="preserve"> </w:t>
      </w:r>
      <w:r w:rsidR="00D17639" w:rsidRPr="006070EA">
        <w:rPr>
          <w:rFonts w:asciiTheme="majorHAnsi" w:eastAsiaTheme="minorEastAsia" w:hAnsiTheme="majorHAnsi" w:cstheme="majorHAnsi"/>
          <w:sz w:val="18"/>
          <w:szCs w:val="18"/>
        </w:rPr>
        <w:t xml:space="preserve">Ve snaze o zajištění vhodných podmínek pro výstavbu je územním plánem stanoveno umisťovat telekomunikační a radiokomunikační vedení přednostně v rámci ploch </w:t>
      </w:r>
      <w:r w:rsidR="0054075C" w:rsidRPr="006070EA">
        <w:rPr>
          <w:rFonts w:asciiTheme="majorHAnsi" w:eastAsiaTheme="minorEastAsia" w:hAnsiTheme="majorHAnsi" w:cstheme="majorHAnsi"/>
          <w:sz w:val="18"/>
          <w:szCs w:val="18"/>
        </w:rPr>
        <w:t>dopravy</w:t>
      </w:r>
      <w:r w:rsidR="00D17639" w:rsidRPr="006070EA">
        <w:rPr>
          <w:rFonts w:asciiTheme="majorHAnsi" w:eastAsiaTheme="minorEastAsia" w:hAnsiTheme="majorHAnsi" w:cstheme="majorHAnsi"/>
          <w:sz w:val="18"/>
          <w:szCs w:val="18"/>
        </w:rPr>
        <w:t xml:space="preserve"> silniční (DS) nebo veřejných prostranství</w:t>
      </w:r>
      <w:r w:rsidR="0054075C" w:rsidRPr="006070EA">
        <w:rPr>
          <w:rFonts w:asciiTheme="majorHAnsi" w:eastAsiaTheme="minorEastAsia" w:hAnsiTheme="majorHAnsi" w:cstheme="majorHAnsi"/>
          <w:sz w:val="18"/>
          <w:szCs w:val="18"/>
        </w:rPr>
        <w:t xml:space="preserve"> všeobecných</w:t>
      </w:r>
      <w:r w:rsidR="00D17639" w:rsidRPr="006070EA">
        <w:rPr>
          <w:rFonts w:asciiTheme="majorHAnsi" w:eastAsiaTheme="minorEastAsia" w:hAnsiTheme="majorHAnsi" w:cstheme="majorHAnsi"/>
          <w:sz w:val="18"/>
          <w:szCs w:val="18"/>
        </w:rPr>
        <w:t xml:space="preserve"> (P</w:t>
      </w:r>
      <w:r w:rsidR="0054075C" w:rsidRPr="006070EA">
        <w:rPr>
          <w:rFonts w:asciiTheme="majorHAnsi" w:eastAsiaTheme="minorEastAsia" w:hAnsiTheme="majorHAnsi" w:cstheme="majorHAnsi"/>
          <w:sz w:val="18"/>
          <w:szCs w:val="18"/>
        </w:rPr>
        <w:t>U</w:t>
      </w:r>
      <w:r w:rsidR="00D17639" w:rsidRPr="006070EA">
        <w:rPr>
          <w:rFonts w:asciiTheme="majorHAnsi" w:eastAsiaTheme="minorEastAsia" w:hAnsiTheme="majorHAnsi" w:cstheme="majorHAnsi"/>
          <w:sz w:val="18"/>
          <w:szCs w:val="18"/>
        </w:rPr>
        <w:t>).</w:t>
      </w:r>
    </w:p>
    <w:p w14:paraId="09EB5A60" w14:textId="77777777" w:rsidR="00D147D3" w:rsidRPr="006070EA" w:rsidRDefault="00D147D3" w:rsidP="009E07E1">
      <w:pPr>
        <w:spacing w:after="60" w:line="240" w:lineRule="auto"/>
        <w:ind w:firstLine="709"/>
        <w:jc w:val="both"/>
        <w:rPr>
          <w:rFonts w:asciiTheme="majorHAnsi" w:eastAsiaTheme="minorEastAsia" w:hAnsiTheme="majorHAnsi" w:cstheme="majorHAnsi"/>
          <w:bCs/>
          <w:iCs/>
          <w:sz w:val="18"/>
          <w:szCs w:val="18"/>
        </w:rPr>
      </w:pPr>
      <w:r w:rsidRPr="006070EA">
        <w:rPr>
          <w:rFonts w:asciiTheme="majorHAnsi" w:eastAsiaTheme="minorEastAsia" w:hAnsiTheme="majorHAnsi" w:cstheme="majorHAnsi"/>
          <w:bCs/>
          <w:iCs/>
          <w:sz w:val="18"/>
          <w:szCs w:val="18"/>
        </w:rPr>
        <w:t xml:space="preserve">Výše uvedené trasy, vedení a zařízení jsou územním plánem respektovány. Připojení nové výstavby bude řešeno v rámci stávající sítě, resp. samostatnými stavbami v případě většího rozsahu výstavby. Vymezení nových tras pro napojení v rámci zastavitelných ploch bude s ohledem na měřítko ÚP řešeno v navazujících podrobnějších dokumentacích. Realizace telekomunikačních a radiokomunikačních tras je umožněna ve všech plochách s rozdílným způsobem využití. </w:t>
      </w:r>
    </w:p>
    <w:p w14:paraId="24F6DA1C" w14:textId="77777777" w:rsidR="00D147D3" w:rsidRPr="006070EA" w:rsidRDefault="00D147D3" w:rsidP="009E07E1">
      <w:pPr>
        <w:spacing w:after="60" w:line="240" w:lineRule="auto"/>
        <w:ind w:firstLine="709"/>
        <w:jc w:val="both"/>
        <w:rPr>
          <w:rFonts w:asciiTheme="majorHAnsi" w:eastAsiaTheme="minorEastAsia" w:hAnsiTheme="majorHAnsi" w:cstheme="majorHAnsi"/>
          <w:bCs/>
          <w:iCs/>
          <w:sz w:val="18"/>
          <w:szCs w:val="18"/>
        </w:rPr>
      </w:pPr>
      <w:r w:rsidRPr="006070EA">
        <w:rPr>
          <w:rFonts w:asciiTheme="majorHAnsi" w:eastAsiaTheme="minorEastAsia" w:hAnsiTheme="majorHAnsi" w:cstheme="majorHAnsi"/>
          <w:bCs/>
          <w:iCs/>
          <w:sz w:val="18"/>
          <w:szCs w:val="18"/>
        </w:rPr>
        <w:t>S ohledem na plošnou telekomunikační síť je při stavebních aktivitách a zemních pracích nutné vyjádření k</w:t>
      </w:r>
      <w:r w:rsidR="00501F6A" w:rsidRPr="006070EA">
        <w:rPr>
          <w:rFonts w:asciiTheme="majorHAnsi" w:eastAsiaTheme="minorEastAsia" w:hAnsiTheme="majorHAnsi" w:cstheme="majorHAnsi"/>
          <w:bCs/>
          <w:iCs/>
          <w:sz w:val="18"/>
          <w:szCs w:val="18"/>
        </w:rPr>
        <w:t> </w:t>
      </w:r>
      <w:r w:rsidRPr="006070EA">
        <w:rPr>
          <w:rFonts w:asciiTheme="majorHAnsi" w:eastAsiaTheme="minorEastAsia" w:hAnsiTheme="majorHAnsi" w:cstheme="majorHAnsi"/>
          <w:bCs/>
          <w:iCs/>
          <w:sz w:val="18"/>
          <w:szCs w:val="18"/>
        </w:rPr>
        <w:t>existenci telekomunikačních kabelů a zařízení v dotčeném území. Při navrhování tras inženýrských sítí bude respektována norma ČSN</w:t>
      </w:r>
      <w:r w:rsidR="00700C54" w:rsidRPr="006070EA">
        <w:rPr>
          <w:rFonts w:asciiTheme="majorHAnsi" w:eastAsiaTheme="minorEastAsia" w:hAnsiTheme="majorHAnsi" w:cstheme="majorHAnsi"/>
          <w:bCs/>
          <w:iCs/>
          <w:sz w:val="18"/>
          <w:szCs w:val="18"/>
        </w:rPr>
        <w:t> </w:t>
      </w:r>
      <w:r w:rsidRPr="006070EA">
        <w:rPr>
          <w:rFonts w:asciiTheme="majorHAnsi" w:eastAsiaTheme="minorEastAsia" w:hAnsiTheme="majorHAnsi" w:cstheme="majorHAnsi"/>
          <w:bCs/>
          <w:iCs/>
          <w:sz w:val="18"/>
          <w:szCs w:val="18"/>
        </w:rPr>
        <w:t>736005 “Prostorové uspořádání sítí technického vybavení“.</w:t>
      </w:r>
    </w:p>
    <w:p w14:paraId="2D1A37B8" w14:textId="77777777" w:rsidR="00AB1F4C" w:rsidRPr="006070EA" w:rsidRDefault="00AB1F4C" w:rsidP="009E07E1">
      <w:pPr>
        <w:spacing w:after="60" w:line="240" w:lineRule="auto"/>
        <w:jc w:val="both"/>
        <w:rPr>
          <w:rFonts w:asciiTheme="majorHAnsi" w:eastAsiaTheme="minorEastAsia" w:hAnsiTheme="majorHAnsi" w:cstheme="majorHAnsi"/>
          <w:b/>
          <w:sz w:val="18"/>
          <w:szCs w:val="18"/>
        </w:rPr>
      </w:pPr>
      <w:r w:rsidRPr="006070EA">
        <w:rPr>
          <w:rFonts w:asciiTheme="majorHAnsi" w:hAnsiTheme="majorHAnsi" w:cstheme="majorHAnsi"/>
          <w:b/>
          <w:sz w:val="18"/>
          <w:szCs w:val="18"/>
        </w:rPr>
        <w:t xml:space="preserve">Ochranná pásma </w:t>
      </w:r>
    </w:p>
    <w:p w14:paraId="61D855A0" w14:textId="77777777" w:rsidR="00AB1F4C" w:rsidRPr="006070EA" w:rsidRDefault="00AB1F4C" w:rsidP="009E07E1">
      <w:pPr>
        <w:spacing w:after="60" w:line="240" w:lineRule="auto"/>
        <w:jc w:val="both"/>
        <w:rPr>
          <w:rFonts w:asciiTheme="majorHAnsi" w:eastAsiaTheme="minorEastAsia" w:hAnsiTheme="majorHAnsi" w:cstheme="majorHAnsi"/>
          <w:sz w:val="18"/>
          <w:szCs w:val="18"/>
        </w:rPr>
      </w:pPr>
      <w:r w:rsidRPr="006070EA">
        <w:rPr>
          <w:rFonts w:asciiTheme="majorHAnsi" w:eastAsiaTheme="minorEastAsia" w:hAnsiTheme="majorHAnsi" w:cstheme="majorHAnsi"/>
          <w:sz w:val="18"/>
          <w:szCs w:val="18"/>
        </w:rPr>
        <w:t xml:space="preserve">Ochranné pásmo podzemního kabelového vedení činí 1,5 m na každou stranu od krajního vodiče. </w:t>
      </w:r>
    </w:p>
    <w:p w14:paraId="4359B56A" w14:textId="77777777" w:rsidR="00AB1F4C" w:rsidRPr="006070EA" w:rsidRDefault="00AB1F4C" w:rsidP="009E07E1">
      <w:pPr>
        <w:spacing w:after="60" w:line="240" w:lineRule="auto"/>
        <w:ind w:firstLine="709"/>
        <w:jc w:val="both"/>
        <w:rPr>
          <w:rFonts w:asciiTheme="majorHAnsi" w:eastAsiaTheme="minorEastAsia" w:hAnsiTheme="majorHAnsi" w:cstheme="majorHAnsi"/>
          <w:sz w:val="18"/>
          <w:szCs w:val="18"/>
        </w:rPr>
      </w:pPr>
      <w:r w:rsidRPr="006070EA">
        <w:rPr>
          <w:rFonts w:asciiTheme="majorHAnsi" w:eastAsiaTheme="minorEastAsia" w:hAnsiTheme="majorHAnsi" w:cstheme="majorHAnsi"/>
          <w:sz w:val="18"/>
          <w:szCs w:val="18"/>
        </w:rPr>
        <w:t>V OP podzemních telekomunikačních vedení je zakázáno:</w:t>
      </w:r>
    </w:p>
    <w:p w14:paraId="639178A0" w14:textId="77777777" w:rsidR="00AB1F4C" w:rsidRPr="006070EA" w:rsidRDefault="00AB1F4C" w:rsidP="00EF7B4B">
      <w:pPr>
        <w:pStyle w:val="Odstavecseseznamem"/>
        <w:numPr>
          <w:ilvl w:val="0"/>
          <w:numId w:val="9"/>
        </w:numPr>
        <w:spacing w:after="0" w:line="240" w:lineRule="auto"/>
        <w:ind w:left="851" w:hanging="142"/>
        <w:contextualSpacing w:val="0"/>
        <w:jc w:val="both"/>
        <w:rPr>
          <w:rFonts w:asciiTheme="majorHAnsi" w:eastAsiaTheme="minorEastAsia" w:hAnsiTheme="majorHAnsi" w:cstheme="majorHAnsi"/>
          <w:sz w:val="18"/>
          <w:szCs w:val="18"/>
        </w:rPr>
      </w:pPr>
      <w:r w:rsidRPr="006070EA">
        <w:rPr>
          <w:rFonts w:asciiTheme="majorHAnsi" w:eastAsiaTheme="minorEastAsia" w:hAnsiTheme="majorHAnsi" w:cstheme="majorHAnsi"/>
          <w:sz w:val="18"/>
          <w:szCs w:val="18"/>
        </w:rPr>
        <w:t>provádět bez souhlasu jejich vlastníka zemní práce;</w:t>
      </w:r>
    </w:p>
    <w:p w14:paraId="5ECD7926" w14:textId="77777777" w:rsidR="00AB1F4C" w:rsidRPr="006070EA" w:rsidRDefault="00AB1F4C" w:rsidP="0036779E">
      <w:pPr>
        <w:pStyle w:val="Odstavecseseznamem"/>
        <w:numPr>
          <w:ilvl w:val="0"/>
          <w:numId w:val="9"/>
        </w:numPr>
        <w:spacing w:after="120" w:line="240" w:lineRule="auto"/>
        <w:ind w:left="851" w:hanging="142"/>
        <w:contextualSpacing w:val="0"/>
        <w:jc w:val="both"/>
        <w:rPr>
          <w:rFonts w:asciiTheme="majorHAnsi" w:eastAsiaTheme="minorEastAsia" w:hAnsiTheme="majorHAnsi" w:cstheme="majorHAnsi"/>
          <w:sz w:val="18"/>
          <w:szCs w:val="18"/>
        </w:rPr>
      </w:pPr>
      <w:r w:rsidRPr="006070EA">
        <w:rPr>
          <w:rFonts w:asciiTheme="majorHAnsi" w:eastAsiaTheme="minorEastAsia" w:hAnsiTheme="majorHAnsi" w:cstheme="majorHAnsi"/>
          <w:sz w:val="18"/>
          <w:szCs w:val="18"/>
        </w:rPr>
        <w:lastRenderedPageBreak/>
        <w:t>zřizovat stavby či umisťovat konstrukce nebo jiná podobná zařízení a provádět činnosti, které by znemožňovaly nebo podstatně znesnadňovaly přístup k podzemnímu telekomunikačnímu vedení.</w:t>
      </w:r>
    </w:p>
    <w:p w14:paraId="0BAD9DA5" w14:textId="77777777" w:rsidR="00AB1F4C" w:rsidRPr="006070EA" w:rsidRDefault="00501F6A" w:rsidP="009E07E1">
      <w:pPr>
        <w:keepNext/>
        <w:shd w:val="clear" w:color="auto" w:fill="F2F2F2" w:themeFill="background1" w:themeFillShade="F2"/>
        <w:spacing w:before="120" w:after="120" w:line="240" w:lineRule="auto"/>
        <w:rPr>
          <w:rFonts w:asciiTheme="majorHAnsi" w:hAnsiTheme="majorHAnsi" w:cstheme="majorHAnsi"/>
          <w:b/>
          <w:sz w:val="20"/>
        </w:rPr>
      </w:pPr>
      <w:r w:rsidRPr="006070EA">
        <w:rPr>
          <w:rFonts w:asciiTheme="majorHAnsi" w:hAnsiTheme="majorHAnsi" w:cstheme="majorHAnsi"/>
          <w:b/>
          <w:sz w:val="20"/>
        </w:rPr>
        <w:t>Nakládání s odpady</w:t>
      </w:r>
    </w:p>
    <w:p w14:paraId="1E857991" w14:textId="7F942094" w:rsidR="00D147D3" w:rsidRPr="006070EA" w:rsidRDefault="00D147D3" w:rsidP="009E07E1">
      <w:pPr>
        <w:pStyle w:val="Atext"/>
        <w:keepNext/>
        <w:ind w:firstLine="0"/>
        <w:jc w:val="right"/>
        <w:rPr>
          <w:rFonts w:asciiTheme="majorHAnsi" w:hAnsiTheme="majorHAnsi" w:cstheme="majorHAnsi"/>
          <w:i/>
          <w:snapToGrid w:val="0"/>
          <w:szCs w:val="18"/>
          <w:u w:val="single"/>
        </w:rPr>
      </w:pPr>
      <w:r w:rsidRPr="006070EA">
        <w:rPr>
          <w:rFonts w:asciiTheme="majorHAnsi" w:hAnsiTheme="majorHAnsi" w:cstheme="majorHAnsi"/>
          <w:i/>
          <w:snapToGrid w:val="0"/>
          <w:szCs w:val="18"/>
          <w:u w:val="single"/>
        </w:rPr>
        <w:t xml:space="preserve">Odůvodnění odst. </w:t>
      </w:r>
      <w:r w:rsidRPr="006070EA">
        <w:rPr>
          <w:rFonts w:asciiTheme="majorHAnsi" w:hAnsiTheme="majorHAnsi" w:cstheme="majorHAnsi"/>
          <w:b/>
          <w:i/>
          <w:snapToGrid w:val="0"/>
          <w:szCs w:val="18"/>
          <w:u w:val="single"/>
        </w:rPr>
        <w:t>(</w:t>
      </w:r>
      <w:r w:rsidR="00CE40D1" w:rsidRPr="006070EA">
        <w:rPr>
          <w:rFonts w:asciiTheme="majorHAnsi" w:hAnsiTheme="majorHAnsi" w:cstheme="majorHAnsi"/>
          <w:b/>
          <w:i/>
          <w:snapToGrid w:val="0"/>
          <w:szCs w:val="18"/>
          <w:u w:val="single"/>
        </w:rPr>
        <w:t>4</w:t>
      </w:r>
      <w:r w:rsidR="0021590A">
        <w:rPr>
          <w:rFonts w:asciiTheme="majorHAnsi" w:hAnsiTheme="majorHAnsi" w:cstheme="majorHAnsi"/>
          <w:b/>
          <w:i/>
          <w:snapToGrid w:val="0"/>
          <w:szCs w:val="18"/>
          <w:u w:val="single"/>
        </w:rPr>
        <w:t>3</w:t>
      </w:r>
      <w:r w:rsidRPr="006070EA">
        <w:rPr>
          <w:rFonts w:asciiTheme="majorHAnsi" w:hAnsiTheme="majorHAnsi" w:cstheme="majorHAnsi"/>
          <w:b/>
          <w:i/>
          <w:snapToGrid w:val="0"/>
          <w:szCs w:val="18"/>
          <w:u w:val="single"/>
        </w:rPr>
        <w:t xml:space="preserve">) </w:t>
      </w:r>
      <w:r w:rsidRPr="006070EA">
        <w:rPr>
          <w:rFonts w:asciiTheme="majorHAnsi" w:hAnsiTheme="majorHAnsi" w:cstheme="majorHAnsi"/>
          <w:i/>
          <w:snapToGrid w:val="0"/>
          <w:szCs w:val="18"/>
          <w:u w:val="single"/>
        </w:rPr>
        <w:t>výrokové části</w:t>
      </w:r>
    </w:p>
    <w:p w14:paraId="0195731E" w14:textId="77777777" w:rsidR="00D147D3" w:rsidRPr="006070EA" w:rsidRDefault="00D147D3" w:rsidP="009E07E1">
      <w:pPr>
        <w:keepNext/>
        <w:spacing w:before="120" w:after="120" w:line="240" w:lineRule="auto"/>
        <w:jc w:val="both"/>
        <w:rPr>
          <w:rFonts w:asciiTheme="majorHAnsi" w:eastAsiaTheme="minorEastAsia" w:hAnsiTheme="majorHAnsi" w:cstheme="majorHAnsi"/>
          <w:b/>
          <w:sz w:val="18"/>
          <w:szCs w:val="18"/>
        </w:rPr>
      </w:pPr>
      <w:r w:rsidRPr="006070EA">
        <w:rPr>
          <w:rFonts w:asciiTheme="majorHAnsi" w:eastAsiaTheme="minorEastAsia" w:hAnsiTheme="majorHAnsi" w:cstheme="majorHAnsi"/>
          <w:b/>
          <w:sz w:val="18"/>
          <w:szCs w:val="18"/>
        </w:rPr>
        <w:t>Popis stávající situace a návrh</w:t>
      </w:r>
    </w:p>
    <w:p w14:paraId="5D6DE54B" w14:textId="0C4F765D" w:rsidR="00AB1F4C" w:rsidRPr="006070EA" w:rsidRDefault="00C25162" w:rsidP="009E07E1">
      <w:pPr>
        <w:spacing w:after="60" w:line="240" w:lineRule="auto"/>
        <w:ind w:firstLine="709"/>
        <w:jc w:val="both"/>
        <w:rPr>
          <w:rFonts w:asciiTheme="majorHAnsi" w:eastAsiaTheme="minorEastAsia" w:hAnsiTheme="majorHAnsi" w:cstheme="majorHAnsi"/>
          <w:sz w:val="18"/>
          <w:szCs w:val="18"/>
        </w:rPr>
      </w:pPr>
      <w:r w:rsidRPr="006070EA">
        <w:rPr>
          <w:rFonts w:asciiTheme="majorHAnsi" w:eastAsiaTheme="minorEastAsia" w:hAnsiTheme="majorHAnsi" w:cstheme="majorHAnsi"/>
          <w:sz w:val="18"/>
          <w:szCs w:val="18"/>
        </w:rPr>
        <w:t xml:space="preserve">Nakládání s odpady vychází ze závazné části Plánu odpadového hospodářství Středočeského kraje pro období </w:t>
      </w:r>
      <w:proofErr w:type="gramStart"/>
      <w:r w:rsidRPr="006070EA">
        <w:rPr>
          <w:rFonts w:asciiTheme="majorHAnsi" w:eastAsiaTheme="minorEastAsia" w:hAnsiTheme="majorHAnsi" w:cstheme="majorHAnsi"/>
          <w:sz w:val="18"/>
          <w:szCs w:val="18"/>
        </w:rPr>
        <w:t>2016 – 2025</w:t>
      </w:r>
      <w:proofErr w:type="gramEnd"/>
      <w:r w:rsidRPr="006070EA">
        <w:rPr>
          <w:rFonts w:asciiTheme="majorHAnsi" w:eastAsiaTheme="minorEastAsia" w:hAnsiTheme="majorHAnsi" w:cstheme="majorHAnsi"/>
          <w:sz w:val="18"/>
          <w:szCs w:val="18"/>
        </w:rPr>
        <w:t>.</w:t>
      </w:r>
      <w:r w:rsidR="00AB1F4C" w:rsidRPr="006070EA">
        <w:rPr>
          <w:rFonts w:asciiTheme="majorHAnsi" w:eastAsiaTheme="minorEastAsia" w:hAnsiTheme="majorHAnsi" w:cstheme="majorHAnsi"/>
          <w:sz w:val="18"/>
          <w:szCs w:val="18"/>
        </w:rPr>
        <w:t xml:space="preserve"> Při nakládání s odpady je nutné respektovat zákon č. 185/2001 Sb., o odpadech a</w:t>
      </w:r>
      <w:r w:rsidR="008F1A6C" w:rsidRPr="006070EA">
        <w:rPr>
          <w:rFonts w:asciiTheme="majorHAnsi" w:eastAsiaTheme="minorEastAsia" w:hAnsiTheme="majorHAnsi" w:cstheme="majorHAnsi"/>
          <w:sz w:val="18"/>
          <w:szCs w:val="18"/>
        </w:rPr>
        <w:t> </w:t>
      </w:r>
      <w:r w:rsidR="00AB1F4C" w:rsidRPr="006070EA">
        <w:rPr>
          <w:rFonts w:asciiTheme="majorHAnsi" w:eastAsiaTheme="minorEastAsia" w:hAnsiTheme="majorHAnsi" w:cstheme="majorHAnsi"/>
          <w:sz w:val="18"/>
          <w:szCs w:val="18"/>
        </w:rPr>
        <w:t>o</w:t>
      </w:r>
      <w:r w:rsidR="008F1A6C" w:rsidRPr="006070EA">
        <w:rPr>
          <w:rFonts w:asciiTheme="majorHAnsi" w:eastAsiaTheme="minorEastAsia" w:hAnsiTheme="majorHAnsi" w:cstheme="majorHAnsi"/>
          <w:sz w:val="18"/>
          <w:szCs w:val="18"/>
        </w:rPr>
        <w:t> </w:t>
      </w:r>
      <w:r w:rsidR="00AB1F4C" w:rsidRPr="006070EA">
        <w:rPr>
          <w:rFonts w:asciiTheme="majorHAnsi" w:eastAsiaTheme="minorEastAsia" w:hAnsiTheme="majorHAnsi" w:cstheme="majorHAnsi"/>
          <w:sz w:val="18"/>
          <w:szCs w:val="18"/>
        </w:rPr>
        <w:t>změně některých dalších zákonů, ve znění pozdějších předpisů (dále také jen „zákon o odpadech“), a zákon č. 201/2012 Sb., o ochraně ovzduší a</w:t>
      </w:r>
      <w:r w:rsidR="0049212C" w:rsidRPr="006070EA">
        <w:rPr>
          <w:rFonts w:asciiTheme="majorHAnsi" w:eastAsiaTheme="minorEastAsia" w:hAnsiTheme="majorHAnsi" w:cstheme="majorHAnsi"/>
          <w:sz w:val="18"/>
          <w:szCs w:val="18"/>
        </w:rPr>
        <w:t> </w:t>
      </w:r>
      <w:r w:rsidR="00AB1F4C" w:rsidRPr="006070EA">
        <w:rPr>
          <w:rFonts w:asciiTheme="majorHAnsi" w:eastAsiaTheme="minorEastAsia" w:hAnsiTheme="majorHAnsi" w:cstheme="majorHAnsi"/>
          <w:sz w:val="18"/>
          <w:szCs w:val="18"/>
        </w:rPr>
        <w:t>o</w:t>
      </w:r>
      <w:r w:rsidR="0049212C" w:rsidRPr="006070EA">
        <w:rPr>
          <w:rFonts w:asciiTheme="majorHAnsi" w:eastAsiaTheme="minorEastAsia" w:hAnsiTheme="majorHAnsi" w:cstheme="majorHAnsi"/>
          <w:sz w:val="18"/>
          <w:szCs w:val="18"/>
        </w:rPr>
        <w:t> </w:t>
      </w:r>
      <w:r w:rsidR="00AB1F4C" w:rsidRPr="006070EA">
        <w:rPr>
          <w:rFonts w:asciiTheme="majorHAnsi" w:eastAsiaTheme="minorEastAsia" w:hAnsiTheme="majorHAnsi" w:cstheme="majorHAnsi"/>
          <w:sz w:val="18"/>
          <w:szCs w:val="18"/>
        </w:rPr>
        <w:t>změně některých dalších zákonů, ve znění pozdějších předpisů (dále také jen „zákon o ochraně ovzduší).</w:t>
      </w:r>
    </w:p>
    <w:p w14:paraId="357796BF" w14:textId="77777777" w:rsidR="009E5E88" w:rsidRPr="006070EA" w:rsidRDefault="009E5E88" w:rsidP="009E5E88">
      <w:pPr>
        <w:pStyle w:val="Atext"/>
        <w:rPr>
          <w:rFonts w:asciiTheme="majorHAnsi" w:hAnsiTheme="majorHAnsi" w:cstheme="majorHAnsi"/>
          <w:szCs w:val="18"/>
        </w:rPr>
      </w:pPr>
      <w:r w:rsidRPr="006070EA">
        <w:rPr>
          <w:rFonts w:asciiTheme="majorHAnsi" w:hAnsiTheme="majorHAnsi" w:cstheme="majorHAnsi"/>
          <w:szCs w:val="18"/>
        </w:rPr>
        <w:t>Dále je nakládání s odpady řízeno dle Obecně závazné vyhlášky obce Kostomlaty nad Labem č. 1/2016, o stanovení systému shromažďování, sběru, přepravy, třídění, využívání a odstraňování komunálních odpadů a nakládání se stavebním odpadem na území obce Kostomlaty nad Labem, která nabyla účinnosti dne 1. 1. 2017.</w:t>
      </w:r>
    </w:p>
    <w:p w14:paraId="47DEDC07" w14:textId="7CBA45AC" w:rsidR="009E5E88" w:rsidRPr="006070EA" w:rsidRDefault="009E5E88" w:rsidP="009E5E88">
      <w:pPr>
        <w:pStyle w:val="Anadpispodtren"/>
        <w:rPr>
          <w:rFonts w:asciiTheme="majorHAnsi" w:hAnsiTheme="majorHAnsi" w:cstheme="majorHAnsi"/>
          <w:szCs w:val="18"/>
        </w:rPr>
      </w:pPr>
      <w:r w:rsidRPr="006070EA">
        <w:rPr>
          <w:rFonts w:asciiTheme="majorHAnsi" w:hAnsiTheme="majorHAnsi" w:cstheme="majorHAnsi"/>
          <w:szCs w:val="18"/>
        </w:rPr>
        <w:t>Směsný komunální odpad</w:t>
      </w:r>
      <w:r w:rsidR="00C25162" w:rsidRPr="006070EA">
        <w:rPr>
          <w:rFonts w:asciiTheme="majorHAnsi" w:hAnsiTheme="majorHAnsi" w:cstheme="majorHAnsi"/>
          <w:szCs w:val="18"/>
        </w:rPr>
        <w:t xml:space="preserve"> (SKO)</w:t>
      </w:r>
    </w:p>
    <w:p w14:paraId="4BABCCB0" w14:textId="77777777" w:rsidR="009E5E88" w:rsidRPr="006070EA" w:rsidRDefault="009E5E88" w:rsidP="009E5E88">
      <w:pPr>
        <w:pStyle w:val="Atext"/>
        <w:rPr>
          <w:rFonts w:asciiTheme="majorHAnsi" w:hAnsiTheme="majorHAnsi" w:cstheme="majorHAnsi"/>
          <w:szCs w:val="18"/>
        </w:rPr>
      </w:pPr>
      <w:r w:rsidRPr="006070EA">
        <w:rPr>
          <w:rFonts w:asciiTheme="majorHAnsi" w:hAnsiTheme="majorHAnsi" w:cstheme="majorHAnsi"/>
          <w:szCs w:val="18"/>
        </w:rPr>
        <w:t xml:space="preserve">Směsný komunální odpad se shromažďuje do sběrných nádob (typizované sběrné nádoby, kontejnery, odpadkové koše na veřejných prostranstvích města a další) a odváží mimo řešené území. </w:t>
      </w:r>
    </w:p>
    <w:p w14:paraId="18D8551B" w14:textId="77777777" w:rsidR="009E5E88" w:rsidRPr="006070EA" w:rsidRDefault="009E5E88" w:rsidP="009E5E88">
      <w:pPr>
        <w:pStyle w:val="Anadpispodtren"/>
        <w:rPr>
          <w:rFonts w:asciiTheme="majorHAnsi" w:hAnsiTheme="majorHAnsi" w:cstheme="majorHAnsi"/>
          <w:color w:val="000000"/>
          <w:szCs w:val="18"/>
        </w:rPr>
      </w:pPr>
      <w:r w:rsidRPr="006070EA">
        <w:rPr>
          <w:rFonts w:asciiTheme="majorHAnsi" w:hAnsiTheme="majorHAnsi" w:cstheme="majorHAnsi"/>
          <w:color w:val="000000"/>
          <w:szCs w:val="18"/>
        </w:rPr>
        <w:t>Tříděný komunální odpad</w:t>
      </w:r>
    </w:p>
    <w:p w14:paraId="3E45A621" w14:textId="4F518AF4" w:rsidR="009E5E88" w:rsidRPr="006070EA" w:rsidRDefault="009E5E88" w:rsidP="009E5E88">
      <w:pPr>
        <w:pStyle w:val="Atext"/>
        <w:rPr>
          <w:rFonts w:asciiTheme="majorHAnsi" w:hAnsiTheme="majorHAnsi" w:cstheme="majorHAnsi"/>
          <w:color w:val="000000"/>
          <w:szCs w:val="18"/>
        </w:rPr>
      </w:pPr>
      <w:r w:rsidRPr="006070EA">
        <w:rPr>
          <w:rFonts w:asciiTheme="majorHAnsi" w:hAnsiTheme="majorHAnsi" w:cstheme="majorHAnsi"/>
          <w:color w:val="000000"/>
          <w:szCs w:val="18"/>
        </w:rPr>
        <w:t xml:space="preserve">Tříděný (separovaný) odpad je v řešeném území shromažďován </w:t>
      </w:r>
      <w:r w:rsidR="00C25162" w:rsidRPr="006070EA">
        <w:rPr>
          <w:rFonts w:asciiTheme="majorHAnsi" w:hAnsiTheme="majorHAnsi" w:cstheme="majorHAnsi"/>
          <w:color w:val="000000"/>
          <w:szCs w:val="18"/>
        </w:rPr>
        <w:t xml:space="preserve">v rámci učených veřejných prostranství </w:t>
      </w:r>
      <w:r w:rsidRPr="006070EA">
        <w:rPr>
          <w:rFonts w:asciiTheme="majorHAnsi" w:hAnsiTheme="majorHAnsi" w:cstheme="majorHAnsi"/>
          <w:color w:val="000000"/>
          <w:szCs w:val="18"/>
        </w:rPr>
        <w:t>do zvláštních sběrných nádob</w:t>
      </w:r>
      <w:r w:rsidR="00C25162" w:rsidRPr="006070EA">
        <w:rPr>
          <w:rFonts w:asciiTheme="majorHAnsi" w:hAnsiTheme="majorHAnsi" w:cstheme="majorHAnsi"/>
          <w:color w:val="000000"/>
          <w:szCs w:val="18"/>
        </w:rPr>
        <w:t>)</w:t>
      </w:r>
      <w:r w:rsidRPr="006070EA">
        <w:rPr>
          <w:rFonts w:asciiTheme="majorHAnsi" w:hAnsiTheme="majorHAnsi" w:cstheme="majorHAnsi"/>
          <w:color w:val="000000"/>
          <w:szCs w:val="18"/>
        </w:rPr>
        <w:t xml:space="preserve">. </w:t>
      </w:r>
    </w:p>
    <w:p w14:paraId="1103181B" w14:textId="77777777" w:rsidR="009E5E88" w:rsidRPr="006070EA" w:rsidRDefault="009E5E88" w:rsidP="009E5E88">
      <w:pPr>
        <w:pStyle w:val="Atext"/>
        <w:rPr>
          <w:rFonts w:asciiTheme="majorHAnsi" w:hAnsiTheme="majorHAnsi" w:cstheme="majorHAnsi"/>
          <w:color w:val="000000"/>
          <w:szCs w:val="18"/>
        </w:rPr>
      </w:pPr>
      <w:r w:rsidRPr="006070EA">
        <w:rPr>
          <w:rFonts w:asciiTheme="majorHAnsi" w:hAnsiTheme="majorHAnsi" w:cstheme="majorHAnsi"/>
          <w:color w:val="000000"/>
          <w:szCs w:val="18"/>
        </w:rPr>
        <w:t>Obec je zapojena do zpětného odběru elektrozařízení a drobného elektroodpadu, které se ukládají do kontejnerů, v </w:t>
      </w:r>
      <w:proofErr w:type="gramStart"/>
      <w:r w:rsidRPr="006070EA">
        <w:rPr>
          <w:rFonts w:asciiTheme="majorHAnsi" w:hAnsiTheme="majorHAnsi" w:cstheme="majorHAnsi"/>
          <w:color w:val="000000"/>
          <w:szCs w:val="18"/>
        </w:rPr>
        <w:t>rámci</w:t>
      </w:r>
      <w:proofErr w:type="gramEnd"/>
      <w:r w:rsidRPr="006070EA">
        <w:rPr>
          <w:rFonts w:asciiTheme="majorHAnsi" w:hAnsiTheme="majorHAnsi" w:cstheme="majorHAnsi"/>
          <w:color w:val="000000"/>
          <w:szCs w:val="18"/>
        </w:rPr>
        <w:t xml:space="preserve"> kterých je možno odložit odpad do příslušných sběrných nádob.</w:t>
      </w:r>
    </w:p>
    <w:p w14:paraId="3EC08EAA" w14:textId="77777777" w:rsidR="009E5E88" w:rsidRPr="006070EA" w:rsidRDefault="009E5E88" w:rsidP="009E5E88">
      <w:pPr>
        <w:pStyle w:val="Atext"/>
        <w:rPr>
          <w:rFonts w:asciiTheme="majorHAnsi" w:hAnsiTheme="majorHAnsi" w:cstheme="majorHAnsi"/>
          <w:color w:val="000000"/>
          <w:szCs w:val="18"/>
        </w:rPr>
      </w:pPr>
      <w:r w:rsidRPr="006070EA">
        <w:rPr>
          <w:rFonts w:asciiTheme="majorHAnsi" w:hAnsiTheme="majorHAnsi" w:cstheme="majorHAnsi"/>
          <w:color w:val="000000"/>
          <w:szCs w:val="18"/>
        </w:rPr>
        <w:t>Tříděný odpad lze také odevzdávat ve sběrném místě, které je umístěno v Kostomlatech nad Labem v ul. Hradišťská a v Hroněticích.</w:t>
      </w:r>
    </w:p>
    <w:p w14:paraId="7C2DD4D7" w14:textId="77777777" w:rsidR="009E5E88" w:rsidRPr="006070EA" w:rsidRDefault="009E5E88" w:rsidP="009E5E88">
      <w:pPr>
        <w:pStyle w:val="Anadpispodtren"/>
        <w:rPr>
          <w:rFonts w:asciiTheme="majorHAnsi" w:hAnsiTheme="majorHAnsi" w:cstheme="majorHAnsi"/>
          <w:szCs w:val="18"/>
        </w:rPr>
      </w:pPr>
      <w:r w:rsidRPr="006070EA">
        <w:rPr>
          <w:rFonts w:asciiTheme="majorHAnsi" w:hAnsiTheme="majorHAnsi" w:cstheme="majorHAnsi"/>
          <w:szCs w:val="18"/>
        </w:rPr>
        <w:t>Nebezpečné složky komunálního odpadu</w:t>
      </w:r>
    </w:p>
    <w:p w14:paraId="054B2815" w14:textId="1E81664A" w:rsidR="009E5E88" w:rsidRPr="006070EA" w:rsidRDefault="009E5E88" w:rsidP="009E5E88">
      <w:pPr>
        <w:pStyle w:val="Atext"/>
        <w:rPr>
          <w:rFonts w:asciiTheme="majorHAnsi" w:hAnsiTheme="majorHAnsi" w:cstheme="majorHAnsi"/>
          <w:szCs w:val="18"/>
        </w:rPr>
      </w:pPr>
      <w:r w:rsidRPr="006070EA">
        <w:rPr>
          <w:rFonts w:asciiTheme="majorHAnsi" w:hAnsiTheme="majorHAnsi" w:cstheme="majorHAnsi"/>
          <w:szCs w:val="18"/>
        </w:rPr>
        <w:t>Sběr a svoz nebezpečných složek komunálního odpadu je zajišťován minimálně dvakrát ročně jejich odebíráním na předem vyhlášených přechodných stanovištích přímo do zvláštních sběrných nádob k tomuto sběru určených. Informace o</w:t>
      </w:r>
      <w:r w:rsidR="0054075C" w:rsidRPr="006070EA">
        <w:rPr>
          <w:rFonts w:asciiTheme="majorHAnsi" w:hAnsiTheme="majorHAnsi" w:cstheme="majorHAnsi"/>
          <w:szCs w:val="18"/>
        </w:rPr>
        <w:t> </w:t>
      </w:r>
      <w:r w:rsidRPr="006070EA">
        <w:rPr>
          <w:rFonts w:asciiTheme="majorHAnsi" w:hAnsiTheme="majorHAnsi" w:cstheme="majorHAnsi"/>
          <w:szCs w:val="18"/>
        </w:rPr>
        <w:t>sběru jsou zveřejňovány na informačních deskách v obci Kostomlaty nad Labem, Vápensku, Hroněticích, Lánech, Rozkoši, v místním rozhlase a na webových stránkách obce.</w:t>
      </w:r>
    </w:p>
    <w:p w14:paraId="2F4D575E" w14:textId="77777777" w:rsidR="009E5E88" w:rsidRPr="006070EA" w:rsidRDefault="009E5E88" w:rsidP="009E5E88">
      <w:pPr>
        <w:pStyle w:val="Anadpispodtren"/>
        <w:rPr>
          <w:rFonts w:asciiTheme="majorHAnsi" w:hAnsiTheme="majorHAnsi" w:cstheme="majorHAnsi"/>
          <w:szCs w:val="18"/>
        </w:rPr>
      </w:pPr>
      <w:r w:rsidRPr="006070EA">
        <w:rPr>
          <w:rFonts w:asciiTheme="majorHAnsi" w:hAnsiTheme="majorHAnsi" w:cstheme="majorHAnsi"/>
          <w:szCs w:val="18"/>
        </w:rPr>
        <w:t>Objemný odpad</w:t>
      </w:r>
    </w:p>
    <w:p w14:paraId="451D6B4B" w14:textId="77777777" w:rsidR="009E5E88" w:rsidRPr="006070EA" w:rsidRDefault="009E5E88" w:rsidP="009E5E88">
      <w:pPr>
        <w:pStyle w:val="Atext"/>
        <w:rPr>
          <w:rFonts w:asciiTheme="majorHAnsi" w:hAnsiTheme="majorHAnsi" w:cstheme="majorHAnsi"/>
          <w:szCs w:val="18"/>
        </w:rPr>
      </w:pPr>
      <w:r w:rsidRPr="006070EA">
        <w:rPr>
          <w:rFonts w:asciiTheme="majorHAnsi" w:hAnsiTheme="majorHAnsi" w:cstheme="majorHAnsi"/>
          <w:szCs w:val="18"/>
        </w:rPr>
        <w:t>Sběr a svoz objemného odpadu je zajišťován čtyřikrát ročně jeho odebíráním na předem vyhlášených přechodných stanovištích přímo do zvláštních sběrných nádob k tomuto účelu určených. Informace o sběru jsou zveřejňovány na informačních deskách obecního úřadu, místním rozhlase a na webových stránkách obce.</w:t>
      </w:r>
    </w:p>
    <w:p w14:paraId="14A9F44A" w14:textId="77777777" w:rsidR="009E5E88" w:rsidRPr="006070EA" w:rsidRDefault="009E5E88" w:rsidP="009E5E88">
      <w:pPr>
        <w:pStyle w:val="Atext"/>
        <w:rPr>
          <w:rFonts w:asciiTheme="majorHAnsi" w:hAnsiTheme="majorHAnsi" w:cstheme="majorHAnsi"/>
          <w:szCs w:val="18"/>
        </w:rPr>
      </w:pPr>
      <w:r w:rsidRPr="006070EA">
        <w:rPr>
          <w:rFonts w:asciiTheme="majorHAnsi" w:hAnsiTheme="majorHAnsi" w:cstheme="majorHAnsi"/>
          <w:szCs w:val="18"/>
        </w:rPr>
        <w:t xml:space="preserve">Objemný odpad lze také odevzdávat ve sběrném místě, které je umístěno v Kostomlatech nad Labem ul. Hradišťská a v Hroněticích. </w:t>
      </w:r>
    </w:p>
    <w:p w14:paraId="570D7EC4" w14:textId="77777777" w:rsidR="009E5E88" w:rsidRPr="006070EA" w:rsidRDefault="009E5E88" w:rsidP="009E5E88">
      <w:pPr>
        <w:pStyle w:val="Anadpispodtren"/>
        <w:rPr>
          <w:rFonts w:asciiTheme="majorHAnsi" w:hAnsiTheme="majorHAnsi" w:cstheme="majorHAnsi"/>
          <w:szCs w:val="18"/>
        </w:rPr>
      </w:pPr>
      <w:r w:rsidRPr="006070EA">
        <w:rPr>
          <w:rFonts w:asciiTheme="majorHAnsi" w:hAnsiTheme="majorHAnsi" w:cstheme="majorHAnsi"/>
          <w:szCs w:val="18"/>
        </w:rPr>
        <w:t>Stavební odpad</w:t>
      </w:r>
    </w:p>
    <w:p w14:paraId="09EC4E57" w14:textId="3BC514C6" w:rsidR="009E5E88" w:rsidRPr="006070EA" w:rsidRDefault="009E5E88" w:rsidP="009E5E88">
      <w:pPr>
        <w:spacing w:after="60" w:line="240" w:lineRule="auto"/>
        <w:ind w:firstLine="709"/>
        <w:jc w:val="both"/>
        <w:rPr>
          <w:rFonts w:asciiTheme="majorHAnsi" w:eastAsiaTheme="minorEastAsia" w:hAnsiTheme="majorHAnsi" w:cstheme="majorHAnsi"/>
          <w:sz w:val="18"/>
          <w:szCs w:val="18"/>
        </w:rPr>
      </w:pPr>
      <w:r w:rsidRPr="006070EA">
        <w:rPr>
          <w:rFonts w:asciiTheme="majorHAnsi" w:hAnsiTheme="majorHAnsi" w:cstheme="majorHAnsi"/>
          <w:sz w:val="18"/>
          <w:szCs w:val="18"/>
        </w:rPr>
        <w:t>Pro odložení stavebního odpadu je možné objednat kontejner, který bude přistaven a odvezen za úplatu dle ceníku objednané firmy. Obecní úřad může zprostředkovat kontakt na tuto firmu.</w:t>
      </w:r>
    </w:p>
    <w:p w14:paraId="496A4981" w14:textId="77777777" w:rsidR="00AB1F4C" w:rsidRPr="006070EA" w:rsidRDefault="00AB1F4C" w:rsidP="009E07E1">
      <w:pPr>
        <w:keepNext/>
        <w:spacing w:before="120" w:after="120" w:line="240" w:lineRule="auto"/>
        <w:jc w:val="both"/>
        <w:rPr>
          <w:rFonts w:asciiTheme="majorHAnsi" w:eastAsiaTheme="minorEastAsia" w:hAnsiTheme="majorHAnsi" w:cstheme="majorHAnsi"/>
          <w:b/>
          <w:sz w:val="18"/>
          <w:szCs w:val="18"/>
        </w:rPr>
      </w:pPr>
      <w:r w:rsidRPr="006070EA">
        <w:rPr>
          <w:rFonts w:asciiTheme="majorHAnsi" w:eastAsiaTheme="minorEastAsia" w:hAnsiTheme="majorHAnsi" w:cstheme="majorHAnsi"/>
          <w:b/>
          <w:sz w:val="18"/>
          <w:szCs w:val="18"/>
        </w:rPr>
        <w:t>Odůvodnění koncepce nakládání s odpady</w:t>
      </w:r>
    </w:p>
    <w:p w14:paraId="04DF8A26" w14:textId="24EE412B" w:rsidR="00CE40D1" w:rsidRPr="006070EA" w:rsidRDefault="00CE40D1" w:rsidP="00CE40D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21590A">
        <w:rPr>
          <w:rFonts w:asciiTheme="majorHAnsi" w:hAnsiTheme="majorHAnsi" w:cstheme="majorHAnsi"/>
          <w:b/>
          <w:i/>
          <w:snapToGrid w:val="0"/>
          <w:u w:val="single"/>
        </w:rPr>
        <w:t>44</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4708B42A" w14:textId="5285E7D9" w:rsidR="00C25162" w:rsidRPr="006070EA" w:rsidRDefault="00CE40D1" w:rsidP="00C25162">
      <w:pPr>
        <w:pStyle w:val="Atext"/>
        <w:spacing w:before="60" w:after="60"/>
        <w:rPr>
          <w:rFonts w:asciiTheme="majorHAnsi" w:hAnsiTheme="majorHAnsi" w:cstheme="majorHAnsi"/>
          <w:szCs w:val="18"/>
        </w:rPr>
      </w:pPr>
      <w:r w:rsidRPr="006070EA">
        <w:rPr>
          <w:rFonts w:asciiTheme="majorHAnsi" w:hAnsiTheme="majorHAnsi" w:cstheme="majorHAnsi"/>
          <w:szCs w:val="18"/>
        </w:rPr>
        <w:t>Stávající systém nakládání s odpady je vyhovující, předpokládá se jeho zachování a dílčí rozvoj – realizace sběrného dvora v Hroněticích, viz níže.</w:t>
      </w:r>
      <w:r w:rsidR="00C25162" w:rsidRPr="006070EA">
        <w:rPr>
          <w:rFonts w:asciiTheme="majorHAnsi" w:hAnsiTheme="majorHAnsi" w:cstheme="majorHAnsi"/>
          <w:szCs w:val="18"/>
        </w:rPr>
        <w:t xml:space="preserve"> Územní plán stabilizuje stávající sběrný dvůr v Kostomlatech nad Labem v jako plochu technické infrastruktury </w:t>
      </w:r>
      <w:r w:rsidR="0054075C" w:rsidRPr="006070EA">
        <w:rPr>
          <w:rFonts w:asciiTheme="majorHAnsi" w:hAnsiTheme="majorHAnsi" w:cstheme="majorHAnsi"/>
          <w:szCs w:val="18"/>
        </w:rPr>
        <w:t xml:space="preserve">všeobecné </w:t>
      </w:r>
      <w:r w:rsidR="00C25162" w:rsidRPr="006070EA">
        <w:rPr>
          <w:rFonts w:asciiTheme="majorHAnsi" w:hAnsiTheme="majorHAnsi" w:cstheme="majorHAnsi"/>
          <w:szCs w:val="18"/>
        </w:rPr>
        <w:t>(T</w:t>
      </w:r>
      <w:r w:rsidR="0054075C" w:rsidRPr="006070EA">
        <w:rPr>
          <w:rFonts w:asciiTheme="majorHAnsi" w:hAnsiTheme="majorHAnsi" w:cstheme="majorHAnsi"/>
          <w:szCs w:val="18"/>
        </w:rPr>
        <w:t>U</w:t>
      </w:r>
      <w:r w:rsidR="00C25162" w:rsidRPr="006070EA">
        <w:rPr>
          <w:rFonts w:asciiTheme="majorHAnsi" w:hAnsiTheme="majorHAnsi" w:cstheme="majorHAnsi"/>
          <w:szCs w:val="18"/>
        </w:rPr>
        <w:t xml:space="preserve">). </w:t>
      </w:r>
    </w:p>
    <w:p w14:paraId="0EC37D9E" w14:textId="74BEA8D7" w:rsidR="00CE40D1" w:rsidRPr="006070EA" w:rsidRDefault="00C25162" w:rsidP="00CE40D1">
      <w:pPr>
        <w:pStyle w:val="Atext"/>
        <w:spacing w:before="60" w:after="60"/>
        <w:rPr>
          <w:rFonts w:asciiTheme="majorHAnsi" w:hAnsiTheme="majorHAnsi" w:cstheme="majorHAnsi"/>
          <w:szCs w:val="18"/>
        </w:rPr>
      </w:pPr>
      <w:r w:rsidRPr="006070EA">
        <w:rPr>
          <w:rFonts w:asciiTheme="majorHAnsi" w:hAnsiTheme="majorHAnsi" w:cstheme="majorHAnsi"/>
          <w:szCs w:val="18"/>
        </w:rPr>
        <w:t>V obci nebude založena žádná skládka. Důležité je sledovat všechny producenty průmyslových odpadů a to, zda s nimi nakládají v souladu se zákonem o odpadech.</w:t>
      </w:r>
    </w:p>
    <w:p w14:paraId="1DC8EA5B" w14:textId="77777777" w:rsidR="00CE40D1" w:rsidRPr="006070EA" w:rsidRDefault="00CE40D1" w:rsidP="00CE40D1">
      <w:pPr>
        <w:pStyle w:val="Atext"/>
        <w:spacing w:before="60" w:after="60"/>
        <w:rPr>
          <w:rFonts w:asciiTheme="majorHAnsi" w:hAnsiTheme="majorHAnsi" w:cstheme="majorHAnsi"/>
          <w:szCs w:val="18"/>
        </w:rPr>
      </w:pPr>
      <w:r w:rsidRPr="006070EA">
        <w:rPr>
          <w:rFonts w:asciiTheme="majorHAnsi" w:hAnsiTheme="majorHAnsi" w:cstheme="majorHAnsi"/>
          <w:szCs w:val="18"/>
        </w:rPr>
        <w:t xml:space="preserve">Komunální a separovaný odpad je ukládán do pravidelně vyvážených sběrných nádob, které jsou umístěny v rámci veřejných prostranství na území sídel. Specifické složky odpadu jsou sbírány a odváženy pomocí mobilních kontejnerů. Možnost umístění odpadních nádob je zajištěna zejména v rámci ploch veřejných prostranství, v podrobnosti územního plánu je vymezen dostatek stabilizovaných i navrhovaných ploch veřejných prostranství. </w:t>
      </w:r>
    </w:p>
    <w:p w14:paraId="3FD35B3B" w14:textId="311776A3" w:rsidR="00CE40D1" w:rsidRPr="006070EA" w:rsidRDefault="00CE40D1" w:rsidP="00CE40D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lastRenderedPageBreak/>
        <w:t xml:space="preserve">Odůvodnění odst. </w:t>
      </w:r>
      <w:r w:rsidRPr="006070EA">
        <w:rPr>
          <w:rFonts w:asciiTheme="majorHAnsi" w:hAnsiTheme="majorHAnsi" w:cstheme="majorHAnsi"/>
          <w:b/>
          <w:i/>
          <w:snapToGrid w:val="0"/>
          <w:u w:val="single"/>
        </w:rPr>
        <w:t>(4</w:t>
      </w:r>
      <w:r w:rsidR="0021590A">
        <w:rPr>
          <w:rFonts w:asciiTheme="majorHAnsi" w:hAnsiTheme="majorHAnsi" w:cstheme="majorHAnsi"/>
          <w:b/>
          <w:i/>
          <w:snapToGrid w:val="0"/>
          <w:u w:val="single"/>
        </w:rPr>
        <w:t>5</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281D3DFB" w14:textId="30B995ED" w:rsidR="00CE40D1" w:rsidRPr="006070EA" w:rsidRDefault="00CE40D1" w:rsidP="00106C28">
      <w:pPr>
        <w:pStyle w:val="Atext"/>
        <w:keepLines/>
        <w:spacing w:before="60" w:after="60"/>
        <w:rPr>
          <w:rFonts w:asciiTheme="majorHAnsi" w:hAnsiTheme="majorHAnsi" w:cstheme="majorHAnsi"/>
          <w:color w:val="FF0000"/>
          <w:szCs w:val="18"/>
        </w:rPr>
      </w:pPr>
      <w:r w:rsidRPr="006070EA">
        <w:rPr>
          <w:rFonts w:asciiTheme="majorHAnsi" w:hAnsiTheme="majorHAnsi" w:cstheme="majorHAnsi"/>
          <w:szCs w:val="18"/>
        </w:rPr>
        <w:t>ÚP Kostomlaty nad Labem vymezuje na základě podkladu, poskytnutého ze strany obce v průběhu zpracování návrhu pro společné jednání (projektová dokumentace) plochu Z</w:t>
      </w:r>
      <w:r w:rsidR="00CF391E" w:rsidRPr="006070EA">
        <w:rPr>
          <w:rFonts w:asciiTheme="majorHAnsi" w:hAnsiTheme="majorHAnsi" w:cstheme="majorHAnsi"/>
          <w:szCs w:val="18"/>
        </w:rPr>
        <w:t>.</w:t>
      </w:r>
      <w:r w:rsidRPr="006070EA">
        <w:rPr>
          <w:rFonts w:asciiTheme="majorHAnsi" w:hAnsiTheme="majorHAnsi" w:cstheme="majorHAnsi"/>
          <w:szCs w:val="18"/>
        </w:rPr>
        <w:t>23 (T</w:t>
      </w:r>
      <w:r w:rsidR="00CF391E" w:rsidRPr="006070EA">
        <w:rPr>
          <w:rFonts w:asciiTheme="majorHAnsi" w:hAnsiTheme="majorHAnsi" w:cstheme="majorHAnsi"/>
          <w:szCs w:val="18"/>
        </w:rPr>
        <w:t>U</w:t>
      </w:r>
      <w:r w:rsidRPr="006070EA">
        <w:rPr>
          <w:rFonts w:asciiTheme="majorHAnsi" w:hAnsiTheme="majorHAnsi" w:cstheme="majorHAnsi"/>
          <w:szCs w:val="18"/>
        </w:rPr>
        <w:t>) pro realizaci sběrného dvora v Hroněticích. Podrobné odůvodnění uvedené zastavitelné plochy je součástí komplexního zdůvodnění přijatého řešení a podrobně je uvedeno v kapitole 11.3.3.</w:t>
      </w:r>
    </w:p>
    <w:p w14:paraId="6DDB54D7" w14:textId="77777777" w:rsidR="00AB1F4C" w:rsidRPr="006070EA" w:rsidRDefault="00AB1F4C" w:rsidP="00795EBA">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5</w:t>
      </w:r>
      <w:r w:rsidRPr="006070EA">
        <w:rPr>
          <w:rFonts w:asciiTheme="majorHAnsi" w:hAnsiTheme="majorHAnsi" w:cstheme="majorHAnsi"/>
          <w:b/>
          <w:i/>
          <w:color w:val="auto"/>
          <w:sz w:val="22"/>
        </w:rPr>
        <w:tab/>
        <w:t xml:space="preserve">Koncepce uspořádání krajiny, včetně vymezení ploch </w:t>
      </w:r>
      <w:r w:rsidR="003367DF" w:rsidRPr="006070EA">
        <w:rPr>
          <w:rFonts w:asciiTheme="majorHAnsi" w:hAnsiTheme="majorHAnsi" w:cstheme="majorHAnsi"/>
          <w:b/>
          <w:i/>
          <w:color w:val="auto"/>
          <w:sz w:val="22"/>
        </w:rPr>
        <w:t xml:space="preserve">s rozdílným způsobem využití, ploch změn v krajině </w:t>
      </w:r>
      <w:r w:rsidRPr="006070EA">
        <w:rPr>
          <w:rFonts w:asciiTheme="majorHAnsi" w:hAnsiTheme="majorHAnsi" w:cstheme="majorHAnsi"/>
          <w:b/>
          <w:i/>
          <w:color w:val="auto"/>
          <w:sz w:val="22"/>
        </w:rPr>
        <w:t>a stanovení podmínek pro jejich využití, územní systém ekologické stability, prostupnost krajiny, protierozní opatření, ochrana před povodněmi, rekreace, dobývání ložisek nerostných surovin a</w:t>
      </w:r>
      <w:r w:rsidR="00795EBA" w:rsidRPr="006070EA">
        <w:rPr>
          <w:rFonts w:asciiTheme="majorHAnsi" w:hAnsiTheme="majorHAnsi" w:cstheme="majorHAnsi"/>
          <w:b/>
          <w:i/>
          <w:color w:val="auto"/>
          <w:sz w:val="22"/>
        </w:rPr>
        <w:t> </w:t>
      </w:r>
      <w:r w:rsidRPr="006070EA">
        <w:rPr>
          <w:rFonts w:asciiTheme="majorHAnsi" w:hAnsiTheme="majorHAnsi" w:cstheme="majorHAnsi"/>
          <w:b/>
          <w:i/>
          <w:color w:val="auto"/>
          <w:sz w:val="22"/>
        </w:rPr>
        <w:t>podobně</w:t>
      </w:r>
    </w:p>
    <w:p w14:paraId="1252AB14" w14:textId="77777777" w:rsidR="00AB1F4C" w:rsidRPr="006070EA" w:rsidRDefault="00AB1F4C"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357" w:name="_Toc424119856"/>
      <w:bookmarkStart w:id="358" w:name="_Toc204678202"/>
      <w:r w:rsidRPr="006070EA">
        <w:rPr>
          <w:rFonts w:asciiTheme="majorHAnsi" w:hAnsiTheme="majorHAnsi" w:cstheme="majorHAnsi"/>
          <w:b/>
          <w:sz w:val="24"/>
          <w:szCs w:val="20"/>
        </w:rPr>
        <w:t>Odůvodnění koncepce uspořádání krajiny</w:t>
      </w:r>
      <w:bookmarkEnd w:id="357"/>
      <w:bookmarkEnd w:id="358"/>
    </w:p>
    <w:p w14:paraId="0879D232" w14:textId="77777777" w:rsidR="00AB1F4C" w:rsidRPr="006070EA" w:rsidRDefault="00AB1F4C"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59" w:name="_Toc415756008"/>
      <w:bookmarkStart w:id="360" w:name="_Toc415756374"/>
      <w:bookmarkStart w:id="361" w:name="_Toc415756733"/>
      <w:bookmarkStart w:id="362" w:name="_Toc415756983"/>
      <w:bookmarkStart w:id="363" w:name="_Toc415757233"/>
      <w:bookmarkStart w:id="364" w:name="_Toc415757482"/>
      <w:bookmarkStart w:id="365" w:name="_Toc415757640"/>
      <w:bookmarkStart w:id="366" w:name="_Toc424050160"/>
      <w:bookmarkStart w:id="367" w:name="_Toc424050334"/>
      <w:bookmarkStart w:id="368" w:name="_Toc424050492"/>
      <w:bookmarkStart w:id="369" w:name="_Toc424112354"/>
      <w:bookmarkStart w:id="370" w:name="_Toc424119378"/>
      <w:bookmarkStart w:id="371" w:name="_Toc424119857"/>
      <w:bookmarkStart w:id="372" w:name="_Toc424120113"/>
      <w:bookmarkStart w:id="373" w:name="_Toc424120551"/>
      <w:bookmarkStart w:id="374" w:name="_Toc424126257"/>
      <w:bookmarkStart w:id="375" w:name="_Toc424138838"/>
      <w:bookmarkStart w:id="376" w:name="_Toc445291970"/>
      <w:bookmarkStart w:id="377" w:name="_Toc445910483"/>
      <w:bookmarkStart w:id="378" w:name="_Toc448831967"/>
      <w:bookmarkStart w:id="379" w:name="_Toc448832134"/>
      <w:bookmarkStart w:id="380" w:name="_Toc450037794"/>
      <w:bookmarkStart w:id="381" w:name="_Toc450223088"/>
      <w:bookmarkStart w:id="382" w:name="_Toc472325719"/>
      <w:bookmarkStart w:id="383" w:name="_Toc485214935"/>
      <w:bookmarkStart w:id="384" w:name="_Toc485378088"/>
      <w:bookmarkStart w:id="385" w:name="_Toc485378210"/>
      <w:bookmarkStart w:id="386" w:name="_Toc424119858"/>
      <w:bookmarkStart w:id="387" w:name="_Toc204678203"/>
      <w:bookmarkEnd w:id="359"/>
      <w:bookmarkEnd w:id="360"/>
      <w:bookmarkEnd w:id="361"/>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r w:rsidRPr="006070EA">
        <w:rPr>
          <w:rFonts w:asciiTheme="majorHAnsi" w:hAnsiTheme="majorHAnsi" w:cstheme="majorHAnsi"/>
          <w:b/>
        </w:rPr>
        <w:t xml:space="preserve">Východiska pro návrh řešení – </w:t>
      </w:r>
      <w:bookmarkEnd w:id="386"/>
      <w:r w:rsidR="00A93F46" w:rsidRPr="006070EA">
        <w:rPr>
          <w:rFonts w:asciiTheme="majorHAnsi" w:hAnsiTheme="majorHAnsi" w:cstheme="majorHAnsi"/>
          <w:b/>
        </w:rPr>
        <w:t>přírodní podmínky v území</w:t>
      </w:r>
      <w:bookmarkEnd w:id="387"/>
    </w:p>
    <w:p w14:paraId="448176EB" w14:textId="77777777" w:rsidR="00A93F46" w:rsidRPr="006070EA" w:rsidRDefault="00A93F46"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Obecné odůvodnění </w:t>
      </w:r>
      <w:r w:rsidR="00F860FB" w:rsidRPr="006070EA">
        <w:rPr>
          <w:rFonts w:asciiTheme="majorHAnsi" w:hAnsiTheme="majorHAnsi" w:cstheme="majorHAnsi"/>
          <w:i/>
          <w:snapToGrid w:val="0"/>
          <w:u w:val="single"/>
        </w:rPr>
        <w:t xml:space="preserve">kapitoly </w:t>
      </w:r>
      <w:r w:rsidR="00F860FB" w:rsidRPr="006070EA">
        <w:rPr>
          <w:rFonts w:asciiTheme="majorHAnsi" w:hAnsiTheme="majorHAnsi" w:cstheme="majorHAnsi"/>
          <w:b/>
          <w:i/>
          <w:snapToGrid w:val="0"/>
          <w:u w:val="single"/>
        </w:rPr>
        <w:t>5</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5A830B13" w14:textId="284164C8" w:rsidR="000311FD" w:rsidRPr="006070EA" w:rsidRDefault="000311FD" w:rsidP="000311FD">
      <w:pPr>
        <w:pStyle w:val="Atext"/>
        <w:rPr>
          <w:rFonts w:asciiTheme="majorHAnsi" w:eastAsiaTheme="minorEastAsia" w:hAnsiTheme="majorHAnsi" w:cstheme="majorHAnsi"/>
        </w:rPr>
      </w:pPr>
      <w:r w:rsidRPr="006070EA">
        <w:rPr>
          <w:rFonts w:asciiTheme="majorHAnsi" w:eastAsiaTheme="minorEastAsia" w:hAnsiTheme="majorHAnsi" w:cstheme="majorHAnsi"/>
        </w:rPr>
        <w:t>Koncepce uspořádání krajiny stanovená v územním plánu vychází ze stávajícího stabilizovaného uspořádání území a krajiny, zajišťuje ochranu zásadních přírodních a krajinných hodnot území</w:t>
      </w:r>
      <w:r w:rsidR="00265EF4" w:rsidRPr="006070EA">
        <w:rPr>
          <w:rFonts w:asciiTheme="majorHAnsi" w:eastAsiaTheme="minorEastAsia" w:hAnsiTheme="majorHAnsi" w:cstheme="majorHAnsi"/>
        </w:rPr>
        <w:t xml:space="preserve"> </w:t>
      </w:r>
      <w:r w:rsidRPr="006070EA">
        <w:rPr>
          <w:rFonts w:asciiTheme="majorHAnsi" w:eastAsiaTheme="minorEastAsia" w:hAnsiTheme="majorHAnsi" w:cstheme="majorHAnsi"/>
        </w:rPr>
        <w:t xml:space="preserve">a hospodářské (zemědělské a lesnické) využívání krajiny, a na podkladu současného stavu území zajišťuje podmínky pro zvýšení ekologické stability formou ÚSES, zvýšení retenční schopnosti krajiny a rozvoj krajinných prvků. </w:t>
      </w:r>
    </w:p>
    <w:p w14:paraId="704CCB37" w14:textId="77777777" w:rsidR="000311FD" w:rsidRPr="006070EA" w:rsidRDefault="000311FD" w:rsidP="000311FD">
      <w:pPr>
        <w:pStyle w:val="Atext"/>
        <w:rPr>
          <w:rFonts w:asciiTheme="majorHAnsi" w:hAnsiTheme="majorHAnsi" w:cstheme="majorHAnsi"/>
        </w:rPr>
      </w:pPr>
      <w:r w:rsidRPr="006070EA">
        <w:rPr>
          <w:rFonts w:asciiTheme="majorHAnsi" w:hAnsiTheme="majorHAnsi" w:cstheme="majorHAnsi"/>
        </w:rPr>
        <w:t>Koncepce uspořádání krajiny je stanovena zejména dle následujících východisek a podkladů:</w:t>
      </w:r>
    </w:p>
    <w:p w14:paraId="4D1CEBB9" w14:textId="77777777" w:rsidR="000311FD" w:rsidRPr="006070EA" w:rsidRDefault="000311FD" w:rsidP="000311F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b/>
          <w:sz w:val="18"/>
        </w:rPr>
        <w:t>priority a zásady koncepce rozvoje území města</w:t>
      </w:r>
      <w:r w:rsidRPr="006070EA">
        <w:rPr>
          <w:rFonts w:asciiTheme="majorHAnsi" w:hAnsiTheme="majorHAnsi" w:cstheme="majorHAnsi"/>
          <w:sz w:val="18"/>
        </w:rPr>
        <w:t xml:space="preserve"> definované v kapitole 2.1. textové části výroku ÚP a podrobně popsané a odůvodněné v kapitole 11.2.2. tohoto odůvodnění </w:t>
      </w:r>
    </w:p>
    <w:p w14:paraId="698C0407" w14:textId="6CEC570E" w:rsidR="000311FD" w:rsidRPr="006070EA" w:rsidRDefault="000311FD" w:rsidP="000311FD">
      <w:pPr>
        <w:pStyle w:val="Import1"/>
        <w:numPr>
          <w:ilvl w:val="0"/>
          <w:numId w:val="4"/>
        </w:numPr>
        <w:tabs>
          <w:tab w:val="left" w:pos="0"/>
        </w:tabs>
        <w:spacing w:before="40" w:after="40" w:line="240" w:lineRule="auto"/>
        <w:jc w:val="both"/>
        <w:rPr>
          <w:rFonts w:asciiTheme="majorHAnsi" w:hAnsiTheme="majorHAnsi" w:cstheme="majorHAnsi"/>
          <w:sz w:val="18"/>
        </w:rPr>
      </w:pPr>
      <w:r w:rsidRPr="006070EA">
        <w:rPr>
          <w:rFonts w:asciiTheme="majorHAnsi" w:hAnsiTheme="majorHAnsi" w:cstheme="majorHAnsi"/>
          <w:b/>
          <w:bCs/>
          <w:sz w:val="18"/>
        </w:rPr>
        <w:t>přírodní hodnoty území</w:t>
      </w:r>
      <w:r w:rsidRPr="006070EA">
        <w:rPr>
          <w:rFonts w:asciiTheme="majorHAnsi" w:hAnsiTheme="majorHAnsi" w:cstheme="majorHAnsi"/>
          <w:sz w:val="18"/>
        </w:rPr>
        <w:t xml:space="preserve"> definované v kapitole 2 textové části výroku ÚP </w:t>
      </w:r>
      <w:r w:rsidR="00265EF4" w:rsidRPr="006070EA">
        <w:rPr>
          <w:rFonts w:asciiTheme="majorHAnsi" w:hAnsiTheme="majorHAnsi" w:cstheme="majorHAnsi"/>
          <w:sz w:val="18"/>
        </w:rPr>
        <w:t>Kostomlaty nad Labem</w:t>
      </w:r>
    </w:p>
    <w:p w14:paraId="3B8368FE" w14:textId="1FADFD99" w:rsidR="000311FD" w:rsidRPr="006070EA" w:rsidRDefault="000311FD" w:rsidP="000311FD">
      <w:pPr>
        <w:pStyle w:val="Odstavecseseznamem"/>
        <w:numPr>
          <w:ilvl w:val="0"/>
          <w:numId w:val="4"/>
        </w:numPr>
        <w:spacing w:before="40" w:after="40"/>
        <w:contextualSpacing w:val="0"/>
        <w:rPr>
          <w:rFonts w:asciiTheme="majorHAnsi" w:hAnsiTheme="majorHAnsi" w:cstheme="majorHAnsi"/>
          <w:sz w:val="18"/>
        </w:rPr>
      </w:pPr>
      <w:r w:rsidRPr="006070EA">
        <w:rPr>
          <w:rFonts w:asciiTheme="majorHAnsi" w:hAnsiTheme="majorHAnsi" w:cstheme="majorHAnsi"/>
          <w:b/>
          <w:bCs/>
          <w:sz w:val="18"/>
        </w:rPr>
        <w:t>požadavky na rozvoj města</w:t>
      </w:r>
      <w:r w:rsidRPr="006070EA">
        <w:rPr>
          <w:rFonts w:asciiTheme="majorHAnsi" w:hAnsiTheme="majorHAnsi" w:cstheme="majorHAnsi"/>
          <w:sz w:val="18"/>
        </w:rPr>
        <w:t xml:space="preserve"> obsažené v PÚR ČR, ZÚR SK a ve schváleném Zadání ÚP </w:t>
      </w:r>
      <w:r w:rsidR="00265EF4" w:rsidRPr="006070EA">
        <w:rPr>
          <w:rFonts w:asciiTheme="majorHAnsi" w:hAnsiTheme="majorHAnsi" w:cstheme="majorHAnsi"/>
          <w:sz w:val="18"/>
        </w:rPr>
        <w:t>Kostomlaty nad Labem</w:t>
      </w:r>
    </w:p>
    <w:p w14:paraId="3B5FBA0E" w14:textId="77777777" w:rsidR="000311FD" w:rsidRPr="006070EA" w:rsidRDefault="000311FD" w:rsidP="000311F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b/>
          <w:bCs/>
          <w:sz w:val="18"/>
        </w:rPr>
        <w:t>požadavky platných právních předpisů</w:t>
      </w:r>
      <w:r w:rsidRPr="006070EA">
        <w:rPr>
          <w:rFonts w:asciiTheme="majorHAnsi" w:hAnsiTheme="majorHAnsi" w:cstheme="majorHAnsi"/>
          <w:sz w:val="18"/>
        </w:rPr>
        <w:t>, zejména zákona č. 114/1992 Sb., o ochraně přírody a krajiny, v platném znění</w:t>
      </w:r>
    </w:p>
    <w:p w14:paraId="6271867F" w14:textId="77777777" w:rsidR="000311FD" w:rsidRPr="006070EA" w:rsidRDefault="000311FD" w:rsidP="000311FD">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t>požadavky dle Evropské úmluvy o krajině</w:t>
      </w:r>
    </w:p>
    <w:p w14:paraId="49B293A9" w14:textId="550E50D0" w:rsidR="000311FD" w:rsidRPr="006070EA" w:rsidRDefault="000311FD" w:rsidP="000311FD">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t>koncepce rozvoje území města stanovená v platném ÚP</w:t>
      </w:r>
      <w:r w:rsidR="00265EF4" w:rsidRPr="006070EA">
        <w:rPr>
          <w:rFonts w:asciiTheme="majorHAnsi" w:hAnsiTheme="majorHAnsi" w:cstheme="majorHAnsi"/>
          <w:b/>
          <w:bCs/>
          <w:sz w:val="18"/>
        </w:rPr>
        <w:t>O</w:t>
      </w:r>
      <w:r w:rsidRPr="006070EA">
        <w:rPr>
          <w:rFonts w:asciiTheme="majorHAnsi" w:hAnsiTheme="majorHAnsi" w:cstheme="majorHAnsi"/>
          <w:b/>
          <w:bCs/>
          <w:sz w:val="18"/>
        </w:rPr>
        <w:t xml:space="preserve"> </w:t>
      </w:r>
      <w:r w:rsidR="00265EF4" w:rsidRPr="006070EA">
        <w:rPr>
          <w:rFonts w:asciiTheme="majorHAnsi" w:hAnsiTheme="majorHAnsi" w:cstheme="majorHAnsi"/>
          <w:b/>
          <w:bCs/>
          <w:sz w:val="18"/>
        </w:rPr>
        <w:t>Kostomlaty nad Labem</w:t>
      </w:r>
    </w:p>
    <w:p w14:paraId="62D7907C" w14:textId="77777777" w:rsidR="000311FD" w:rsidRPr="006070EA" w:rsidRDefault="000311FD" w:rsidP="000311FD">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t>existující funkční, prostorové a provozní vazby v území, stabilizované prostorové a funkční uspořádání území</w:t>
      </w:r>
    </w:p>
    <w:p w14:paraId="02CED9F0" w14:textId="77777777" w:rsidR="000311FD" w:rsidRPr="006070EA" w:rsidRDefault="000311FD" w:rsidP="000311FD">
      <w:pPr>
        <w:pStyle w:val="Odstavecseseznamem"/>
        <w:numPr>
          <w:ilvl w:val="0"/>
          <w:numId w:val="4"/>
        </w:numPr>
        <w:spacing w:before="40" w:after="40" w:line="240" w:lineRule="auto"/>
        <w:contextualSpacing w:val="0"/>
        <w:jc w:val="both"/>
        <w:rPr>
          <w:rFonts w:asciiTheme="majorHAnsi" w:hAnsiTheme="majorHAnsi" w:cstheme="majorHAnsi"/>
          <w:b/>
          <w:bCs/>
          <w:sz w:val="18"/>
        </w:rPr>
      </w:pPr>
      <w:r w:rsidRPr="006070EA">
        <w:rPr>
          <w:rFonts w:asciiTheme="majorHAnsi" w:hAnsiTheme="majorHAnsi" w:cstheme="majorHAnsi"/>
          <w:b/>
          <w:bCs/>
          <w:sz w:val="18"/>
        </w:rPr>
        <w:t>limity využití území a hodnoty území</w:t>
      </w:r>
    </w:p>
    <w:p w14:paraId="548B8D73" w14:textId="77777777" w:rsidR="000311FD" w:rsidRPr="006070EA" w:rsidRDefault="000311FD" w:rsidP="000311FD">
      <w:pPr>
        <w:pStyle w:val="Odstavecseseznamem"/>
        <w:numPr>
          <w:ilvl w:val="0"/>
          <w:numId w:val="4"/>
        </w:numPr>
        <w:spacing w:before="40" w:after="40" w:line="240" w:lineRule="auto"/>
        <w:ind w:left="1066" w:hanging="357"/>
        <w:contextualSpacing w:val="0"/>
        <w:jc w:val="both"/>
        <w:rPr>
          <w:rFonts w:asciiTheme="majorHAnsi" w:hAnsiTheme="majorHAnsi" w:cstheme="majorHAnsi"/>
          <w:b/>
          <w:bCs/>
          <w:sz w:val="18"/>
        </w:rPr>
      </w:pPr>
      <w:r w:rsidRPr="006070EA">
        <w:rPr>
          <w:rFonts w:asciiTheme="majorHAnsi" w:hAnsiTheme="majorHAnsi" w:cstheme="majorHAnsi"/>
          <w:b/>
          <w:bCs/>
          <w:sz w:val="18"/>
        </w:rPr>
        <w:t>přírodní podmínky, charakter území a volné krajiny</w:t>
      </w:r>
    </w:p>
    <w:p w14:paraId="08BE56A4" w14:textId="77777777" w:rsidR="000311FD" w:rsidRPr="006070EA" w:rsidRDefault="000311FD" w:rsidP="000311F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rPr>
        <w:t>terénní průzkum zpracovatele ÚP</w:t>
      </w:r>
    </w:p>
    <w:p w14:paraId="253D5739" w14:textId="77777777" w:rsidR="00BD369D" w:rsidRPr="006070EA" w:rsidRDefault="00BD369D" w:rsidP="00BD369D">
      <w:pPr>
        <w:pStyle w:val="Anadpistun"/>
        <w:rPr>
          <w:rFonts w:asciiTheme="majorHAnsi" w:hAnsiTheme="majorHAnsi" w:cstheme="majorHAnsi"/>
        </w:rPr>
      </w:pPr>
      <w:r w:rsidRPr="006070EA">
        <w:rPr>
          <w:rFonts w:asciiTheme="majorHAnsi" w:hAnsiTheme="majorHAnsi" w:cstheme="majorHAnsi"/>
        </w:rPr>
        <w:t>Přírodní podmínky</w:t>
      </w:r>
    </w:p>
    <w:p w14:paraId="101B9471" w14:textId="77777777" w:rsidR="00265EF4" w:rsidRPr="006070EA" w:rsidRDefault="00265EF4" w:rsidP="00265EF4">
      <w:pPr>
        <w:spacing w:after="60" w:line="240" w:lineRule="auto"/>
        <w:ind w:firstLine="709"/>
        <w:jc w:val="both"/>
        <w:rPr>
          <w:rFonts w:asciiTheme="majorHAnsi" w:eastAsiaTheme="minorEastAsia" w:hAnsiTheme="majorHAnsi" w:cstheme="majorHAnsi"/>
          <w:bCs/>
          <w:iCs/>
          <w:sz w:val="18"/>
        </w:rPr>
      </w:pPr>
      <w:r w:rsidRPr="006070EA">
        <w:rPr>
          <w:rFonts w:asciiTheme="majorHAnsi" w:eastAsiaTheme="minorEastAsia" w:hAnsiTheme="majorHAnsi" w:cstheme="majorHAnsi"/>
          <w:sz w:val="18"/>
        </w:rPr>
        <w:t xml:space="preserve">Uspořádání krajiny je ovlivněno přírodními podmínkami. Ty jsou jedním z výchozích podkladů pro koncepci uspořádání krajiny i pro urbanistické řešení. </w:t>
      </w:r>
      <w:r w:rsidRPr="006070EA">
        <w:rPr>
          <w:rFonts w:asciiTheme="majorHAnsi" w:eastAsiaTheme="minorEastAsia" w:hAnsiTheme="majorHAnsi" w:cstheme="majorHAnsi"/>
          <w:bCs/>
          <w:iCs/>
          <w:sz w:val="18"/>
        </w:rPr>
        <w:t>Jedná se zvláště o podmínky klimatické, geologické a geomorfologické, hydrologické a fytogeografické.</w:t>
      </w:r>
    </w:p>
    <w:p w14:paraId="0A4F3BA3" w14:textId="6E81FA9A" w:rsidR="00BD369D" w:rsidRPr="006070EA" w:rsidRDefault="00BD369D" w:rsidP="00BD369D">
      <w:pPr>
        <w:pStyle w:val="Atext"/>
        <w:rPr>
          <w:rFonts w:asciiTheme="majorHAnsi" w:hAnsiTheme="majorHAnsi" w:cstheme="majorHAnsi"/>
          <w:color w:val="000000"/>
        </w:rPr>
      </w:pPr>
      <w:r w:rsidRPr="006070EA">
        <w:rPr>
          <w:rFonts w:asciiTheme="majorHAnsi" w:hAnsiTheme="majorHAnsi" w:cstheme="majorHAnsi"/>
          <w:color w:val="000000"/>
        </w:rPr>
        <w:t xml:space="preserve">Reliéf </w:t>
      </w:r>
      <w:r w:rsidR="00265EF4" w:rsidRPr="006070EA">
        <w:rPr>
          <w:rFonts w:asciiTheme="majorHAnsi" w:hAnsiTheme="majorHAnsi" w:cstheme="majorHAnsi"/>
          <w:color w:val="000000"/>
        </w:rPr>
        <w:t xml:space="preserve">území </w:t>
      </w:r>
      <w:r w:rsidRPr="006070EA">
        <w:rPr>
          <w:rFonts w:asciiTheme="majorHAnsi" w:hAnsiTheme="majorHAnsi" w:cstheme="majorHAnsi"/>
          <w:color w:val="000000"/>
        </w:rPr>
        <w:t xml:space="preserve">je celkově </w:t>
      </w:r>
      <w:r w:rsidR="00265EF4" w:rsidRPr="006070EA">
        <w:rPr>
          <w:rFonts w:asciiTheme="majorHAnsi" w:hAnsiTheme="majorHAnsi" w:cstheme="majorHAnsi"/>
          <w:color w:val="000000"/>
        </w:rPr>
        <w:t xml:space="preserve">převážně </w:t>
      </w:r>
      <w:r w:rsidRPr="006070EA">
        <w:rPr>
          <w:rFonts w:asciiTheme="majorHAnsi" w:hAnsiTheme="majorHAnsi" w:cstheme="majorHAnsi"/>
          <w:color w:val="000000"/>
        </w:rPr>
        <w:t xml:space="preserve">plochý a má ráz roviny s převýšením do 30 m na vzdálenost 4 km. Pouze v oblasti hřbetů a hůr převýšení dosahuje </w:t>
      </w:r>
      <w:proofErr w:type="gramStart"/>
      <w:r w:rsidRPr="006070EA">
        <w:rPr>
          <w:rFonts w:asciiTheme="majorHAnsi" w:hAnsiTheme="majorHAnsi" w:cstheme="majorHAnsi"/>
          <w:color w:val="000000"/>
        </w:rPr>
        <w:t>60 – 70</w:t>
      </w:r>
      <w:proofErr w:type="gramEnd"/>
      <w:r w:rsidRPr="006070EA">
        <w:rPr>
          <w:rFonts w:asciiTheme="majorHAnsi" w:hAnsiTheme="majorHAnsi" w:cstheme="majorHAnsi"/>
          <w:color w:val="000000"/>
        </w:rPr>
        <w:t xml:space="preserve"> m a reliéf tak nabývá rázu ploché pahorkatiny. </w:t>
      </w:r>
      <w:r w:rsidR="00265EF4" w:rsidRPr="006070EA">
        <w:rPr>
          <w:rFonts w:asciiTheme="majorHAnsi" w:hAnsiTheme="majorHAnsi" w:cstheme="majorHAnsi"/>
          <w:color w:val="000000"/>
        </w:rPr>
        <w:t>K</w:t>
      </w:r>
      <w:r w:rsidRPr="006070EA">
        <w:rPr>
          <w:rFonts w:asciiTheme="majorHAnsi" w:hAnsiTheme="majorHAnsi" w:cstheme="majorHAnsi"/>
          <w:color w:val="000000"/>
        </w:rPr>
        <w:t>rajin</w:t>
      </w:r>
      <w:r w:rsidR="00265EF4" w:rsidRPr="006070EA">
        <w:rPr>
          <w:rFonts w:asciiTheme="majorHAnsi" w:hAnsiTheme="majorHAnsi" w:cstheme="majorHAnsi"/>
          <w:color w:val="000000"/>
        </w:rPr>
        <w:t>a</w:t>
      </w:r>
      <w:r w:rsidRPr="006070EA">
        <w:rPr>
          <w:rFonts w:asciiTheme="majorHAnsi" w:hAnsiTheme="majorHAnsi" w:cstheme="majorHAnsi"/>
          <w:color w:val="000000"/>
        </w:rPr>
        <w:t xml:space="preserve"> je uspořádán ve třech „patrech“: Nejnižší polohu tvoří niva řek s velmi horizontálně členitými okraji, nad ně se zvedají </w:t>
      </w:r>
      <w:proofErr w:type="gramStart"/>
      <w:r w:rsidRPr="006070EA">
        <w:rPr>
          <w:rFonts w:asciiTheme="majorHAnsi" w:hAnsiTheme="majorHAnsi" w:cstheme="majorHAnsi"/>
          <w:color w:val="000000"/>
        </w:rPr>
        <w:t>5 – 15</w:t>
      </w:r>
      <w:proofErr w:type="gramEnd"/>
      <w:r w:rsidRPr="006070EA">
        <w:rPr>
          <w:rFonts w:asciiTheme="majorHAnsi" w:hAnsiTheme="majorHAnsi" w:cstheme="majorHAnsi"/>
          <w:color w:val="000000"/>
        </w:rPr>
        <w:t xml:space="preserve"> m vysokým a poměrně příkrým svahem plošiny rozsáhlých teras a nad ně jako ostrovní hory vystupují uvedené hřbety, hůry a vrchy. V nivě řek se vyskytují pomalu zanikající odstavená ramena řek, zpravidla ve formě zákrutů s poloměrem i 0,4 km, dále se v oblasti vyskytují četné a</w:t>
      </w:r>
      <w:r w:rsidR="00433C39" w:rsidRPr="006070EA">
        <w:rPr>
          <w:rFonts w:asciiTheme="majorHAnsi" w:hAnsiTheme="majorHAnsi" w:cstheme="majorHAnsi"/>
          <w:color w:val="000000"/>
        </w:rPr>
        <w:t> </w:t>
      </w:r>
      <w:r w:rsidRPr="006070EA">
        <w:rPr>
          <w:rFonts w:asciiTheme="majorHAnsi" w:hAnsiTheme="majorHAnsi" w:cstheme="majorHAnsi"/>
          <w:color w:val="000000"/>
        </w:rPr>
        <w:t>rozsáhlé zatopené pískovny, a to jak v nivě, tak hlavně v terasách. K drobným leč charakteristickým tvarům náležejí sesuvy na svazích kopců a pískové duny na povrchu teras. Klima oblasti je teplé a poměrně suché. Pro oblast je typický vyšší výskyt mlh na jaře a na podzim. Zvláště v nivách řek a depresích jsou noci a v zimě typické přízemní teplotní inverse, doprovázené vyšší vlhkostí vzduchu, hojnou rosou, jinovatkou a přízemními mlhami. Ovšem svahy jižního kvadrantu mají velmi teplé topoklima (spojené s tvorbou teplých svahových zón), které umožňuje i úspěšné pěstování vinné révy a výskyt bohatých stepních lad.</w:t>
      </w:r>
    </w:p>
    <w:p w14:paraId="1CAF8115" w14:textId="660F10EC" w:rsidR="00BD369D" w:rsidRPr="006070EA" w:rsidRDefault="00BD369D" w:rsidP="00BD369D">
      <w:pPr>
        <w:pStyle w:val="Atext"/>
        <w:rPr>
          <w:rFonts w:asciiTheme="majorHAnsi" w:hAnsiTheme="majorHAnsi" w:cstheme="majorHAnsi"/>
          <w:color w:val="000000"/>
        </w:rPr>
      </w:pPr>
      <w:r w:rsidRPr="006070EA">
        <w:rPr>
          <w:rFonts w:asciiTheme="majorHAnsi" w:hAnsiTheme="majorHAnsi" w:cstheme="majorHAnsi"/>
          <w:color w:val="000000"/>
        </w:rPr>
        <w:t>Vodní prvky jsou v oblasti hojně zastoupeny, proti celostátnímu průměru mají více než dvojnásobný podíl (cca 4 % plochy). Tvoří podstatný</w:t>
      </w:r>
      <w:r w:rsidR="00265EF4" w:rsidRPr="006070EA">
        <w:rPr>
          <w:rFonts w:asciiTheme="majorHAnsi" w:hAnsiTheme="majorHAnsi" w:cstheme="majorHAnsi"/>
          <w:color w:val="000000"/>
        </w:rPr>
        <w:t xml:space="preserve"> a určující </w:t>
      </w:r>
      <w:r w:rsidRPr="006070EA">
        <w:rPr>
          <w:rFonts w:asciiTheme="majorHAnsi" w:hAnsiTheme="majorHAnsi" w:cstheme="majorHAnsi"/>
          <w:color w:val="000000"/>
        </w:rPr>
        <w:t xml:space="preserve">rys krajiny. Řeky nanesly rozsáhlé terasy, vytvořily </w:t>
      </w:r>
      <w:r w:rsidR="00265EF4" w:rsidRPr="006070EA">
        <w:rPr>
          <w:rFonts w:asciiTheme="majorHAnsi" w:hAnsiTheme="majorHAnsi" w:cstheme="majorHAnsi"/>
          <w:color w:val="000000"/>
        </w:rPr>
        <w:t>proměnlivé</w:t>
      </w:r>
      <w:r w:rsidRPr="006070EA">
        <w:rPr>
          <w:rFonts w:asciiTheme="majorHAnsi" w:hAnsiTheme="majorHAnsi" w:cstheme="majorHAnsi"/>
          <w:color w:val="000000"/>
        </w:rPr>
        <w:t xml:space="preserve"> nivy a nyní zásobují celou krajinu vodou. K vodním prvkům </w:t>
      </w:r>
      <w:r w:rsidR="00265EF4" w:rsidRPr="006070EA">
        <w:rPr>
          <w:rFonts w:asciiTheme="majorHAnsi" w:hAnsiTheme="majorHAnsi" w:cstheme="majorHAnsi"/>
          <w:color w:val="000000"/>
        </w:rPr>
        <w:t>náleží především řeka Labe</w:t>
      </w:r>
      <w:r w:rsidRPr="006070EA">
        <w:rPr>
          <w:rFonts w:asciiTheme="majorHAnsi" w:hAnsiTheme="majorHAnsi" w:cstheme="majorHAnsi"/>
          <w:color w:val="000000"/>
        </w:rPr>
        <w:t xml:space="preserve">, plavební kanály s komorami, náhony, zatopená odstavená ramena, odvodňovací příkopy, zatopené pískovny, tůně a kaliště. Nepominutelné jsou relativně četné minerální prameny ve východní polovině oblasti. Klasické rybníky zde naopak téměř chybějí, přehrady též, ovšem vyskytují se nadržené hladiny nad jezy. Všechny řeky v oblasti byly regulovány, jejich koryta technicky upravena. Vzhledem k čistotě vody a nevlídnému charakteru většiny břehů řeky neslouží až na výjimky pro rekreaci u vody, hojně jsou využívány jen rybáři. Svéráz oblasti podtrhují minerální prameny, ojedinělé v širokém okolí. </w:t>
      </w:r>
    </w:p>
    <w:p w14:paraId="1DB10908" w14:textId="77777777" w:rsidR="00AB1F4C" w:rsidRPr="006070EA" w:rsidRDefault="00AB1F4C" w:rsidP="00795EBA">
      <w:pPr>
        <w:keepNext/>
        <w:spacing w:before="120" w:after="120" w:line="240" w:lineRule="auto"/>
        <w:rPr>
          <w:rFonts w:asciiTheme="majorHAnsi" w:hAnsiTheme="majorHAnsi" w:cstheme="majorHAnsi"/>
          <w:b/>
          <w:sz w:val="18"/>
        </w:rPr>
      </w:pPr>
      <w:r w:rsidRPr="006070EA">
        <w:rPr>
          <w:rFonts w:asciiTheme="majorHAnsi" w:hAnsiTheme="majorHAnsi" w:cstheme="majorHAnsi"/>
          <w:b/>
          <w:sz w:val="18"/>
        </w:rPr>
        <w:lastRenderedPageBreak/>
        <w:t>Klimatické podmínky</w:t>
      </w:r>
    </w:p>
    <w:p w14:paraId="0A341CA4" w14:textId="77777777" w:rsidR="00B646BB" w:rsidRPr="006070EA" w:rsidRDefault="00B646BB" w:rsidP="00B646BB">
      <w:pPr>
        <w:pStyle w:val="Atext"/>
        <w:rPr>
          <w:rFonts w:asciiTheme="majorHAnsi" w:hAnsiTheme="majorHAnsi" w:cstheme="majorHAnsi"/>
          <w:color w:val="000000"/>
        </w:rPr>
      </w:pPr>
      <w:r w:rsidRPr="006070EA">
        <w:rPr>
          <w:rFonts w:asciiTheme="majorHAnsi" w:hAnsiTheme="majorHAnsi" w:cstheme="majorHAnsi"/>
          <w:color w:val="000000"/>
        </w:rPr>
        <w:t>Dle charakteristiky klimatických oblastí ČSSR (Quitt, Geografický ústav ČSAV Brno, 1971) spadá území obce Kostomlaty nad Labem do klimatické oblasti T2.</w:t>
      </w:r>
    </w:p>
    <w:p w14:paraId="0C3B6C9D" w14:textId="6040190F" w:rsidR="00B646BB" w:rsidRPr="006070EA" w:rsidRDefault="00B646BB" w:rsidP="00B646BB">
      <w:pPr>
        <w:pStyle w:val="Atextkurzva"/>
        <w:keepNext/>
        <w:rPr>
          <w:rFonts w:asciiTheme="majorHAnsi" w:hAnsiTheme="majorHAnsi" w:cstheme="majorHAnsi"/>
          <w:color w:val="000000"/>
        </w:rPr>
      </w:pPr>
      <w:r w:rsidRPr="006070EA">
        <w:rPr>
          <w:rFonts w:asciiTheme="majorHAnsi" w:hAnsiTheme="majorHAnsi" w:cstheme="majorHAnsi"/>
          <w:color w:val="000000"/>
        </w:rPr>
        <w:t>Tab.</w:t>
      </w:r>
      <w:r w:rsidR="00265EF4" w:rsidRPr="006070EA">
        <w:rPr>
          <w:rFonts w:asciiTheme="majorHAnsi" w:hAnsiTheme="majorHAnsi" w:cstheme="majorHAnsi"/>
          <w:color w:val="000000"/>
        </w:rPr>
        <w:t>:</w:t>
      </w:r>
      <w:r w:rsidRPr="006070EA">
        <w:rPr>
          <w:rFonts w:asciiTheme="majorHAnsi" w:hAnsiTheme="majorHAnsi" w:cstheme="majorHAnsi"/>
          <w:color w:val="000000"/>
        </w:rPr>
        <w:t xml:space="preserve"> Přehled klimatických oblastí v řešeném území</w:t>
      </w:r>
    </w:p>
    <w:tbl>
      <w:tblPr>
        <w:tblW w:w="0" w:type="auto"/>
        <w:tblBorders>
          <w:insideH w:val="single" w:sz="4" w:space="0" w:color="auto"/>
          <w:insideV w:val="single" w:sz="4" w:space="0" w:color="auto"/>
        </w:tblBorders>
        <w:tblLook w:val="04A0" w:firstRow="1" w:lastRow="0" w:firstColumn="1" w:lastColumn="0" w:noHBand="0" w:noVBand="1"/>
      </w:tblPr>
      <w:tblGrid>
        <w:gridCol w:w="984"/>
        <w:gridCol w:w="2677"/>
        <w:gridCol w:w="2689"/>
        <w:gridCol w:w="2654"/>
      </w:tblGrid>
      <w:tr w:rsidR="00B646BB" w:rsidRPr="006070EA" w14:paraId="480D4703" w14:textId="77777777" w:rsidTr="00B646BB">
        <w:trPr>
          <w:cantSplit/>
          <w:trHeight w:val="283"/>
          <w:tblHeader/>
        </w:trPr>
        <w:tc>
          <w:tcPr>
            <w:tcW w:w="984" w:type="dxa"/>
            <w:tcBorders>
              <w:top w:val="nil"/>
              <w:left w:val="nil"/>
              <w:bottom w:val="single" w:sz="12" w:space="0" w:color="auto"/>
              <w:right w:val="single" w:sz="12" w:space="0" w:color="auto"/>
            </w:tcBorders>
            <w:vAlign w:val="center"/>
            <w:hideMark/>
          </w:tcPr>
          <w:p w14:paraId="5EC27CE1" w14:textId="77777777" w:rsidR="00B646BB" w:rsidRPr="006070EA" w:rsidRDefault="00B646BB" w:rsidP="000E35E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klimatická oblast</w:t>
            </w:r>
          </w:p>
        </w:tc>
        <w:tc>
          <w:tcPr>
            <w:tcW w:w="2677" w:type="dxa"/>
            <w:tcBorders>
              <w:top w:val="nil"/>
              <w:left w:val="single" w:sz="12" w:space="0" w:color="auto"/>
              <w:bottom w:val="single" w:sz="12" w:space="0" w:color="auto"/>
              <w:right w:val="single" w:sz="12" w:space="0" w:color="auto"/>
            </w:tcBorders>
            <w:vAlign w:val="center"/>
            <w:hideMark/>
          </w:tcPr>
          <w:p w14:paraId="663DA644" w14:textId="77777777" w:rsidR="00B646BB" w:rsidRPr="006070EA" w:rsidRDefault="00B646BB" w:rsidP="000E35E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léto</w:t>
            </w:r>
          </w:p>
        </w:tc>
        <w:tc>
          <w:tcPr>
            <w:tcW w:w="2689" w:type="dxa"/>
            <w:tcBorders>
              <w:top w:val="nil"/>
              <w:left w:val="single" w:sz="12" w:space="0" w:color="auto"/>
              <w:bottom w:val="single" w:sz="12" w:space="0" w:color="auto"/>
              <w:right w:val="single" w:sz="12" w:space="0" w:color="auto"/>
            </w:tcBorders>
            <w:vAlign w:val="center"/>
            <w:hideMark/>
          </w:tcPr>
          <w:p w14:paraId="6620796F" w14:textId="77777777" w:rsidR="00B646BB" w:rsidRPr="006070EA" w:rsidRDefault="00B646BB" w:rsidP="000E35E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zima</w:t>
            </w:r>
          </w:p>
        </w:tc>
        <w:tc>
          <w:tcPr>
            <w:tcW w:w="2654" w:type="dxa"/>
            <w:tcBorders>
              <w:top w:val="nil"/>
              <w:left w:val="single" w:sz="12" w:space="0" w:color="auto"/>
              <w:bottom w:val="single" w:sz="12" w:space="0" w:color="auto"/>
              <w:right w:val="nil"/>
            </w:tcBorders>
            <w:vAlign w:val="center"/>
            <w:hideMark/>
          </w:tcPr>
          <w:p w14:paraId="06DF8566" w14:textId="77777777" w:rsidR="00B646BB" w:rsidRPr="006070EA" w:rsidRDefault="00B646BB" w:rsidP="000E35E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přechodná období</w:t>
            </w:r>
          </w:p>
        </w:tc>
      </w:tr>
      <w:tr w:rsidR="00B646BB" w:rsidRPr="006070EA" w14:paraId="764BDF0C" w14:textId="77777777" w:rsidTr="00B646BB">
        <w:trPr>
          <w:trHeight w:val="283"/>
        </w:trPr>
        <w:tc>
          <w:tcPr>
            <w:tcW w:w="984" w:type="dxa"/>
            <w:tcBorders>
              <w:top w:val="single" w:sz="12" w:space="0" w:color="auto"/>
              <w:left w:val="nil"/>
              <w:bottom w:val="nil"/>
              <w:right w:val="single" w:sz="4" w:space="0" w:color="auto"/>
            </w:tcBorders>
            <w:vAlign w:val="center"/>
            <w:hideMark/>
          </w:tcPr>
          <w:p w14:paraId="406A1754"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T2</w:t>
            </w:r>
          </w:p>
        </w:tc>
        <w:tc>
          <w:tcPr>
            <w:tcW w:w="2677" w:type="dxa"/>
            <w:tcBorders>
              <w:top w:val="single" w:sz="12" w:space="0" w:color="auto"/>
              <w:left w:val="single" w:sz="4" w:space="0" w:color="auto"/>
              <w:bottom w:val="nil"/>
              <w:right w:val="single" w:sz="4" w:space="0" w:color="auto"/>
            </w:tcBorders>
            <w:vAlign w:val="center"/>
            <w:hideMark/>
          </w:tcPr>
          <w:p w14:paraId="410DD82B"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dlouhé, teplé, suché</w:t>
            </w:r>
          </w:p>
        </w:tc>
        <w:tc>
          <w:tcPr>
            <w:tcW w:w="2689" w:type="dxa"/>
            <w:tcBorders>
              <w:top w:val="single" w:sz="12" w:space="0" w:color="auto"/>
              <w:left w:val="single" w:sz="4" w:space="0" w:color="auto"/>
              <w:bottom w:val="nil"/>
              <w:right w:val="single" w:sz="4" w:space="0" w:color="auto"/>
            </w:tcBorders>
            <w:vAlign w:val="center"/>
            <w:hideMark/>
          </w:tcPr>
          <w:p w14:paraId="4B2ABD9E"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Krátká, mírně teplá, suchá až velmi suchá</w:t>
            </w:r>
          </w:p>
        </w:tc>
        <w:tc>
          <w:tcPr>
            <w:tcW w:w="2654" w:type="dxa"/>
            <w:tcBorders>
              <w:top w:val="single" w:sz="12" w:space="0" w:color="auto"/>
              <w:left w:val="single" w:sz="4" w:space="0" w:color="auto"/>
              <w:bottom w:val="nil"/>
              <w:right w:val="nil"/>
            </w:tcBorders>
            <w:vAlign w:val="center"/>
            <w:hideMark/>
          </w:tcPr>
          <w:p w14:paraId="41B921A0"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krátká s teplým až mírně teplým jarem a podzimem</w:t>
            </w:r>
          </w:p>
        </w:tc>
      </w:tr>
    </w:tbl>
    <w:p w14:paraId="57B8CD17" w14:textId="160E44D9" w:rsidR="00B646BB" w:rsidRPr="006070EA" w:rsidRDefault="00B646BB" w:rsidP="00B646BB">
      <w:pPr>
        <w:pStyle w:val="Atextkurzva"/>
        <w:keepNext/>
        <w:rPr>
          <w:rFonts w:asciiTheme="majorHAnsi" w:hAnsiTheme="majorHAnsi" w:cstheme="majorHAnsi"/>
          <w:color w:val="000000"/>
        </w:rPr>
      </w:pPr>
      <w:r w:rsidRPr="006070EA">
        <w:rPr>
          <w:rFonts w:asciiTheme="majorHAnsi" w:hAnsiTheme="majorHAnsi" w:cstheme="majorHAnsi"/>
          <w:color w:val="000000"/>
        </w:rPr>
        <w:t>Tab.</w:t>
      </w:r>
      <w:r w:rsidR="00265EF4" w:rsidRPr="006070EA">
        <w:rPr>
          <w:rFonts w:asciiTheme="majorHAnsi" w:hAnsiTheme="majorHAnsi" w:cstheme="majorHAnsi"/>
          <w:color w:val="000000"/>
        </w:rPr>
        <w:t>:</w:t>
      </w:r>
      <w:r w:rsidRPr="006070EA">
        <w:rPr>
          <w:rFonts w:asciiTheme="majorHAnsi" w:hAnsiTheme="majorHAnsi" w:cstheme="majorHAnsi"/>
          <w:color w:val="000000"/>
        </w:rPr>
        <w:t xml:space="preserve"> Přehled klimatických charakteristik pro řešené území</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2802"/>
        <w:gridCol w:w="2055"/>
      </w:tblGrid>
      <w:tr w:rsidR="00B646BB" w:rsidRPr="006070EA" w14:paraId="32584681" w14:textId="77777777" w:rsidTr="00B646BB">
        <w:trPr>
          <w:trHeight w:val="283"/>
          <w:jc w:val="center"/>
        </w:trPr>
        <w:tc>
          <w:tcPr>
            <w:tcW w:w="2802" w:type="dxa"/>
            <w:tcBorders>
              <w:top w:val="nil"/>
              <w:left w:val="nil"/>
              <w:bottom w:val="single" w:sz="12" w:space="0" w:color="auto"/>
              <w:right w:val="single" w:sz="12" w:space="0" w:color="auto"/>
            </w:tcBorders>
            <w:vAlign w:val="center"/>
            <w:hideMark/>
          </w:tcPr>
          <w:p w14:paraId="67A0BD66" w14:textId="77777777" w:rsidR="00B646BB" w:rsidRPr="006070EA" w:rsidRDefault="00B646BB" w:rsidP="000E35E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klimatická charakteristika</w:t>
            </w:r>
          </w:p>
        </w:tc>
        <w:tc>
          <w:tcPr>
            <w:tcW w:w="2055" w:type="dxa"/>
            <w:tcBorders>
              <w:top w:val="nil"/>
              <w:left w:val="single" w:sz="12" w:space="0" w:color="auto"/>
              <w:bottom w:val="single" w:sz="12" w:space="0" w:color="auto"/>
              <w:right w:val="nil"/>
            </w:tcBorders>
            <w:vAlign w:val="center"/>
            <w:hideMark/>
          </w:tcPr>
          <w:p w14:paraId="1C8EEE4A" w14:textId="77777777" w:rsidR="00B646BB" w:rsidRPr="006070EA" w:rsidRDefault="00B646BB" w:rsidP="000E35E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T2</w:t>
            </w:r>
          </w:p>
        </w:tc>
      </w:tr>
      <w:tr w:rsidR="00B646BB" w:rsidRPr="006070EA" w14:paraId="2E740E1A" w14:textId="77777777" w:rsidTr="00B646BB">
        <w:trPr>
          <w:trHeight w:val="283"/>
          <w:jc w:val="center"/>
        </w:trPr>
        <w:tc>
          <w:tcPr>
            <w:tcW w:w="2802" w:type="dxa"/>
            <w:tcBorders>
              <w:top w:val="single" w:sz="12" w:space="0" w:color="auto"/>
              <w:left w:val="nil"/>
              <w:bottom w:val="single" w:sz="4" w:space="0" w:color="auto"/>
              <w:right w:val="single" w:sz="4" w:space="0" w:color="auto"/>
            </w:tcBorders>
            <w:vAlign w:val="center"/>
            <w:hideMark/>
          </w:tcPr>
          <w:p w14:paraId="7F95907C"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počet letních dnů</w:t>
            </w:r>
          </w:p>
        </w:tc>
        <w:tc>
          <w:tcPr>
            <w:tcW w:w="2055" w:type="dxa"/>
            <w:tcBorders>
              <w:top w:val="single" w:sz="12" w:space="0" w:color="auto"/>
              <w:left w:val="single" w:sz="4" w:space="0" w:color="auto"/>
              <w:bottom w:val="single" w:sz="4" w:space="0" w:color="auto"/>
              <w:right w:val="nil"/>
            </w:tcBorders>
            <w:vAlign w:val="center"/>
          </w:tcPr>
          <w:p w14:paraId="27D4EC25"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szCs w:val="20"/>
                <w:shd w:val="clear" w:color="auto" w:fill="FFFFFF"/>
                <w:lang w:val="cs-CZ"/>
              </w:rPr>
              <w:t>50-60</w:t>
            </w:r>
          </w:p>
        </w:tc>
      </w:tr>
      <w:tr w:rsidR="00B646BB" w:rsidRPr="006070EA" w14:paraId="7A79EE18" w14:textId="77777777" w:rsidTr="00B646BB">
        <w:trPr>
          <w:trHeight w:val="283"/>
          <w:jc w:val="center"/>
        </w:trPr>
        <w:tc>
          <w:tcPr>
            <w:tcW w:w="2802" w:type="dxa"/>
            <w:tcBorders>
              <w:top w:val="single" w:sz="4" w:space="0" w:color="auto"/>
              <w:left w:val="nil"/>
              <w:bottom w:val="single" w:sz="4" w:space="0" w:color="auto"/>
              <w:right w:val="single" w:sz="4" w:space="0" w:color="auto"/>
            </w:tcBorders>
            <w:vAlign w:val="center"/>
            <w:hideMark/>
          </w:tcPr>
          <w:p w14:paraId="354DB9F0"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počet dnů s </w:t>
            </w:r>
            <w:proofErr w:type="gramStart"/>
            <w:r w:rsidRPr="006070EA">
              <w:rPr>
                <w:rFonts w:asciiTheme="majorHAnsi" w:hAnsiTheme="majorHAnsi" w:cstheme="majorHAnsi"/>
                <w:color w:val="000000"/>
                <w:lang w:val="cs-CZ"/>
              </w:rPr>
              <w:t>teplotou &gt;</w:t>
            </w:r>
            <w:proofErr w:type="gramEnd"/>
            <w:r w:rsidRPr="006070EA">
              <w:rPr>
                <w:rFonts w:asciiTheme="majorHAnsi" w:hAnsiTheme="majorHAnsi" w:cstheme="majorHAnsi"/>
                <w:color w:val="000000"/>
                <w:lang w:val="cs-CZ"/>
              </w:rPr>
              <w:t xml:space="preserve"> 10 °C</w:t>
            </w:r>
          </w:p>
        </w:tc>
        <w:tc>
          <w:tcPr>
            <w:tcW w:w="2055" w:type="dxa"/>
            <w:tcBorders>
              <w:top w:val="single" w:sz="4" w:space="0" w:color="auto"/>
              <w:left w:val="single" w:sz="4" w:space="0" w:color="auto"/>
              <w:bottom w:val="single" w:sz="4" w:space="0" w:color="auto"/>
              <w:right w:val="nil"/>
            </w:tcBorders>
            <w:vAlign w:val="center"/>
          </w:tcPr>
          <w:p w14:paraId="01E2F266" w14:textId="77777777" w:rsidR="00B646BB" w:rsidRPr="006070EA" w:rsidRDefault="00B646BB" w:rsidP="000E35EE">
            <w:pPr>
              <w:pStyle w:val="Bezmezer"/>
              <w:rPr>
                <w:rFonts w:asciiTheme="majorHAnsi" w:hAnsiTheme="majorHAnsi" w:cstheme="majorHAnsi"/>
                <w:color w:val="000000"/>
                <w:lang w:val="cs-CZ"/>
              </w:rPr>
            </w:pPr>
            <w:proofErr w:type="gramStart"/>
            <w:r w:rsidRPr="006070EA">
              <w:rPr>
                <w:rFonts w:asciiTheme="majorHAnsi" w:hAnsiTheme="majorHAnsi" w:cstheme="majorHAnsi"/>
                <w:color w:val="000000"/>
                <w:lang w:val="cs-CZ"/>
              </w:rPr>
              <w:t>160 - 170</w:t>
            </w:r>
            <w:proofErr w:type="gramEnd"/>
          </w:p>
        </w:tc>
      </w:tr>
      <w:tr w:rsidR="00B646BB" w:rsidRPr="006070EA" w14:paraId="294F1909" w14:textId="77777777" w:rsidTr="00B646BB">
        <w:trPr>
          <w:trHeight w:val="283"/>
          <w:jc w:val="center"/>
        </w:trPr>
        <w:tc>
          <w:tcPr>
            <w:tcW w:w="2802" w:type="dxa"/>
            <w:tcBorders>
              <w:top w:val="single" w:sz="4" w:space="0" w:color="auto"/>
              <w:left w:val="nil"/>
              <w:bottom w:val="single" w:sz="4" w:space="0" w:color="auto"/>
              <w:right w:val="single" w:sz="4" w:space="0" w:color="auto"/>
            </w:tcBorders>
            <w:vAlign w:val="center"/>
            <w:hideMark/>
          </w:tcPr>
          <w:p w14:paraId="32B01405"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počet mrazových dnů</w:t>
            </w:r>
          </w:p>
        </w:tc>
        <w:tc>
          <w:tcPr>
            <w:tcW w:w="2055" w:type="dxa"/>
            <w:tcBorders>
              <w:top w:val="single" w:sz="4" w:space="0" w:color="auto"/>
              <w:left w:val="single" w:sz="4" w:space="0" w:color="auto"/>
              <w:bottom w:val="single" w:sz="4" w:space="0" w:color="auto"/>
              <w:right w:val="nil"/>
            </w:tcBorders>
            <w:vAlign w:val="center"/>
          </w:tcPr>
          <w:p w14:paraId="27FCD39E" w14:textId="77777777" w:rsidR="00B646BB" w:rsidRPr="006070EA" w:rsidRDefault="00B646BB" w:rsidP="000E35EE">
            <w:pPr>
              <w:pStyle w:val="Bezmezer"/>
              <w:rPr>
                <w:rFonts w:asciiTheme="majorHAnsi" w:hAnsiTheme="majorHAnsi" w:cstheme="majorHAnsi"/>
                <w:color w:val="000000"/>
                <w:lang w:val="cs-CZ"/>
              </w:rPr>
            </w:pPr>
            <w:proofErr w:type="gramStart"/>
            <w:r w:rsidRPr="006070EA">
              <w:rPr>
                <w:rFonts w:asciiTheme="majorHAnsi" w:hAnsiTheme="majorHAnsi" w:cstheme="majorHAnsi"/>
                <w:color w:val="000000"/>
                <w:lang w:val="cs-CZ"/>
              </w:rPr>
              <w:t>100 - 110</w:t>
            </w:r>
            <w:proofErr w:type="gramEnd"/>
          </w:p>
        </w:tc>
      </w:tr>
      <w:tr w:rsidR="00B646BB" w:rsidRPr="006070EA" w14:paraId="53C32168" w14:textId="77777777" w:rsidTr="00B646BB">
        <w:trPr>
          <w:trHeight w:val="283"/>
          <w:jc w:val="center"/>
        </w:trPr>
        <w:tc>
          <w:tcPr>
            <w:tcW w:w="2802" w:type="dxa"/>
            <w:tcBorders>
              <w:top w:val="single" w:sz="4" w:space="0" w:color="auto"/>
              <w:left w:val="nil"/>
              <w:bottom w:val="single" w:sz="4" w:space="0" w:color="auto"/>
              <w:right w:val="single" w:sz="4" w:space="0" w:color="auto"/>
            </w:tcBorders>
            <w:vAlign w:val="center"/>
            <w:hideMark/>
          </w:tcPr>
          <w:p w14:paraId="5A80306E"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počet ledových dnů</w:t>
            </w:r>
          </w:p>
        </w:tc>
        <w:tc>
          <w:tcPr>
            <w:tcW w:w="2055" w:type="dxa"/>
            <w:tcBorders>
              <w:top w:val="single" w:sz="4" w:space="0" w:color="auto"/>
              <w:left w:val="single" w:sz="4" w:space="0" w:color="auto"/>
              <w:bottom w:val="single" w:sz="4" w:space="0" w:color="auto"/>
              <w:right w:val="nil"/>
            </w:tcBorders>
            <w:vAlign w:val="center"/>
          </w:tcPr>
          <w:p w14:paraId="02CED4B7" w14:textId="77777777" w:rsidR="00B646BB" w:rsidRPr="006070EA" w:rsidRDefault="00B646BB" w:rsidP="000E35EE">
            <w:pPr>
              <w:pStyle w:val="Bezmezer"/>
              <w:rPr>
                <w:rFonts w:asciiTheme="majorHAnsi" w:hAnsiTheme="majorHAnsi" w:cstheme="majorHAnsi"/>
                <w:color w:val="000000"/>
                <w:lang w:val="cs-CZ"/>
              </w:rPr>
            </w:pPr>
            <w:proofErr w:type="gramStart"/>
            <w:r w:rsidRPr="006070EA">
              <w:rPr>
                <w:rFonts w:asciiTheme="majorHAnsi" w:hAnsiTheme="majorHAnsi" w:cstheme="majorHAnsi"/>
                <w:color w:val="000000"/>
                <w:lang w:val="cs-CZ"/>
              </w:rPr>
              <w:t>30 - 40</w:t>
            </w:r>
            <w:proofErr w:type="gramEnd"/>
          </w:p>
        </w:tc>
      </w:tr>
      <w:tr w:rsidR="00B646BB" w:rsidRPr="006070EA" w14:paraId="1F5328F1" w14:textId="77777777" w:rsidTr="00B646BB">
        <w:trPr>
          <w:trHeight w:val="283"/>
          <w:jc w:val="center"/>
        </w:trPr>
        <w:tc>
          <w:tcPr>
            <w:tcW w:w="2802" w:type="dxa"/>
            <w:tcBorders>
              <w:top w:val="single" w:sz="4" w:space="0" w:color="auto"/>
              <w:left w:val="nil"/>
              <w:bottom w:val="single" w:sz="4" w:space="0" w:color="auto"/>
              <w:right w:val="single" w:sz="4" w:space="0" w:color="auto"/>
            </w:tcBorders>
            <w:vAlign w:val="center"/>
            <w:hideMark/>
          </w:tcPr>
          <w:p w14:paraId="7FE58412"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průměrná teplota v lednu</w:t>
            </w:r>
          </w:p>
        </w:tc>
        <w:tc>
          <w:tcPr>
            <w:tcW w:w="2055" w:type="dxa"/>
            <w:tcBorders>
              <w:top w:val="single" w:sz="4" w:space="0" w:color="auto"/>
              <w:left w:val="single" w:sz="4" w:space="0" w:color="auto"/>
              <w:bottom w:val="single" w:sz="4" w:space="0" w:color="auto"/>
              <w:right w:val="nil"/>
            </w:tcBorders>
            <w:vAlign w:val="center"/>
          </w:tcPr>
          <w:p w14:paraId="2308AFF6"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-2</w:t>
            </w:r>
          </w:p>
        </w:tc>
      </w:tr>
      <w:tr w:rsidR="00B646BB" w:rsidRPr="006070EA" w14:paraId="721AFC9B" w14:textId="77777777" w:rsidTr="00B646BB">
        <w:trPr>
          <w:trHeight w:val="283"/>
          <w:jc w:val="center"/>
        </w:trPr>
        <w:tc>
          <w:tcPr>
            <w:tcW w:w="2802" w:type="dxa"/>
            <w:tcBorders>
              <w:top w:val="single" w:sz="4" w:space="0" w:color="auto"/>
              <w:left w:val="nil"/>
              <w:bottom w:val="single" w:sz="4" w:space="0" w:color="auto"/>
              <w:right w:val="single" w:sz="4" w:space="0" w:color="auto"/>
            </w:tcBorders>
            <w:vAlign w:val="center"/>
            <w:hideMark/>
          </w:tcPr>
          <w:p w14:paraId="54565E58"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průměrná teplota v dubnu</w:t>
            </w:r>
          </w:p>
        </w:tc>
        <w:tc>
          <w:tcPr>
            <w:tcW w:w="2055" w:type="dxa"/>
            <w:tcBorders>
              <w:top w:val="single" w:sz="4" w:space="0" w:color="auto"/>
              <w:left w:val="single" w:sz="4" w:space="0" w:color="auto"/>
              <w:bottom w:val="single" w:sz="4" w:space="0" w:color="auto"/>
              <w:right w:val="nil"/>
            </w:tcBorders>
            <w:vAlign w:val="center"/>
          </w:tcPr>
          <w:p w14:paraId="106E4A09" w14:textId="77777777" w:rsidR="00B646BB" w:rsidRPr="006070EA" w:rsidRDefault="00B646BB" w:rsidP="000E35EE">
            <w:pPr>
              <w:pStyle w:val="Bezmezer"/>
              <w:rPr>
                <w:rFonts w:asciiTheme="majorHAnsi" w:hAnsiTheme="majorHAnsi" w:cstheme="majorHAnsi"/>
                <w:color w:val="000000"/>
                <w:lang w:val="cs-CZ"/>
              </w:rPr>
            </w:pPr>
            <w:proofErr w:type="gramStart"/>
            <w:r w:rsidRPr="006070EA">
              <w:rPr>
                <w:rFonts w:asciiTheme="majorHAnsi" w:hAnsiTheme="majorHAnsi" w:cstheme="majorHAnsi"/>
                <w:color w:val="000000"/>
                <w:lang w:val="cs-CZ"/>
              </w:rPr>
              <w:t>8 - 9</w:t>
            </w:r>
            <w:proofErr w:type="gramEnd"/>
          </w:p>
        </w:tc>
      </w:tr>
      <w:tr w:rsidR="00B646BB" w:rsidRPr="006070EA" w14:paraId="38CEF2B7" w14:textId="77777777" w:rsidTr="00B646BB">
        <w:trPr>
          <w:trHeight w:val="283"/>
          <w:jc w:val="center"/>
        </w:trPr>
        <w:tc>
          <w:tcPr>
            <w:tcW w:w="2802" w:type="dxa"/>
            <w:tcBorders>
              <w:top w:val="single" w:sz="4" w:space="0" w:color="auto"/>
              <w:left w:val="nil"/>
              <w:bottom w:val="single" w:sz="4" w:space="0" w:color="auto"/>
              <w:right w:val="single" w:sz="4" w:space="0" w:color="auto"/>
            </w:tcBorders>
            <w:vAlign w:val="center"/>
            <w:hideMark/>
          </w:tcPr>
          <w:p w14:paraId="1059AF23"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průměrná teplota v červenci</w:t>
            </w:r>
          </w:p>
        </w:tc>
        <w:tc>
          <w:tcPr>
            <w:tcW w:w="2055" w:type="dxa"/>
            <w:tcBorders>
              <w:top w:val="single" w:sz="4" w:space="0" w:color="auto"/>
              <w:left w:val="single" w:sz="4" w:space="0" w:color="auto"/>
              <w:bottom w:val="single" w:sz="4" w:space="0" w:color="auto"/>
              <w:right w:val="nil"/>
            </w:tcBorders>
            <w:vAlign w:val="center"/>
          </w:tcPr>
          <w:p w14:paraId="5BA089AF" w14:textId="77777777" w:rsidR="00B646BB" w:rsidRPr="006070EA" w:rsidRDefault="00B646BB" w:rsidP="000E35EE">
            <w:pPr>
              <w:pStyle w:val="Bezmezer"/>
              <w:rPr>
                <w:rFonts w:asciiTheme="majorHAnsi" w:hAnsiTheme="majorHAnsi" w:cstheme="majorHAnsi"/>
                <w:color w:val="000000"/>
                <w:lang w:val="cs-CZ"/>
              </w:rPr>
            </w:pPr>
            <w:proofErr w:type="gramStart"/>
            <w:r w:rsidRPr="006070EA">
              <w:rPr>
                <w:rFonts w:asciiTheme="majorHAnsi" w:hAnsiTheme="majorHAnsi" w:cstheme="majorHAnsi"/>
                <w:color w:val="000000"/>
                <w:lang w:val="cs-CZ"/>
              </w:rPr>
              <w:t>18 - 19</w:t>
            </w:r>
            <w:proofErr w:type="gramEnd"/>
          </w:p>
        </w:tc>
      </w:tr>
      <w:tr w:rsidR="00B646BB" w:rsidRPr="006070EA" w14:paraId="684A3CD7" w14:textId="77777777" w:rsidTr="00B646BB">
        <w:trPr>
          <w:trHeight w:val="283"/>
          <w:jc w:val="center"/>
        </w:trPr>
        <w:tc>
          <w:tcPr>
            <w:tcW w:w="2802" w:type="dxa"/>
            <w:tcBorders>
              <w:top w:val="single" w:sz="4" w:space="0" w:color="auto"/>
              <w:left w:val="nil"/>
              <w:bottom w:val="single" w:sz="4" w:space="0" w:color="auto"/>
              <w:right w:val="single" w:sz="4" w:space="0" w:color="auto"/>
            </w:tcBorders>
            <w:vAlign w:val="center"/>
            <w:hideMark/>
          </w:tcPr>
          <w:p w14:paraId="76421EC9"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průměrná teplota v říjnu</w:t>
            </w:r>
          </w:p>
        </w:tc>
        <w:tc>
          <w:tcPr>
            <w:tcW w:w="2055" w:type="dxa"/>
            <w:tcBorders>
              <w:top w:val="single" w:sz="4" w:space="0" w:color="auto"/>
              <w:left w:val="single" w:sz="4" w:space="0" w:color="auto"/>
              <w:bottom w:val="single" w:sz="4" w:space="0" w:color="auto"/>
              <w:right w:val="nil"/>
            </w:tcBorders>
            <w:vAlign w:val="center"/>
          </w:tcPr>
          <w:p w14:paraId="61A3E9B9" w14:textId="77777777" w:rsidR="00B646BB" w:rsidRPr="006070EA" w:rsidRDefault="00B646BB" w:rsidP="000E35EE">
            <w:pPr>
              <w:pStyle w:val="Bezmezer"/>
              <w:rPr>
                <w:rFonts w:asciiTheme="majorHAnsi" w:hAnsiTheme="majorHAnsi" w:cstheme="majorHAnsi"/>
                <w:color w:val="000000"/>
                <w:lang w:val="cs-CZ"/>
              </w:rPr>
            </w:pPr>
            <w:proofErr w:type="gramStart"/>
            <w:r w:rsidRPr="006070EA">
              <w:rPr>
                <w:rFonts w:asciiTheme="majorHAnsi" w:hAnsiTheme="majorHAnsi" w:cstheme="majorHAnsi"/>
                <w:color w:val="000000"/>
                <w:lang w:val="cs-CZ"/>
              </w:rPr>
              <w:t>7 - 9</w:t>
            </w:r>
            <w:proofErr w:type="gramEnd"/>
          </w:p>
        </w:tc>
      </w:tr>
      <w:tr w:rsidR="00B646BB" w:rsidRPr="006070EA" w14:paraId="7061C0D0" w14:textId="77777777" w:rsidTr="00B646BB">
        <w:trPr>
          <w:trHeight w:val="283"/>
          <w:jc w:val="center"/>
        </w:trPr>
        <w:tc>
          <w:tcPr>
            <w:tcW w:w="2802" w:type="dxa"/>
            <w:tcBorders>
              <w:top w:val="single" w:sz="4" w:space="0" w:color="auto"/>
              <w:left w:val="nil"/>
              <w:bottom w:val="single" w:sz="4" w:space="0" w:color="auto"/>
              <w:right w:val="single" w:sz="4" w:space="0" w:color="auto"/>
            </w:tcBorders>
            <w:vAlign w:val="center"/>
            <w:hideMark/>
          </w:tcPr>
          <w:p w14:paraId="030CEDC2"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počet dnů se srážkami ≥ 1 mm</w:t>
            </w:r>
          </w:p>
        </w:tc>
        <w:tc>
          <w:tcPr>
            <w:tcW w:w="2055" w:type="dxa"/>
            <w:tcBorders>
              <w:top w:val="single" w:sz="4" w:space="0" w:color="auto"/>
              <w:left w:val="single" w:sz="4" w:space="0" w:color="auto"/>
              <w:bottom w:val="single" w:sz="4" w:space="0" w:color="auto"/>
              <w:right w:val="nil"/>
            </w:tcBorders>
            <w:vAlign w:val="center"/>
          </w:tcPr>
          <w:p w14:paraId="2209E34D" w14:textId="77777777" w:rsidR="00B646BB" w:rsidRPr="006070EA" w:rsidRDefault="00B646BB" w:rsidP="000E35EE">
            <w:pPr>
              <w:pStyle w:val="Bezmezer"/>
              <w:rPr>
                <w:rFonts w:asciiTheme="majorHAnsi" w:hAnsiTheme="majorHAnsi" w:cstheme="majorHAnsi"/>
                <w:color w:val="000000"/>
                <w:lang w:val="cs-CZ"/>
              </w:rPr>
            </w:pPr>
            <w:proofErr w:type="gramStart"/>
            <w:r w:rsidRPr="006070EA">
              <w:rPr>
                <w:rFonts w:asciiTheme="majorHAnsi" w:hAnsiTheme="majorHAnsi" w:cstheme="majorHAnsi"/>
                <w:color w:val="000000"/>
                <w:lang w:val="cs-CZ"/>
              </w:rPr>
              <w:t>90 - 100</w:t>
            </w:r>
            <w:proofErr w:type="gramEnd"/>
          </w:p>
        </w:tc>
      </w:tr>
      <w:tr w:rsidR="00B646BB" w:rsidRPr="006070EA" w14:paraId="5A7F078D" w14:textId="77777777" w:rsidTr="00B646BB">
        <w:trPr>
          <w:trHeight w:val="283"/>
          <w:jc w:val="center"/>
        </w:trPr>
        <w:tc>
          <w:tcPr>
            <w:tcW w:w="2802" w:type="dxa"/>
            <w:tcBorders>
              <w:top w:val="single" w:sz="4" w:space="0" w:color="auto"/>
              <w:left w:val="nil"/>
              <w:bottom w:val="single" w:sz="4" w:space="0" w:color="auto"/>
              <w:right w:val="single" w:sz="4" w:space="0" w:color="auto"/>
            </w:tcBorders>
            <w:vAlign w:val="center"/>
            <w:hideMark/>
          </w:tcPr>
          <w:p w14:paraId="712ED31C"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úhrn srážek ve vegetačním období</w:t>
            </w:r>
          </w:p>
        </w:tc>
        <w:tc>
          <w:tcPr>
            <w:tcW w:w="2055" w:type="dxa"/>
            <w:tcBorders>
              <w:top w:val="single" w:sz="4" w:space="0" w:color="auto"/>
              <w:left w:val="single" w:sz="4" w:space="0" w:color="auto"/>
              <w:bottom w:val="single" w:sz="4" w:space="0" w:color="auto"/>
              <w:right w:val="nil"/>
            </w:tcBorders>
            <w:vAlign w:val="center"/>
          </w:tcPr>
          <w:p w14:paraId="2C65DA93" w14:textId="77777777" w:rsidR="00B646BB" w:rsidRPr="006070EA" w:rsidRDefault="00B646BB" w:rsidP="000E35EE">
            <w:pPr>
              <w:pStyle w:val="Bezmezer"/>
              <w:rPr>
                <w:rFonts w:asciiTheme="majorHAnsi" w:hAnsiTheme="majorHAnsi" w:cstheme="majorHAnsi"/>
                <w:color w:val="000000"/>
                <w:lang w:val="cs-CZ"/>
              </w:rPr>
            </w:pPr>
            <w:proofErr w:type="gramStart"/>
            <w:r w:rsidRPr="006070EA">
              <w:rPr>
                <w:rFonts w:asciiTheme="majorHAnsi" w:hAnsiTheme="majorHAnsi" w:cstheme="majorHAnsi"/>
                <w:color w:val="000000"/>
                <w:lang w:val="cs-CZ"/>
              </w:rPr>
              <w:t>350 - 400</w:t>
            </w:r>
            <w:proofErr w:type="gramEnd"/>
          </w:p>
        </w:tc>
      </w:tr>
      <w:tr w:rsidR="00B646BB" w:rsidRPr="006070EA" w14:paraId="234A2C2E" w14:textId="77777777" w:rsidTr="00B646BB">
        <w:trPr>
          <w:trHeight w:val="283"/>
          <w:jc w:val="center"/>
        </w:trPr>
        <w:tc>
          <w:tcPr>
            <w:tcW w:w="2802" w:type="dxa"/>
            <w:tcBorders>
              <w:top w:val="single" w:sz="4" w:space="0" w:color="auto"/>
              <w:left w:val="nil"/>
              <w:bottom w:val="single" w:sz="4" w:space="0" w:color="auto"/>
              <w:right w:val="single" w:sz="4" w:space="0" w:color="auto"/>
            </w:tcBorders>
            <w:vAlign w:val="center"/>
            <w:hideMark/>
          </w:tcPr>
          <w:p w14:paraId="5651975E"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úhrn srážek v zimním období</w:t>
            </w:r>
          </w:p>
        </w:tc>
        <w:tc>
          <w:tcPr>
            <w:tcW w:w="2055" w:type="dxa"/>
            <w:tcBorders>
              <w:top w:val="single" w:sz="4" w:space="0" w:color="auto"/>
              <w:left w:val="single" w:sz="4" w:space="0" w:color="auto"/>
              <w:bottom w:val="single" w:sz="4" w:space="0" w:color="auto"/>
              <w:right w:val="nil"/>
            </w:tcBorders>
            <w:vAlign w:val="center"/>
          </w:tcPr>
          <w:p w14:paraId="1328E79D" w14:textId="77777777" w:rsidR="00B646BB" w:rsidRPr="006070EA" w:rsidRDefault="00B646BB" w:rsidP="000E35EE">
            <w:pPr>
              <w:pStyle w:val="Bezmezer"/>
              <w:rPr>
                <w:rFonts w:asciiTheme="majorHAnsi" w:hAnsiTheme="majorHAnsi" w:cstheme="majorHAnsi"/>
                <w:color w:val="000000"/>
                <w:lang w:val="cs-CZ"/>
              </w:rPr>
            </w:pPr>
            <w:proofErr w:type="gramStart"/>
            <w:r w:rsidRPr="006070EA">
              <w:rPr>
                <w:rFonts w:asciiTheme="majorHAnsi" w:hAnsiTheme="majorHAnsi" w:cstheme="majorHAnsi"/>
                <w:color w:val="000000"/>
                <w:lang w:val="cs-CZ"/>
              </w:rPr>
              <w:t>200 - 300</w:t>
            </w:r>
            <w:proofErr w:type="gramEnd"/>
          </w:p>
        </w:tc>
      </w:tr>
      <w:tr w:rsidR="00B646BB" w:rsidRPr="006070EA" w14:paraId="286F315B" w14:textId="77777777" w:rsidTr="00B646BB">
        <w:trPr>
          <w:trHeight w:val="283"/>
          <w:jc w:val="center"/>
        </w:trPr>
        <w:tc>
          <w:tcPr>
            <w:tcW w:w="2802" w:type="dxa"/>
            <w:tcBorders>
              <w:top w:val="single" w:sz="4" w:space="0" w:color="auto"/>
              <w:left w:val="nil"/>
              <w:bottom w:val="single" w:sz="4" w:space="0" w:color="auto"/>
              <w:right w:val="single" w:sz="4" w:space="0" w:color="auto"/>
            </w:tcBorders>
            <w:vAlign w:val="center"/>
            <w:hideMark/>
          </w:tcPr>
          <w:p w14:paraId="6F8DB8C0"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počet dnů se sněhovou pokrývkou</w:t>
            </w:r>
          </w:p>
        </w:tc>
        <w:tc>
          <w:tcPr>
            <w:tcW w:w="2055" w:type="dxa"/>
            <w:tcBorders>
              <w:top w:val="single" w:sz="4" w:space="0" w:color="auto"/>
              <w:left w:val="single" w:sz="4" w:space="0" w:color="auto"/>
              <w:bottom w:val="single" w:sz="4" w:space="0" w:color="auto"/>
              <w:right w:val="nil"/>
            </w:tcBorders>
            <w:vAlign w:val="center"/>
          </w:tcPr>
          <w:p w14:paraId="2AF58800" w14:textId="77777777" w:rsidR="00B646BB" w:rsidRPr="006070EA" w:rsidRDefault="00B646BB" w:rsidP="000E35EE">
            <w:pPr>
              <w:pStyle w:val="Bezmezer"/>
              <w:rPr>
                <w:rFonts w:asciiTheme="majorHAnsi" w:hAnsiTheme="majorHAnsi" w:cstheme="majorHAnsi"/>
                <w:color w:val="000000"/>
                <w:lang w:val="cs-CZ"/>
              </w:rPr>
            </w:pPr>
            <w:proofErr w:type="gramStart"/>
            <w:r w:rsidRPr="006070EA">
              <w:rPr>
                <w:rFonts w:asciiTheme="majorHAnsi" w:hAnsiTheme="majorHAnsi" w:cstheme="majorHAnsi"/>
                <w:color w:val="000000"/>
                <w:lang w:val="cs-CZ"/>
              </w:rPr>
              <w:t>40 - 50</w:t>
            </w:r>
            <w:proofErr w:type="gramEnd"/>
          </w:p>
        </w:tc>
      </w:tr>
      <w:tr w:rsidR="00B646BB" w:rsidRPr="006070EA" w14:paraId="0E699032" w14:textId="77777777" w:rsidTr="00B646BB">
        <w:trPr>
          <w:trHeight w:val="283"/>
          <w:jc w:val="center"/>
        </w:trPr>
        <w:tc>
          <w:tcPr>
            <w:tcW w:w="2802" w:type="dxa"/>
            <w:tcBorders>
              <w:top w:val="single" w:sz="4" w:space="0" w:color="auto"/>
              <w:left w:val="nil"/>
              <w:bottom w:val="single" w:sz="4" w:space="0" w:color="auto"/>
              <w:right w:val="single" w:sz="4" w:space="0" w:color="auto"/>
            </w:tcBorders>
            <w:vAlign w:val="center"/>
            <w:hideMark/>
          </w:tcPr>
          <w:p w14:paraId="4CC5433B"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počet zamračených dnů</w:t>
            </w:r>
          </w:p>
        </w:tc>
        <w:tc>
          <w:tcPr>
            <w:tcW w:w="2055" w:type="dxa"/>
            <w:tcBorders>
              <w:top w:val="single" w:sz="4" w:space="0" w:color="auto"/>
              <w:left w:val="single" w:sz="4" w:space="0" w:color="auto"/>
              <w:bottom w:val="single" w:sz="4" w:space="0" w:color="auto"/>
              <w:right w:val="nil"/>
            </w:tcBorders>
            <w:vAlign w:val="center"/>
          </w:tcPr>
          <w:p w14:paraId="46B0F9BD" w14:textId="77777777" w:rsidR="00B646BB" w:rsidRPr="006070EA" w:rsidRDefault="00B646BB" w:rsidP="000E35EE">
            <w:pPr>
              <w:pStyle w:val="Bezmezer"/>
              <w:rPr>
                <w:rFonts w:asciiTheme="majorHAnsi" w:hAnsiTheme="majorHAnsi" w:cstheme="majorHAnsi"/>
                <w:color w:val="000000"/>
                <w:lang w:val="cs-CZ"/>
              </w:rPr>
            </w:pPr>
            <w:proofErr w:type="gramStart"/>
            <w:r w:rsidRPr="006070EA">
              <w:rPr>
                <w:rFonts w:asciiTheme="majorHAnsi" w:hAnsiTheme="majorHAnsi" w:cstheme="majorHAnsi"/>
                <w:color w:val="000000"/>
                <w:lang w:val="cs-CZ"/>
              </w:rPr>
              <w:t>120 - 140</w:t>
            </w:r>
            <w:proofErr w:type="gramEnd"/>
          </w:p>
        </w:tc>
      </w:tr>
      <w:tr w:rsidR="00B646BB" w:rsidRPr="006070EA" w14:paraId="470D0443" w14:textId="77777777" w:rsidTr="00B646BB">
        <w:trPr>
          <w:trHeight w:val="283"/>
          <w:jc w:val="center"/>
        </w:trPr>
        <w:tc>
          <w:tcPr>
            <w:tcW w:w="2802" w:type="dxa"/>
            <w:tcBorders>
              <w:top w:val="single" w:sz="4" w:space="0" w:color="auto"/>
              <w:left w:val="nil"/>
              <w:bottom w:val="nil"/>
              <w:right w:val="single" w:sz="4" w:space="0" w:color="auto"/>
            </w:tcBorders>
            <w:vAlign w:val="center"/>
            <w:hideMark/>
          </w:tcPr>
          <w:p w14:paraId="02CD7B0D" w14:textId="77777777" w:rsidR="00B646BB" w:rsidRPr="006070EA" w:rsidRDefault="00B646BB" w:rsidP="000E35EE">
            <w:pPr>
              <w:pStyle w:val="Bezmezer"/>
              <w:rPr>
                <w:rFonts w:asciiTheme="majorHAnsi" w:hAnsiTheme="majorHAnsi" w:cstheme="majorHAnsi"/>
                <w:color w:val="000000"/>
                <w:lang w:val="cs-CZ"/>
              </w:rPr>
            </w:pPr>
            <w:r w:rsidRPr="006070EA">
              <w:rPr>
                <w:rFonts w:asciiTheme="majorHAnsi" w:hAnsiTheme="majorHAnsi" w:cstheme="majorHAnsi"/>
                <w:color w:val="000000"/>
                <w:lang w:val="cs-CZ"/>
              </w:rPr>
              <w:t>počet jasných dnů</w:t>
            </w:r>
          </w:p>
        </w:tc>
        <w:tc>
          <w:tcPr>
            <w:tcW w:w="2055" w:type="dxa"/>
            <w:tcBorders>
              <w:top w:val="single" w:sz="4" w:space="0" w:color="auto"/>
              <w:left w:val="single" w:sz="4" w:space="0" w:color="auto"/>
              <w:bottom w:val="nil"/>
              <w:right w:val="nil"/>
            </w:tcBorders>
            <w:vAlign w:val="center"/>
          </w:tcPr>
          <w:p w14:paraId="1FF64DA2" w14:textId="77777777" w:rsidR="00B646BB" w:rsidRPr="006070EA" w:rsidRDefault="00B646BB" w:rsidP="000E35EE">
            <w:pPr>
              <w:pStyle w:val="Bezmezer"/>
              <w:rPr>
                <w:rFonts w:asciiTheme="majorHAnsi" w:hAnsiTheme="majorHAnsi" w:cstheme="majorHAnsi"/>
                <w:color w:val="000000"/>
                <w:lang w:val="cs-CZ"/>
              </w:rPr>
            </w:pPr>
            <w:proofErr w:type="gramStart"/>
            <w:r w:rsidRPr="006070EA">
              <w:rPr>
                <w:rFonts w:asciiTheme="majorHAnsi" w:hAnsiTheme="majorHAnsi" w:cstheme="majorHAnsi"/>
                <w:color w:val="000000"/>
                <w:lang w:val="cs-CZ"/>
              </w:rPr>
              <w:t>40 - 50</w:t>
            </w:r>
            <w:proofErr w:type="gramEnd"/>
          </w:p>
        </w:tc>
      </w:tr>
    </w:tbl>
    <w:p w14:paraId="26FD21FF" w14:textId="77777777" w:rsidR="00AB1F4C" w:rsidRPr="006070EA" w:rsidRDefault="00AB1F4C" w:rsidP="009E07E1">
      <w:pPr>
        <w:keepNext/>
        <w:spacing w:before="120" w:after="120" w:line="240" w:lineRule="auto"/>
        <w:rPr>
          <w:rFonts w:asciiTheme="majorHAnsi" w:hAnsiTheme="majorHAnsi" w:cstheme="majorHAnsi"/>
          <w:b/>
          <w:sz w:val="18"/>
        </w:rPr>
      </w:pPr>
      <w:r w:rsidRPr="006070EA">
        <w:rPr>
          <w:rFonts w:asciiTheme="majorHAnsi" w:hAnsiTheme="majorHAnsi" w:cstheme="majorHAnsi"/>
          <w:b/>
          <w:sz w:val="18"/>
        </w:rPr>
        <w:t>Geologické, geomorfologické a pedologické podmínky</w:t>
      </w:r>
    </w:p>
    <w:p w14:paraId="77B798D7" w14:textId="44DBD447" w:rsidR="0024056D" w:rsidRPr="006070EA" w:rsidRDefault="0024056D" w:rsidP="0024056D">
      <w:pPr>
        <w:pStyle w:val="Atext"/>
        <w:rPr>
          <w:rFonts w:asciiTheme="majorHAnsi" w:hAnsiTheme="majorHAnsi" w:cstheme="majorHAnsi"/>
          <w:szCs w:val="18"/>
        </w:rPr>
      </w:pPr>
      <w:r w:rsidRPr="006070EA">
        <w:rPr>
          <w:rFonts w:asciiTheme="majorHAnsi" w:hAnsiTheme="majorHAnsi" w:cstheme="majorHAnsi"/>
          <w:szCs w:val="18"/>
        </w:rPr>
        <w:t>Dle Zeměpisného lexikonu ČR – Hory a nížiny (Jaromír Demek a kol.) leží řešené území v provincii Česká vysočina (Český masiv),</w:t>
      </w:r>
      <w:r w:rsidR="00265EF4" w:rsidRPr="006070EA">
        <w:rPr>
          <w:rFonts w:asciiTheme="majorHAnsi" w:hAnsiTheme="majorHAnsi" w:cstheme="majorHAnsi"/>
          <w:szCs w:val="18"/>
        </w:rPr>
        <w:t xml:space="preserve"> v</w:t>
      </w:r>
      <w:r w:rsidRPr="006070EA">
        <w:rPr>
          <w:rFonts w:asciiTheme="majorHAnsi" w:hAnsiTheme="majorHAnsi" w:cstheme="majorHAnsi"/>
          <w:szCs w:val="18"/>
        </w:rPr>
        <w:t xml:space="preserve"> subprovincii Česká Tabule.</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1401"/>
        <w:gridCol w:w="6787"/>
      </w:tblGrid>
      <w:tr w:rsidR="0024056D" w:rsidRPr="006070EA" w14:paraId="0D50195E" w14:textId="77777777" w:rsidTr="000E35EE">
        <w:trPr>
          <w:trHeight w:val="283"/>
          <w:jc w:val="center"/>
        </w:trPr>
        <w:tc>
          <w:tcPr>
            <w:tcW w:w="1401" w:type="dxa"/>
            <w:tcBorders>
              <w:top w:val="nil"/>
              <w:left w:val="nil"/>
              <w:bottom w:val="single" w:sz="12" w:space="0" w:color="auto"/>
              <w:right w:val="single" w:sz="12" w:space="0" w:color="auto"/>
            </w:tcBorders>
            <w:vAlign w:val="center"/>
            <w:hideMark/>
          </w:tcPr>
          <w:p w14:paraId="596F5675"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systém</w:t>
            </w:r>
          </w:p>
        </w:tc>
        <w:tc>
          <w:tcPr>
            <w:tcW w:w="6787" w:type="dxa"/>
            <w:tcBorders>
              <w:top w:val="nil"/>
              <w:left w:val="single" w:sz="12" w:space="0" w:color="auto"/>
              <w:bottom w:val="single" w:sz="4" w:space="0" w:color="auto"/>
              <w:right w:val="nil"/>
            </w:tcBorders>
            <w:vAlign w:val="center"/>
            <w:hideMark/>
          </w:tcPr>
          <w:p w14:paraId="1F54A524"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Hercynský</w:t>
            </w:r>
          </w:p>
        </w:tc>
      </w:tr>
      <w:tr w:rsidR="0024056D" w:rsidRPr="006070EA" w14:paraId="60247628" w14:textId="77777777" w:rsidTr="000E35EE">
        <w:trPr>
          <w:trHeight w:val="283"/>
          <w:jc w:val="center"/>
        </w:trPr>
        <w:tc>
          <w:tcPr>
            <w:tcW w:w="1401" w:type="dxa"/>
            <w:tcBorders>
              <w:top w:val="single" w:sz="12" w:space="0" w:color="auto"/>
              <w:left w:val="nil"/>
              <w:bottom w:val="single" w:sz="12" w:space="0" w:color="auto"/>
              <w:right w:val="single" w:sz="12" w:space="0" w:color="auto"/>
            </w:tcBorders>
            <w:vAlign w:val="center"/>
            <w:hideMark/>
          </w:tcPr>
          <w:p w14:paraId="54E9E2F8"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subsystém</w:t>
            </w:r>
          </w:p>
        </w:tc>
        <w:tc>
          <w:tcPr>
            <w:tcW w:w="6787" w:type="dxa"/>
            <w:tcBorders>
              <w:top w:val="single" w:sz="4" w:space="0" w:color="auto"/>
              <w:left w:val="single" w:sz="12" w:space="0" w:color="auto"/>
              <w:bottom w:val="single" w:sz="4" w:space="0" w:color="auto"/>
              <w:right w:val="nil"/>
            </w:tcBorders>
            <w:vAlign w:val="center"/>
            <w:hideMark/>
          </w:tcPr>
          <w:p w14:paraId="2BB52A4C"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Hercynská pohoří</w:t>
            </w:r>
          </w:p>
        </w:tc>
      </w:tr>
      <w:tr w:rsidR="0024056D" w:rsidRPr="006070EA" w14:paraId="1147B7C8" w14:textId="77777777" w:rsidTr="000E35EE">
        <w:trPr>
          <w:trHeight w:val="283"/>
          <w:jc w:val="center"/>
        </w:trPr>
        <w:tc>
          <w:tcPr>
            <w:tcW w:w="1401" w:type="dxa"/>
            <w:tcBorders>
              <w:top w:val="single" w:sz="12" w:space="0" w:color="auto"/>
              <w:left w:val="nil"/>
              <w:bottom w:val="single" w:sz="12" w:space="0" w:color="auto"/>
              <w:right w:val="single" w:sz="12" w:space="0" w:color="auto"/>
            </w:tcBorders>
            <w:vAlign w:val="center"/>
            <w:hideMark/>
          </w:tcPr>
          <w:p w14:paraId="71D5C07C"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provincie</w:t>
            </w:r>
          </w:p>
        </w:tc>
        <w:tc>
          <w:tcPr>
            <w:tcW w:w="6787" w:type="dxa"/>
            <w:tcBorders>
              <w:top w:val="single" w:sz="4" w:space="0" w:color="auto"/>
              <w:left w:val="single" w:sz="12" w:space="0" w:color="auto"/>
              <w:bottom w:val="single" w:sz="4" w:space="0" w:color="auto"/>
              <w:right w:val="nil"/>
            </w:tcBorders>
            <w:vAlign w:val="center"/>
            <w:hideMark/>
          </w:tcPr>
          <w:p w14:paraId="30463ABA"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Česká vysočina</w:t>
            </w:r>
          </w:p>
        </w:tc>
      </w:tr>
      <w:tr w:rsidR="0024056D" w:rsidRPr="006070EA" w14:paraId="76EF2786" w14:textId="77777777" w:rsidTr="000E35EE">
        <w:trPr>
          <w:trHeight w:val="283"/>
          <w:jc w:val="center"/>
        </w:trPr>
        <w:tc>
          <w:tcPr>
            <w:tcW w:w="1401" w:type="dxa"/>
            <w:tcBorders>
              <w:top w:val="single" w:sz="12" w:space="0" w:color="auto"/>
              <w:left w:val="nil"/>
              <w:bottom w:val="single" w:sz="12" w:space="0" w:color="auto"/>
              <w:right w:val="single" w:sz="12" w:space="0" w:color="auto"/>
            </w:tcBorders>
            <w:vAlign w:val="center"/>
            <w:hideMark/>
          </w:tcPr>
          <w:p w14:paraId="07622EB4"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subprovincie</w:t>
            </w:r>
          </w:p>
        </w:tc>
        <w:tc>
          <w:tcPr>
            <w:tcW w:w="6787" w:type="dxa"/>
            <w:tcBorders>
              <w:top w:val="single" w:sz="4" w:space="0" w:color="auto"/>
              <w:left w:val="single" w:sz="12" w:space="0" w:color="auto"/>
              <w:bottom w:val="single" w:sz="4" w:space="0" w:color="auto"/>
              <w:right w:val="nil"/>
            </w:tcBorders>
            <w:vAlign w:val="center"/>
            <w:hideMark/>
          </w:tcPr>
          <w:p w14:paraId="5CA667F6" w14:textId="77777777" w:rsidR="0024056D" w:rsidRPr="006070EA" w:rsidRDefault="0024056D" w:rsidP="000E35EE">
            <w:pPr>
              <w:pStyle w:val="Bezmezer"/>
              <w:rPr>
                <w:rFonts w:asciiTheme="majorHAnsi" w:hAnsiTheme="majorHAnsi" w:cstheme="majorHAnsi"/>
                <w:bCs/>
                <w:color w:val="000000"/>
                <w:szCs w:val="18"/>
                <w:lang w:val="cs-CZ"/>
              </w:rPr>
            </w:pPr>
            <w:proofErr w:type="gramStart"/>
            <w:r w:rsidRPr="006070EA">
              <w:rPr>
                <w:rFonts w:asciiTheme="majorHAnsi" w:hAnsiTheme="majorHAnsi" w:cstheme="majorHAnsi"/>
                <w:bCs/>
                <w:color w:val="000000"/>
                <w:szCs w:val="18"/>
                <w:lang w:val="cs-CZ"/>
              </w:rPr>
              <w:t>VI - Česká</w:t>
            </w:r>
            <w:proofErr w:type="gramEnd"/>
            <w:r w:rsidRPr="006070EA">
              <w:rPr>
                <w:rFonts w:asciiTheme="majorHAnsi" w:hAnsiTheme="majorHAnsi" w:cstheme="majorHAnsi"/>
                <w:bCs/>
                <w:color w:val="000000"/>
                <w:szCs w:val="18"/>
                <w:lang w:val="cs-CZ"/>
              </w:rPr>
              <w:t xml:space="preserve"> tabule</w:t>
            </w:r>
          </w:p>
        </w:tc>
      </w:tr>
      <w:tr w:rsidR="0024056D" w:rsidRPr="006070EA" w14:paraId="136E6CE8" w14:textId="77777777" w:rsidTr="000E35EE">
        <w:trPr>
          <w:trHeight w:val="283"/>
          <w:jc w:val="center"/>
        </w:trPr>
        <w:tc>
          <w:tcPr>
            <w:tcW w:w="1401" w:type="dxa"/>
            <w:tcBorders>
              <w:top w:val="single" w:sz="12" w:space="0" w:color="auto"/>
              <w:left w:val="nil"/>
              <w:bottom w:val="single" w:sz="12" w:space="0" w:color="auto"/>
              <w:right w:val="single" w:sz="12" w:space="0" w:color="auto"/>
            </w:tcBorders>
            <w:vAlign w:val="center"/>
            <w:hideMark/>
          </w:tcPr>
          <w:p w14:paraId="4FCC33BE"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oblast</w:t>
            </w:r>
          </w:p>
        </w:tc>
        <w:tc>
          <w:tcPr>
            <w:tcW w:w="6787" w:type="dxa"/>
            <w:tcBorders>
              <w:top w:val="single" w:sz="4" w:space="0" w:color="auto"/>
              <w:left w:val="single" w:sz="12" w:space="0" w:color="auto"/>
              <w:bottom w:val="single" w:sz="4" w:space="0" w:color="auto"/>
              <w:right w:val="nil"/>
            </w:tcBorders>
            <w:vAlign w:val="center"/>
            <w:hideMark/>
          </w:tcPr>
          <w:p w14:paraId="67E9E7CC"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VIB – Středočeská tabule</w:t>
            </w:r>
          </w:p>
        </w:tc>
      </w:tr>
      <w:tr w:rsidR="0024056D" w:rsidRPr="006070EA" w14:paraId="185B8F34" w14:textId="77777777" w:rsidTr="000E35EE">
        <w:trPr>
          <w:trHeight w:val="283"/>
          <w:jc w:val="center"/>
        </w:trPr>
        <w:tc>
          <w:tcPr>
            <w:tcW w:w="1401" w:type="dxa"/>
            <w:tcBorders>
              <w:top w:val="single" w:sz="12" w:space="0" w:color="auto"/>
              <w:left w:val="nil"/>
              <w:bottom w:val="single" w:sz="12" w:space="0" w:color="auto"/>
              <w:right w:val="single" w:sz="12" w:space="0" w:color="auto"/>
            </w:tcBorders>
            <w:vAlign w:val="center"/>
            <w:hideMark/>
          </w:tcPr>
          <w:p w14:paraId="0E54B40F"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celek</w:t>
            </w:r>
          </w:p>
        </w:tc>
        <w:tc>
          <w:tcPr>
            <w:tcW w:w="6787" w:type="dxa"/>
            <w:tcBorders>
              <w:top w:val="single" w:sz="4" w:space="0" w:color="auto"/>
              <w:left w:val="single" w:sz="12" w:space="0" w:color="auto"/>
              <w:bottom w:val="single" w:sz="4" w:space="0" w:color="auto"/>
              <w:right w:val="nil"/>
            </w:tcBorders>
            <w:vAlign w:val="center"/>
          </w:tcPr>
          <w:p w14:paraId="3FE391C2" w14:textId="406B895A" w:rsidR="0024056D" w:rsidRPr="006070EA" w:rsidRDefault="0024056D" w:rsidP="000E35EE">
            <w:pPr>
              <w:pStyle w:val="Bezmezer"/>
              <w:rPr>
                <w:rFonts w:asciiTheme="majorHAnsi" w:hAnsiTheme="majorHAnsi" w:cstheme="majorHAnsi"/>
                <w:bCs/>
                <w:i/>
                <w:color w:val="000000"/>
                <w:szCs w:val="18"/>
                <w:lang w:val="cs-CZ"/>
              </w:rPr>
            </w:pPr>
            <w:r w:rsidRPr="006070EA">
              <w:rPr>
                <w:rFonts w:asciiTheme="majorHAnsi" w:hAnsiTheme="majorHAnsi" w:cstheme="majorHAnsi"/>
                <w:bCs/>
                <w:color w:val="000000"/>
                <w:szCs w:val="18"/>
                <w:lang w:val="cs-CZ"/>
              </w:rPr>
              <w:t>VIB – 3 – Středolabská tabule</w:t>
            </w:r>
          </w:p>
        </w:tc>
      </w:tr>
      <w:tr w:rsidR="0024056D" w:rsidRPr="006070EA" w14:paraId="499A7E03" w14:textId="77777777" w:rsidTr="000E35EE">
        <w:trPr>
          <w:trHeight w:val="283"/>
          <w:jc w:val="center"/>
        </w:trPr>
        <w:tc>
          <w:tcPr>
            <w:tcW w:w="1401" w:type="dxa"/>
            <w:tcBorders>
              <w:top w:val="single" w:sz="12" w:space="0" w:color="auto"/>
              <w:left w:val="nil"/>
              <w:bottom w:val="single" w:sz="12" w:space="0" w:color="auto"/>
              <w:right w:val="single" w:sz="12" w:space="0" w:color="auto"/>
            </w:tcBorders>
            <w:vAlign w:val="center"/>
            <w:hideMark/>
          </w:tcPr>
          <w:p w14:paraId="0B917B8F"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podcelek</w:t>
            </w:r>
          </w:p>
        </w:tc>
        <w:tc>
          <w:tcPr>
            <w:tcW w:w="6787" w:type="dxa"/>
            <w:tcBorders>
              <w:top w:val="single" w:sz="4" w:space="0" w:color="auto"/>
              <w:left w:val="single" w:sz="12" w:space="0" w:color="auto"/>
              <w:bottom w:val="single" w:sz="4" w:space="0" w:color="auto"/>
              <w:right w:val="nil"/>
            </w:tcBorders>
            <w:vAlign w:val="center"/>
          </w:tcPr>
          <w:p w14:paraId="4C4336CF" w14:textId="78810833"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 xml:space="preserve">VIB – </w:t>
            </w:r>
            <w:proofErr w:type="gramStart"/>
            <w:r w:rsidRPr="006070EA">
              <w:rPr>
                <w:rFonts w:asciiTheme="majorHAnsi" w:hAnsiTheme="majorHAnsi" w:cstheme="majorHAnsi"/>
                <w:bCs/>
                <w:color w:val="000000"/>
                <w:szCs w:val="18"/>
                <w:lang w:val="cs-CZ"/>
              </w:rPr>
              <w:t>3A</w:t>
            </w:r>
            <w:proofErr w:type="gramEnd"/>
            <w:r w:rsidRPr="006070EA">
              <w:rPr>
                <w:rFonts w:asciiTheme="majorHAnsi" w:hAnsiTheme="majorHAnsi" w:cstheme="majorHAnsi"/>
                <w:bCs/>
                <w:color w:val="000000"/>
                <w:szCs w:val="18"/>
                <w:lang w:val="cs-CZ"/>
              </w:rPr>
              <w:t xml:space="preserve"> – Nymburská kotlina</w:t>
            </w:r>
          </w:p>
        </w:tc>
      </w:tr>
      <w:tr w:rsidR="0024056D" w:rsidRPr="006070EA" w14:paraId="4C2E59A9" w14:textId="77777777" w:rsidTr="000E35EE">
        <w:trPr>
          <w:trHeight w:val="283"/>
          <w:jc w:val="center"/>
        </w:trPr>
        <w:tc>
          <w:tcPr>
            <w:tcW w:w="1401" w:type="dxa"/>
            <w:tcBorders>
              <w:top w:val="single" w:sz="12" w:space="0" w:color="auto"/>
              <w:left w:val="nil"/>
              <w:bottom w:val="nil"/>
              <w:right w:val="single" w:sz="12" w:space="0" w:color="auto"/>
            </w:tcBorders>
            <w:vAlign w:val="center"/>
            <w:hideMark/>
          </w:tcPr>
          <w:p w14:paraId="46E118A0"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okrsky</w:t>
            </w:r>
          </w:p>
        </w:tc>
        <w:tc>
          <w:tcPr>
            <w:tcW w:w="6787" w:type="dxa"/>
            <w:tcBorders>
              <w:top w:val="single" w:sz="4" w:space="0" w:color="auto"/>
              <w:left w:val="single" w:sz="12" w:space="0" w:color="auto"/>
              <w:bottom w:val="nil"/>
              <w:right w:val="nil"/>
            </w:tcBorders>
            <w:vAlign w:val="center"/>
          </w:tcPr>
          <w:p w14:paraId="447A7C4E"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VIB – 3A – 2 - Milovická kotlina</w:t>
            </w:r>
          </w:p>
          <w:p w14:paraId="29FF8F6F" w14:textId="77777777" w:rsidR="0024056D" w:rsidRPr="006070EA" w:rsidRDefault="0024056D" w:rsidP="000E35EE">
            <w:pPr>
              <w:pStyle w:val="Bezmezer"/>
              <w:rPr>
                <w:rFonts w:asciiTheme="majorHAnsi" w:hAnsiTheme="majorHAnsi" w:cstheme="majorHAnsi"/>
                <w:bCs/>
                <w:color w:val="000000"/>
                <w:szCs w:val="18"/>
                <w:lang w:val="cs-CZ"/>
              </w:rPr>
            </w:pPr>
            <w:r w:rsidRPr="006070EA">
              <w:rPr>
                <w:rFonts w:asciiTheme="majorHAnsi" w:hAnsiTheme="majorHAnsi" w:cstheme="majorHAnsi"/>
                <w:bCs/>
                <w:color w:val="000000"/>
                <w:szCs w:val="18"/>
                <w:lang w:val="cs-CZ"/>
              </w:rPr>
              <w:t>VIB – 3A – 5 – Středolabská niva</w:t>
            </w:r>
          </w:p>
        </w:tc>
      </w:tr>
    </w:tbl>
    <w:p w14:paraId="0FC1203C" w14:textId="0E80971D" w:rsidR="0024056D" w:rsidRPr="006070EA" w:rsidRDefault="00294610" w:rsidP="0024056D">
      <w:pPr>
        <w:pStyle w:val="Atext"/>
        <w:rPr>
          <w:rFonts w:asciiTheme="majorHAnsi" w:hAnsiTheme="majorHAnsi" w:cstheme="majorHAnsi"/>
          <w:color w:val="000000"/>
          <w:szCs w:val="18"/>
        </w:rPr>
      </w:pPr>
      <w:r w:rsidRPr="006070EA">
        <w:rPr>
          <w:rFonts w:asciiTheme="majorHAnsi" w:hAnsiTheme="majorHAnsi" w:cstheme="majorHAnsi"/>
          <w:color w:val="000000"/>
          <w:szCs w:val="18"/>
        </w:rPr>
        <w:t>S</w:t>
      </w:r>
      <w:r w:rsidR="0024056D" w:rsidRPr="006070EA">
        <w:rPr>
          <w:rFonts w:asciiTheme="majorHAnsi" w:hAnsiTheme="majorHAnsi" w:cstheme="majorHAnsi"/>
          <w:color w:val="000000"/>
          <w:szCs w:val="18"/>
        </w:rPr>
        <w:t xml:space="preserve">kladba </w:t>
      </w:r>
      <w:r w:rsidRPr="006070EA">
        <w:rPr>
          <w:rFonts w:asciiTheme="majorHAnsi" w:hAnsiTheme="majorHAnsi" w:cstheme="majorHAnsi"/>
          <w:color w:val="000000"/>
          <w:szCs w:val="18"/>
        </w:rPr>
        <w:t xml:space="preserve">hornin v </w:t>
      </w:r>
      <w:r w:rsidR="0024056D" w:rsidRPr="006070EA">
        <w:rPr>
          <w:rFonts w:asciiTheme="majorHAnsi" w:hAnsiTheme="majorHAnsi" w:cstheme="majorHAnsi"/>
          <w:color w:val="000000"/>
          <w:szCs w:val="18"/>
        </w:rPr>
        <w:t>oblasti je poměrně jednoduchá, výhradně tvořena mladšími nezvrásněnými sedimenty. Podloží tvoří mocné souvrství opuk (slínitých pískovců) a slínovců; vystupuje z roviny ve formě dvou protáhlých hřbetů, Cecemínského a</w:t>
      </w:r>
      <w:r w:rsidR="00433C39" w:rsidRPr="006070EA">
        <w:rPr>
          <w:rFonts w:asciiTheme="majorHAnsi" w:hAnsiTheme="majorHAnsi" w:cstheme="majorHAnsi"/>
          <w:color w:val="000000"/>
          <w:szCs w:val="18"/>
        </w:rPr>
        <w:t> </w:t>
      </w:r>
      <w:r w:rsidR="0024056D" w:rsidRPr="006070EA">
        <w:rPr>
          <w:rFonts w:asciiTheme="majorHAnsi" w:hAnsiTheme="majorHAnsi" w:cstheme="majorHAnsi"/>
          <w:color w:val="000000"/>
          <w:szCs w:val="18"/>
        </w:rPr>
        <w:t>Turbovického, na jehož severozápadním konci stojí historické jádro města Mělník. Tvoří i několik menších, ale poměrně výrazných pahorků (Dřínovský vrch, Přerovská a Semická hůra, Chotuc u Křince, Oškobrh) a plošiny v Nymburské kotlině. Třetinu plochy oblasti však pokrývají kyselé pleistocénní štěrkopískové terasy Labe a jeho přítoků. Pro jejich vysýchavost a neúrodnost jsou zpravidla zalesněny bory. Podél Labe a přítoků 87 se táhne 1-2,5 km široká niva Labe, tvořená převážně vápnitými živnými písčitými hlínami. Na Vltavě před jejím ústím do Labe šířka nivy dosahuje 3,5 – 4,5 km. Pouze v</w:t>
      </w:r>
      <w:r w:rsidRPr="006070EA">
        <w:rPr>
          <w:rFonts w:asciiTheme="majorHAnsi" w:hAnsiTheme="majorHAnsi" w:cstheme="majorHAnsi"/>
          <w:color w:val="000000"/>
          <w:szCs w:val="18"/>
        </w:rPr>
        <w:t> </w:t>
      </w:r>
      <w:r w:rsidR="0024056D" w:rsidRPr="006070EA">
        <w:rPr>
          <w:rFonts w:asciiTheme="majorHAnsi" w:hAnsiTheme="majorHAnsi" w:cstheme="majorHAnsi"/>
          <w:color w:val="000000"/>
          <w:szCs w:val="18"/>
        </w:rPr>
        <w:t>depresích mimo dosah bývalých záplav se vyvinuly organozemní slatiny, jako velmi vzácný typ substrátu.</w:t>
      </w:r>
    </w:p>
    <w:p w14:paraId="5E838CA6" w14:textId="5EC4E7C0" w:rsidR="0024056D" w:rsidRPr="006070EA" w:rsidRDefault="0024056D" w:rsidP="0024056D">
      <w:pPr>
        <w:spacing w:after="60" w:line="240" w:lineRule="auto"/>
        <w:ind w:firstLine="709"/>
        <w:jc w:val="both"/>
        <w:rPr>
          <w:rFonts w:asciiTheme="majorHAnsi" w:hAnsiTheme="majorHAnsi" w:cstheme="majorHAnsi"/>
          <w:bCs/>
          <w:color w:val="FF0000"/>
          <w:sz w:val="18"/>
          <w:szCs w:val="18"/>
        </w:rPr>
      </w:pPr>
      <w:r w:rsidRPr="006070EA">
        <w:rPr>
          <w:rFonts w:asciiTheme="majorHAnsi" w:hAnsiTheme="majorHAnsi" w:cstheme="majorHAnsi"/>
          <w:bCs/>
          <w:color w:val="000000"/>
          <w:sz w:val="18"/>
          <w:szCs w:val="18"/>
        </w:rPr>
        <w:t>Celé území leží v geomorfologické subprovincii Česká tabule, která náleží do provincie Česká Vysočina. Součástí subprovincie Česká tabule je oblast Středočeská tabule.</w:t>
      </w:r>
    </w:p>
    <w:p w14:paraId="50C336A6" w14:textId="77777777" w:rsidR="00AB1F4C" w:rsidRPr="006070EA" w:rsidRDefault="00AB1F4C" w:rsidP="009E07E1">
      <w:pPr>
        <w:keepNext/>
        <w:spacing w:before="120" w:after="120" w:line="240" w:lineRule="auto"/>
        <w:rPr>
          <w:rFonts w:asciiTheme="majorHAnsi" w:hAnsiTheme="majorHAnsi" w:cstheme="majorHAnsi"/>
          <w:b/>
          <w:sz w:val="18"/>
        </w:rPr>
      </w:pPr>
      <w:r w:rsidRPr="006070EA">
        <w:rPr>
          <w:rFonts w:asciiTheme="majorHAnsi" w:hAnsiTheme="majorHAnsi" w:cstheme="majorHAnsi"/>
          <w:b/>
          <w:sz w:val="18"/>
        </w:rPr>
        <w:lastRenderedPageBreak/>
        <w:t>Hydrologické podmínky</w:t>
      </w:r>
    </w:p>
    <w:p w14:paraId="47CF19F8" w14:textId="05B160FE" w:rsidR="0024056D" w:rsidRPr="006070EA" w:rsidRDefault="0024056D" w:rsidP="0024056D">
      <w:pPr>
        <w:pStyle w:val="Atext"/>
        <w:rPr>
          <w:rFonts w:asciiTheme="majorHAnsi" w:hAnsiTheme="majorHAnsi" w:cstheme="majorHAnsi"/>
          <w:color w:val="000000"/>
        </w:rPr>
      </w:pPr>
      <w:r w:rsidRPr="006070EA">
        <w:rPr>
          <w:rFonts w:asciiTheme="majorHAnsi" w:hAnsiTheme="majorHAnsi" w:cstheme="majorHAnsi"/>
          <w:color w:val="000000"/>
        </w:rPr>
        <w:t>Z hlediska hydrogeologické rajonizace náleží řešené území do rajonu 4360 Labská křída v sedimentech svrchní křídy,</w:t>
      </w:r>
      <w:r w:rsidR="00294610" w:rsidRPr="006070EA">
        <w:rPr>
          <w:rFonts w:asciiTheme="majorHAnsi" w:hAnsiTheme="majorHAnsi" w:cstheme="majorHAnsi"/>
          <w:color w:val="000000"/>
        </w:rPr>
        <w:t xml:space="preserve"> </w:t>
      </w:r>
      <w:r w:rsidRPr="006070EA">
        <w:rPr>
          <w:rFonts w:asciiTheme="majorHAnsi" w:hAnsiTheme="majorHAnsi" w:cstheme="majorHAnsi"/>
          <w:color w:val="000000"/>
        </w:rPr>
        <w:t xml:space="preserve">povodí Labe, hlavního povodí Labe, a částečně do rajonu 1171 Kvartér Labe po Jizeru ve svrchní vrstvě, povodí Labe, hlavní povodí Labe a dále do rajonu 4710 Bazální křídový kolektor na Jizeře, povodí Labe, hlavní povodí Labe. </w:t>
      </w:r>
    </w:p>
    <w:p w14:paraId="6F2425AB" w14:textId="77777777" w:rsidR="0024056D" w:rsidRPr="006070EA" w:rsidRDefault="0024056D" w:rsidP="0024056D">
      <w:pPr>
        <w:pStyle w:val="Anadpispodtren"/>
        <w:rPr>
          <w:rFonts w:asciiTheme="majorHAnsi" w:hAnsiTheme="majorHAnsi" w:cstheme="majorHAnsi"/>
          <w:color w:val="000000"/>
        </w:rPr>
      </w:pPr>
      <w:r w:rsidRPr="006070EA">
        <w:rPr>
          <w:rFonts w:asciiTheme="majorHAnsi" w:hAnsiTheme="majorHAnsi" w:cstheme="majorHAnsi"/>
          <w:color w:val="000000"/>
        </w:rPr>
        <w:t>Vodní toky</w:t>
      </w:r>
    </w:p>
    <w:p w14:paraId="03F89FD0" w14:textId="0BECD140" w:rsidR="00294610" w:rsidRPr="006070EA" w:rsidRDefault="0024056D" w:rsidP="0024056D">
      <w:pPr>
        <w:pStyle w:val="Atext"/>
        <w:rPr>
          <w:rFonts w:asciiTheme="majorHAnsi" w:hAnsiTheme="majorHAnsi" w:cstheme="majorHAnsi"/>
          <w:color w:val="000000"/>
        </w:rPr>
      </w:pPr>
      <w:r w:rsidRPr="006070EA">
        <w:rPr>
          <w:rFonts w:asciiTheme="majorHAnsi" w:hAnsiTheme="majorHAnsi" w:cstheme="majorHAnsi"/>
          <w:color w:val="000000"/>
        </w:rPr>
        <w:t xml:space="preserve">Nejvýznamnějším vodním tokem v území je </w:t>
      </w:r>
      <w:r w:rsidR="00294610" w:rsidRPr="006070EA">
        <w:rPr>
          <w:rFonts w:asciiTheme="majorHAnsi" w:hAnsiTheme="majorHAnsi" w:cstheme="majorHAnsi"/>
          <w:color w:val="000000"/>
        </w:rPr>
        <w:t xml:space="preserve">řeka </w:t>
      </w:r>
      <w:r w:rsidRPr="006070EA">
        <w:rPr>
          <w:rFonts w:asciiTheme="majorHAnsi" w:hAnsiTheme="majorHAnsi" w:cstheme="majorHAnsi"/>
          <w:color w:val="000000"/>
        </w:rPr>
        <w:t>Labe, kter</w:t>
      </w:r>
      <w:r w:rsidR="00294610" w:rsidRPr="006070EA">
        <w:rPr>
          <w:rFonts w:asciiTheme="majorHAnsi" w:hAnsiTheme="majorHAnsi" w:cstheme="majorHAnsi"/>
          <w:color w:val="000000"/>
        </w:rPr>
        <w:t>á</w:t>
      </w:r>
      <w:r w:rsidRPr="006070EA">
        <w:rPr>
          <w:rFonts w:asciiTheme="majorHAnsi" w:hAnsiTheme="majorHAnsi" w:cstheme="majorHAnsi"/>
          <w:color w:val="000000"/>
        </w:rPr>
        <w:t xml:space="preserve"> lemuje hranici k. ú. Kostomlaty nad Labem v jeho jižní části. Jedná se jeden z nejvýznamnějších vodních toků v ČR i </w:t>
      </w:r>
      <w:r w:rsidR="00294610" w:rsidRPr="006070EA">
        <w:rPr>
          <w:rFonts w:asciiTheme="majorHAnsi" w:hAnsiTheme="majorHAnsi" w:cstheme="majorHAnsi"/>
          <w:color w:val="000000"/>
        </w:rPr>
        <w:t>v celoevropském měřítku</w:t>
      </w:r>
      <w:r w:rsidRPr="006070EA">
        <w:rPr>
          <w:rFonts w:asciiTheme="majorHAnsi" w:hAnsiTheme="majorHAnsi" w:cstheme="majorHAnsi"/>
          <w:color w:val="000000"/>
        </w:rPr>
        <w:t xml:space="preserve"> (vyhláška Mze č.</w:t>
      </w:r>
      <w:r w:rsidR="00294610" w:rsidRPr="006070EA">
        <w:rPr>
          <w:rFonts w:asciiTheme="majorHAnsi" w:hAnsiTheme="majorHAnsi" w:cstheme="majorHAnsi"/>
          <w:color w:val="000000"/>
        </w:rPr>
        <w:t xml:space="preserve"> </w:t>
      </w:r>
      <w:r w:rsidRPr="006070EA">
        <w:rPr>
          <w:rFonts w:asciiTheme="majorHAnsi" w:hAnsiTheme="majorHAnsi" w:cstheme="majorHAnsi"/>
          <w:color w:val="000000"/>
        </w:rPr>
        <w:t xml:space="preserve">267). </w:t>
      </w:r>
      <w:r w:rsidR="00294610" w:rsidRPr="006070EA">
        <w:rPr>
          <w:rFonts w:asciiTheme="majorHAnsi" w:hAnsiTheme="majorHAnsi" w:cstheme="majorHAnsi"/>
          <w:color w:val="000000"/>
        </w:rPr>
        <w:t>V</w:t>
      </w:r>
      <w:r w:rsidRPr="006070EA">
        <w:rPr>
          <w:rFonts w:asciiTheme="majorHAnsi" w:hAnsiTheme="majorHAnsi" w:cstheme="majorHAnsi"/>
          <w:color w:val="000000"/>
        </w:rPr>
        <w:t xml:space="preserve"> řešeném území je </w:t>
      </w:r>
      <w:r w:rsidR="00294610" w:rsidRPr="006070EA">
        <w:rPr>
          <w:rFonts w:asciiTheme="majorHAnsi" w:hAnsiTheme="majorHAnsi" w:cstheme="majorHAnsi"/>
          <w:color w:val="000000"/>
        </w:rPr>
        <w:t xml:space="preserve">na Labi </w:t>
      </w:r>
      <w:r w:rsidRPr="006070EA">
        <w:rPr>
          <w:rFonts w:asciiTheme="majorHAnsi" w:hAnsiTheme="majorHAnsi" w:cstheme="majorHAnsi"/>
          <w:color w:val="000000"/>
        </w:rPr>
        <w:t xml:space="preserve">stanoveno záplavové území včetně aktivní zóny záplavového území. </w:t>
      </w:r>
      <w:r w:rsidR="00DC143E" w:rsidRPr="006070EA">
        <w:rPr>
          <w:rFonts w:asciiTheme="majorHAnsi" w:hAnsiTheme="majorHAnsi" w:cstheme="majorHAnsi"/>
          <w:color w:val="000000"/>
        </w:rPr>
        <w:t>Vodní tok Labe je současně vodní cestou dopravně významnou.</w:t>
      </w:r>
    </w:p>
    <w:p w14:paraId="3BD56FF3" w14:textId="669AC371" w:rsidR="00294610" w:rsidRPr="006070EA" w:rsidRDefault="0024056D" w:rsidP="0024056D">
      <w:pPr>
        <w:pStyle w:val="Atext"/>
        <w:rPr>
          <w:rFonts w:asciiTheme="majorHAnsi" w:hAnsiTheme="majorHAnsi" w:cstheme="majorHAnsi"/>
          <w:color w:val="000000"/>
        </w:rPr>
      </w:pPr>
      <w:r w:rsidRPr="006070EA">
        <w:rPr>
          <w:rFonts w:asciiTheme="majorHAnsi" w:hAnsiTheme="majorHAnsi" w:cstheme="majorHAnsi"/>
          <w:color w:val="000000"/>
        </w:rPr>
        <w:t xml:space="preserve">Dalším vodním tokem </w:t>
      </w:r>
      <w:r w:rsidR="00294610" w:rsidRPr="006070EA">
        <w:rPr>
          <w:rFonts w:asciiTheme="majorHAnsi" w:hAnsiTheme="majorHAnsi" w:cstheme="majorHAnsi"/>
          <w:color w:val="000000"/>
        </w:rPr>
        <w:t xml:space="preserve">v území </w:t>
      </w:r>
      <w:r w:rsidRPr="006070EA">
        <w:rPr>
          <w:rFonts w:asciiTheme="majorHAnsi" w:hAnsiTheme="majorHAnsi" w:cstheme="majorHAnsi"/>
          <w:color w:val="000000"/>
        </w:rPr>
        <w:t xml:space="preserve">je Vlkava s rameny Farský potok, Hronětický náhon a přítokem Hluboký příkop (někdy označována jako potok), která prochází celým řešeným územím od jižní části přes Kostomlaty nad Labem, podél hranic k. ú. Lány u Kostomlat nad Labem po Hronětice a dále po severovýchodní hranici k. ú Hronětice. </w:t>
      </w:r>
      <w:r w:rsidR="00294610" w:rsidRPr="006070EA">
        <w:rPr>
          <w:rFonts w:asciiTheme="majorHAnsi" w:hAnsiTheme="majorHAnsi" w:cstheme="majorHAnsi"/>
          <w:color w:val="000000"/>
        </w:rPr>
        <w:t>Na toku Vlkavy je vyhlášené záplavové území včetně aktivní zóny záplavového území.</w:t>
      </w:r>
    </w:p>
    <w:p w14:paraId="58C60482" w14:textId="4D7A444B" w:rsidR="0024056D" w:rsidRPr="006070EA" w:rsidRDefault="00294610" w:rsidP="0024056D">
      <w:pPr>
        <w:pStyle w:val="Atext"/>
        <w:rPr>
          <w:rFonts w:asciiTheme="majorHAnsi" w:hAnsiTheme="majorHAnsi" w:cstheme="majorHAnsi"/>
          <w:color w:val="000000"/>
        </w:rPr>
      </w:pPr>
      <w:r w:rsidRPr="006070EA">
        <w:rPr>
          <w:rFonts w:asciiTheme="majorHAnsi" w:hAnsiTheme="majorHAnsi" w:cstheme="majorHAnsi"/>
          <w:color w:val="000000"/>
        </w:rPr>
        <w:t xml:space="preserve">Dále řešeným územím protéká </w:t>
      </w:r>
      <w:r w:rsidR="0024056D" w:rsidRPr="006070EA">
        <w:rPr>
          <w:rFonts w:asciiTheme="majorHAnsi" w:hAnsiTheme="majorHAnsi" w:cstheme="majorHAnsi"/>
          <w:color w:val="000000"/>
        </w:rPr>
        <w:t>potok Mlynařice, který vznikl průsakem vod Vlkavy v prostoru mezi Zbožíčkem a</w:t>
      </w:r>
      <w:r w:rsidRPr="006070EA">
        <w:rPr>
          <w:rFonts w:asciiTheme="majorHAnsi" w:hAnsiTheme="majorHAnsi" w:cstheme="majorHAnsi"/>
          <w:color w:val="000000"/>
        </w:rPr>
        <w:t> </w:t>
      </w:r>
      <w:r w:rsidR="0024056D" w:rsidRPr="006070EA">
        <w:rPr>
          <w:rFonts w:asciiTheme="majorHAnsi" w:hAnsiTheme="majorHAnsi" w:cstheme="majorHAnsi"/>
          <w:color w:val="000000"/>
        </w:rPr>
        <w:t xml:space="preserve">Vápenskem. Na území se dále nachází menší odvodňovací zařízení jako Čilecký kanál a jiná bezejmenná zařízení ovlivňující hydrologické poměry. Z širšího pohledu spadá řešené území Labe a Vlkavy do hlavního povodí Labe. </w:t>
      </w:r>
    </w:p>
    <w:p w14:paraId="3FA7E4F0" w14:textId="77777777" w:rsidR="0024056D" w:rsidRPr="006070EA" w:rsidRDefault="0024056D" w:rsidP="0024056D">
      <w:pPr>
        <w:pStyle w:val="Anadpiskurzva"/>
        <w:rPr>
          <w:rFonts w:asciiTheme="majorHAnsi" w:hAnsiTheme="majorHAnsi" w:cstheme="majorHAnsi"/>
          <w:color w:val="000000"/>
        </w:rPr>
      </w:pPr>
      <w:r w:rsidRPr="006070EA">
        <w:rPr>
          <w:rFonts w:asciiTheme="majorHAnsi" w:hAnsiTheme="majorHAnsi" w:cstheme="majorHAnsi"/>
          <w:color w:val="000000"/>
        </w:rPr>
        <w:t>Tab. Hydrologická data a čísla pořadí vodních toků a jejich správci</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1656"/>
        <w:gridCol w:w="1711"/>
        <w:gridCol w:w="1529"/>
      </w:tblGrid>
      <w:tr w:rsidR="00294610" w:rsidRPr="006070EA" w14:paraId="56B03700" w14:textId="77777777" w:rsidTr="00FC1E99">
        <w:trPr>
          <w:cantSplit/>
          <w:trHeight w:val="283"/>
          <w:tblHeader/>
          <w:jc w:val="center"/>
        </w:trPr>
        <w:tc>
          <w:tcPr>
            <w:tcW w:w="1656" w:type="dxa"/>
            <w:tcBorders>
              <w:top w:val="nil"/>
              <w:left w:val="nil"/>
              <w:bottom w:val="single" w:sz="12" w:space="0" w:color="auto"/>
              <w:right w:val="single" w:sz="12" w:space="0" w:color="auto"/>
            </w:tcBorders>
            <w:vAlign w:val="center"/>
            <w:hideMark/>
          </w:tcPr>
          <w:p w14:paraId="2706B2BE" w14:textId="77777777" w:rsidR="00294610" w:rsidRPr="006070EA" w:rsidRDefault="00294610" w:rsidP="00294610">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vodní tok</w:t>
            </w:r>
          </w:p>
        </w:tc>
        <w:tc>
          <w:tcPr>
            <w:tcW w:w="1711" w:type="dxa"/>
            <w:tcBorders>
              <w:top w:val="nil"/>
              <w:left w:val="single" w:sz="12" w:space="0" w:color="auto"/>
              <w:bottom w:val="single" w:sz="12" w:space="0" w:color="auto"/>
              <w:right w:val="single" w:sz="12" w:space="0" w:color="auto"/>
            </w:tcBorders>
            <w:vAlign w:val="center"/>
            <w:hideMark/>
          </w:tcPr>
          <w:p w14:paraId="4703D78C" w14:textId="77777777" w:rsidR="00294610" w:rsidRPr="006070EA" w:rsidRDefault="00294610" w:rsidP="00294610">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id toku</w:t>
            </w:r>
          </w:p>
        </w:tc>
        <w:tc>
          <w:tcPr>
            <w:tcW w:w="1529" w:type="dxa"/>
            <w:tcBorders>
              <w:top w:val="nil"/>
              <w:left w:val="single" w:sz="12" w:space="0" w:color="auto"/>
              <w:bottom w:val="single" w:sz="12" w:space="0" w:color="auto"/>
              <w:right w:val="nil"/>
            </w:tcBorders>
            <w:vAlign w:val="center"/>
            <w:hideMark/>
          </w:tcPr>
          <w:p w14:paraId="1C507BF5" w14:textId="77777777" w:rsidR="00294610" w:rsidRPr="006070EA" w:rsidRDefault="00294610" w:rsidP="00294610">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správce</w:t>
            </w:r>
          </w:p>
        </w:tc>
      </w:tr>
      <w:tr w:rsidR="00294610" w:rsidRPr="006070EA" w14:paraId="3325C717" w14:textId="77777777" w:rsidTr="00FC1E99">
        <w:trPr>
          <w:trHeight w:val="283"/>
          <w:jc w:val="center"/>
        </w:trPr>
        <w:tc>
          <w:tcPr>
            <w:tcW w:w="1656" w:type="dxa"/>
            <w:tcBorders>
              <w:top w:val="single" w:sz="12" w:space="0" w:color="auto"/>
              <w:left w:val="nil"/>
              <w:bottom w:val="single" w:sz="4" w:space="0" w:color="auto"/>
              <w:right w:val="single" w:sz="4" w:space="0" w:color="auto"/>
            </w:tcBorders>
            <w:vAlign w:val="center"/>
          </w:tcPr>
          <w:p w14:paraId="413AE267" w14:textId="77777777" w:rsidR="00294610" w:rsidRPr="006070EA" w:rsidRDefault="00294610"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Labe</w:t>
            </w:r>
          </w:p>
        </w:tc>
        <w:tc>
          <w:tcPr>
            <w:tcW w:w="1711" w:type="dxa"/>
            <w:tcBorders>
              <w:top w:val="single" w:sz="12" w:space="0" w:color="auto"/>
              <w:left w:val="single" w:sz="4" w:space="0" w:color="auto"/>
              <w:bottom w:val="single" w:sz="4" w:space="0" w:color="auto"/>
              <w:right w:val="single" w:sz="4" w:space="0" w:color="auto"/>
            </w:tcBorders>
            <w:vAlign w:val="center"/>
          </w:tcPr>
          <w:p w14:paraId="0B0C565F" w14:textId="77777777" w:rsidR="00294610" w:rsidRPr="006070EA" w:rsidRDefault="00294610" w:rsidP="00294610">
            <w:pPr>
              <w:pStyle w:val="Bezmezer"/>
              <w:jc w:val="center"/>
              <w:rPr>
                <w:rFonts w:asciiTheme="majorHAnsi" w:hAnsiTheme="majorHAnsi" w:cstheme="majorHAnsi"/>
                <w:color w:val="000000"/>
                <w:szCs w:val="18"/>
                <w:shd w:val="clear" w:color="auto" w:fill="FFFFFF"/>
                <w:lang w:val="cs-CZ"/>
              </w:rPr>
            </w:pPr>
            <w:r w:rsidRPr="006070EA">
              <w:rPr>
                <w:rFonts w:asciiTheme="majorHAnsi" w:hAnsiTheme="majorHAnsi" w:cstheme="majorHAnsi"/>
                <w:color w:val="000000"/>
                <w:szCs w:val="18"/>
                <w:shd w:val="clear" w:color="auto" w:fill="FFFFFF"/>
                <w:lang w:val="cs-CZ"/>
              </w:rPr>
              <w:t>10100002</w:t>
            </w:r>
          </w:p>
        </w:tc>
        <w:tc>
          <w:tcPr>
            <w:tcW w:w="1529" w:type="dxa"/>
            <w:tcBorders>
              <w:top w:val="single" w:sz="12" w:space="0" w:color="auto"/>
              <w:left w:val="single" w:sz="4" w:space="0" w:color="auto"/>
              <w:bottom w:val="single" w:sz="4" w:space="0" w:color="auto"/>
              <w:right w:val="nil"/>
            </w:tcBorders>
            <w:vAlign w:val="center"/>
          </w:tcPr>
          <w:p w14:paraId="669311FB" w14:textId="77777777" w:rsidR="00294610" w:rsidRPr="006070EA" w:rsidRDefault="00294610"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Povodí Labe, s. p.</w:t>
            </w:r>
          </w:p>
        </w:tc>
      </w:tr>
      <w:tr w:rsidR="00294610" w:rsidRPr="006070EA" w14:paraId="25061595" w14:textId="77777777" w:rsidTr="00FC1E99">
        <w:trPr>
          <w:trHeight w:val="283"/>
          <w:jc w:val="center"/>
        </w:trPr>
        <w:tc>
          <w:tcPr>
            <w:tcW w:w="1656" w:type="dxa"/>
            <w:tcBorders>
              <w:top w:val="single" w:sz="4" w:space="0" w:color="auto"/>
              <w:left w:val="nil"/>
              <w:bottom w:val="single" w:sz="4" w:space="0" w:color="auto"/>
              <w:right w:val="single" w:sz="4" w:space="0" w:color="auto"/>
            </w:tcBorders>
            <w:vAlign w:val="center"/>
            <w:hideMark/>
          </w:tcPr>
          <w:p w14:paraId="4B538F54" w14:textId="77777777" w:rsidR="00294610" w:rsidRPr="006070EA" w:rsidRDefault="00294610"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Vlkava</w:t>
            </w:r>
          </w:p>
        </w:tc>
        <w:tc>
          <w:tcPr>
            <w:tcW w:w="1711" w:type="dxa"/>
            <w:tcBorders>
              <w:top w:val="single" w:sz="4" w:space="0" w:color="auto"/>
              <w:left w:val="single" w:sz="4" w:space="0" w:color="auto"/>
              <w:bottom w:val="single" w:sz="4" w:space="0" w:color="auto"/>
              <w:right w:val="single" w:sz="4" w:space="0" w:color="auto"/>
            </w:tcBorders>
            <w:vAlign w:val="center"/>
            <w:hideMark/>
          </w:tcPr>
          <w:p w14:paraId="5FAE586A" w14:textId="77777777" w:rsidR="00294610" w:rsidRPr="006070EA" w:rsidRDefault="00294610"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shd w:val="clear" w:color="auto" w:fill="FFFFFF"/>
                <w:lang w:val="cs-CZ"/>
              </w:rPr>
              <w:t>10100104</w:t>
            </w:r>
          </w:p>
        </w:tc>
        <w:tc>
          <w:tcPr>
            <w:tcW w:w="1529" w:type="dxa"/>
            <w:tcBorders>
              <w:top w:val="single" w:sz="4" w:space="0" w:color="auto"/>
              <w:left w:val="single" w:sz="4" w:space="0" w:color="auto"/>
              <w:bottom w:val="single" w:sz="4" w:space="0" w:color="auto"/>
              <w:right w:val="nil"/>
            </w:tcBorders>
            <w:vAlign w:val="center"/>
            <w:hideMark/>
          </w:tcPr>
          <w:p w14:paraId="5B4C9BE9" w14:textId="77777777" w:rsidR="00294610" w:rsidRPr="006070EA" w:rsidRDefault="00294610"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Povodí Labe, s. p.</w:t>
            </w:r>
          </w:p>
        </w:tc>
      </w:tr>
      <w:tr w:rsidR="00294610" w:rsidRPr="006070EA" w14:paraId="19CACBCC" w14:textId="77777777" w:rsidTr="00294610">
        <w:trPr>
          <w:trHeight w:val="283"/>
          <w:jc w:val="center"/>
        </w:trPr>
        <w:tc>
          <w:tcPr>
            <w:tcW w:w="1656" w:type="dxa"/>
            <w:tcBorders>
              <w:top w:val="single" w:sz="4" w:space="0" w:color="auto"/>
              <w:left w:val="nil"/>
              <w:bottom w:val="single" w:sz="4" w:space="0" w:color="auto"/>
              <w:right w:val="single" w:sz="4" w:space="0" w:color="auto"/>
            </w:tcBorders>
            <w:vAlign w:val="center"/>
            <w:hideMark/>
          </w:tcPr>
          <w:p w14:paraId="7576CA18" w14:textId="77777777" w:rsidR="00294610" w:rsidRPr="006070EA" w:rsidRDefault="00294610"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Farský potok</w:t>
            </w:r>
          </w:p>
        </w:tc>
        <w:tc>
          <w:tcPr>
            <w:tcW w:w="1711" w:type="dxa"/>
            <w:tcBorders>
              <w:top w:val="single" w:sz="4" w:space="0" w:color="auto"/>
              <w:left w:val="single" w:sz="4" w:space="0" w:color="auto"/>
              <w:bottom w:val="single" w:sz="4" w:space="0" w:color="auto"/>
              <w:right w:val="single" w:sz="4" w:space="0" w:color="auto"/>
            </w:tcBorders>
            <w:vAlign w:val="center"/>
            <w:hideMark/>
          </w:tcPr>
          <w:p w14:paraId="6933FA2B" w14:textId="77777777" w:rsidR="00294610" w:rsidRPr="006070EA" w:rsidRDefault="00294610"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shd w:val="clear" w:color="auto" w:fill="FFFFFF"/>
                <w:lang w:val="cs-CZ"/>
              </w:rPr>
              <w:t>10179433</w:t>
            </w:r>
          </w:p>
        </w:tc>
        <w:tc>
          <w:tcPr>
            <w:tcW w:w="1529" w:type="dxa"/>
            <w:tcBorders>
              <w:top w:val="single" w:sz="4" w:space="0" w:color="auto"/>
              <w:left w:val="single" w:sz="4" w:space="0" w:color="auto"/>
              <w:bottom w:val="single" w:sz="4" w:space="0" w:color="auto"/>
              <w:right w:val="nil"/>
            </w:tcBorders>
            <w:vAlign w:val="center"/>
            <w:hideMark/>
          </w:tcPr>
          <w:p w14:paraId="223D03E2" w14:textId="77777777" w:rsidR="00294610" w:rsidRPr="006070EA" w:rsidRDefault="00294610"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Povodí Labe, s. p.</w:t>
            </w:r>
          </w:p>
        </w:tc>
      </w:tr>
      <w:tr w:rsidR="00294610" w:rsidRPr="006070EA" w14:paraId="4E5D2768" w14:textId="77777777" w:rsidTr="00294610">
        <w:trPr>
          <w:trHeight w:val="283"/>
          <w:jc w:val="center"/>
        </w:trPr>
        <w:tc>
          <w:tcPr>
            <w:tcW w:w="1656" w:type="dxa"/>
            <w:tcBorders>
              <w:top w:val="single" w:sz="4" w:space="0" w:color="auto"/>
              <w:left w:val="nil"/>
              <w:bottom w:val="single" w:sz="4" w:space="0" w:color="auto"/>
              <w:right w:val="single" w:sz="4" w:space="0" w:color="auto"/>
            </w:tcBorders>
            <w:vAlign w:val="center"/>
            <w:hideMark/>
          </w:tcPr>
          <w:p w14:paraId="13F90AA8"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Hluboký příkop</w:t>
            </w:r>
          </w:p>
        </w:tc>
        <w:tc>
          <w:tcPr>
            <w:tcW w:w="1711" w:type="dxa"/>
            <w:tcBorders>
              <w:top w:val="single" w:sz="4" w:space="0" w:color="auto"/>
              <w:left w:val="single" w:sz="4" w:space="0" w:color="auto"/>
              <w:bottom w:val="single" w:sz="4" w:space="0" w:color="auto"/>
              <w:right w:val="single" w:sz="4" w:space="0" w:color="auto"/>
            </w:tcBorders>
            <w:vAlign w:val="center"/>
            <w:hideMark/>
          </w:tcPr>
          <w:p w14:paraId="541A95B0"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10179399</w:t>
            </w:r>
          </w:p>
        </w:tc>
        <w:tc>
          <w:tcPr>
            <w:tcW w:w="1529" w:type="dxa"/>
            <w:tcBorders>
              <w:top w:val="single" w:sz="4" w:space="0" w:color="auto"/>
              <w:left w:val="single" w:sz="4" w:space="0" w:color="auto"/>
              <w:bottom w:val="single" w:sz="4" w:space="0" w:color="auto"/>
              <w:right w:val="nil"/>
            </w:tcBorders>
            <w:vAlign w:val="center"/>
            <w:hideMark/>
          </w:tcPr>
          <w:p w14:paraId="5692874B"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szCs w:val="18"/>
                <w:lang w:val="cs-CZ"/>
              </w:rPr>
              <w:t>Povodí Labe, s. p</w:t>
            </w:r>
          </w:p>
        </w:tc>
      </w:tr>
      <w:tr w:rsidR="00294610" w:rsidRPr="006070EA" w14:paraId="6771B8C0" w14:textId="77777777" w:rsidTr="00294610">
        <w:trPr>
          <w:trHeight w:val="283"/>
          <w:jc w:val="center"/>
        </w:trPr>
        <w:tc>
          <w:tcPr>
            <w:tcW w:w="1656" w:type="dxa"/>
            <w:tcBorders>
              <w:top w:val="single" w:sz="4" w:space="0" w:color="auto"/>
              <w:left w:val="nil"/>
              <w:bottom w:val="single" w:sz="4" w:space="0" w:color="auto"/>
              <w:right w:val="single" w:sz="4" w:space="0" w:color="auto"/>
            </w:tcBorders>
            <w:vAlign w:val="center"/>
            <w:hideMark/>
          </w:tcPr>
          <w:p w14:paraId="66BD8E7B"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Hronětický náhon</w:t>
            </w:r>
          </w:p>
        </w:tc>
        <w:tc>
          <w:tcPr>
            <w:tcW w:w="1711" w:type="dxa"/>
            <w:tcBorders>
              <w:top w:val="single" w:sz="4" w:space="0" w:color="auto"/>
              <w:left w:val="single" w:sz="4" w:space="0" w:color="auto"/>
              <w:bottom w:val="single" w:sz="4" w:space="0" w:color="auto"/>
              <w:right w:val="single" w:sz="4" w:space="0" w:color="auto"/>
            </w:tcBorders>
            <w:vAlign w:val="center"/>
            <w:hideMark/>
          </w:tcPr>
          <w:p w14:paraId="110FEC63"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10185578</w:t>
            </w:r>
          </w:p>
        </w:tc>
        <w:tc>
          <w:tcPr>
            <w:tcW w:w="1529" w:type="dxa"/>
            <w:tcBorders>
              <w:top w:val="single" w:sz="4" w:space="0" w:color="auto"/>
              <w:left w:val="single" w:sz="4" w:space="0" w:color="auto"/>
              <w:bottom w:val="single" w:sz="4" w:space="0" w:color="auto"/>
              <w:right w:val="nil"/>
            </w:tcBorders>
            <w:vAlign w:val="center"/>
            <w:hideMark/>
          </w:tcPr>
          <w:p w14:paraId="5ECC875C"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szCs w:val="18"/>
                <w:lang w:val="cs-CZ"/>
              </w:rPr>
              <w:t>Povodí Labe, s. p.</w:t>
            </w:r>
          </w:p>
        </w:tc>
      </w:tr>
      <w:tr w:rsidR="00294610" w:rsidRPr="006070EA" w14:paraId="541CB723" w14:textId="77777777" w:rsidTr="00FC1E99">
        <w:trPr>
          <w:trHeight w:val="283"/>
          <w:jc w:val="center"/>
        </w:trPr>
        <w:tc>
          <w:tcPr>
            <w:tcW w:w="1656" w:type="dxa"/>
            <w:tcBorders>
              <w:top w:val="single" w:sz="4" w:space="0" w:color="auto"/>
              <w:left w:val="nil"/>
              <w:bottom w:val="single" w:sz="4" w:space="0" w:color="auto"/>
              <w:right w:val="single" w:sz="4" w:space="0" w:color="auto"/>
            </w:tcBorders>
            <w:vAlign w:val="center"/>
            <w:hideMark/>
          </w:tcPr>
          <w:p w14:paraId="10C97FE9"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Mlynařice</w:t>
            </w:r>
          </w:p>
        </w:tc>
        <w:tc>
          <w:tcPr>
            <w:tcW w:w="1711" w:type="dxa"/>
            <w:tcBorders>
              <w:top w:val="single" w:sz="4" w:space="0" w:color="auto"/>
              <w:left w:val="single" w:sz="4" w:space="0" w:color="auto"/>
              <w:bottom w:val="single" w:sz="4" w:space="0" w:color="auto"/>
              <w:right w:val="single" w:sz="4" w:space="0" w:color="auto"/>
            </w:tcBorders>
            <w:vAlign w:val="center"/>
            <w:hideMark/>
          </w:tcPr>
          <w:p w14:paraId="1D3CBF2D"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10100434</w:t>
            </w:r>
          </w:p>
        </w:tc>
        <w:tc>
          <w:tcPr>
            <w:tcW w:w="1529" w:type="dxa"/>
            <w:tcBorders>
              <w:top w:val="single" w:sz="4" w:space="0" w:color="auto"/>
              <w:left w:val="single" w:sz="4" w:space="0" w:color="auto"/>
              <w:bottom w:val="single" w:sz="4" w:space="0" w:color="auto"/>
              <w:right w:val="nil"/>
            </w:tcBorders>
            <w:vAlign w:val="center"/>
          </w:tcPr>
          <w:p w14:paraId="5FAB9269" w14:textId="77777777" w:rsidR="00294610" w:rsidRPr="006070EA" w:rsidRDefault="00294610"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szCs w:val="18"/>
                <w:lang w:val="cs-CZ"/>
              </w:rPr>
              <w:t>Povodí Labe, s. p.</w:t>
            </w:r>
          </w:p>
        </w:tc>
      </w:tr>
      <w:tr w:rsidR="007C4D7F" w:rsidRPr="006070EA" w14:paraId="70B42552" w14:textId="77777777" w:rsidTr="00294610">
        <w:trPr>
          <w:trHeight w:val="283"/>
          <w:jc w:val="center"/>
        </w:trPr>
        <w:tc>
          <w:tcPr>
            <w:tcW w:w="1656" w:type="dxa"/>
            <w:tcBorders>
              <w:top w:val="single" w:sz="4" w:space="0" w:color="auto"/>
              <w:left w:val="nil"/>
              <w:bottom w:val="nil"/>
              <w:right w:val="single" w:sz="4" w:space="0" w:color="auto"/>
            </w:tcBorders>
            <w:vAlign w:val="center"/>
          </w:tcPr>
          <w:p w14:paraId="34501946" w14:textId="1128CD15" w:rsidR="007C4D7F" w:rsidRPr="006070EA" w:rsidRDefault="007C4D7F"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levostranný přítok</w:t>
            </w:r>
          </w:p>
        </w:tc>
        <w:tc>
          <w:tcPr>
            <w:tcW w:w="1711" w:type="dxa"/>
            <w:tcBorders>
              <w:top w:val="single" w:sz="4" w:space="0" w:color="auto"/>
              <w:left w:val="single" w:sz="4" w:space="0" w:color="auto"/>
              <w:bottom w:val="nil"/>
              <w:right w:val="single" w:sz="4" w:space="0" w:color="auto"/>
            </w:tcBorders>
            <w:vAlign w:val="center"/>
          </w:tcPr>
          <w:p w14:paraId="7FE6606D" w14:textId="0806D111" w:rsidR="007C4D7F" w:rsidRPr="006070EA" w:rsidRDefault="007C4D7F" w:rsidP="00294610">
            <w:pPr>
              <w:pStyle w:val="Bezmezer"/>
              <w:jc w:val="center"/>
              <w:rPr>
                <w:rFonts w:asciiTheme="majorHAnsi" w:hAnsiTheme="majorHAnsi" w:cstheme="majorHAnsi"/>
                <w:color w:val="000000"/>
                <w:lang w:val="cs-CZ"/>
              </w:rPr>
            </w:pPr>
            <w:r w:rsidRPr="006070EA">
              <w:rPr>
                <w:rFonts w:asciiTheme="majorHAnsi" w:hAnsiTheme="majorHAnsi" w:cstheme="majorHAnsi"/>
                <w:color w:val="000000"/>
                <w:lang w:val="cs-CZ"/>
              </w:rPr>
              <w:t>10179407</w:t>
            </w:r>
          </w:p>
        </w:tc>
        <w:tc>
          <w:tcPr>
            <w:tcW w:w="1529" w:type="dxa"/>
            <w:tcBorders>
              <w:top w:val="single" w:sz="4" w:space="0" w:color="auto"/>
              <w:left w:val="single" w:sz="4" w:space="0" w:color="auto"/>
              <w:bottom w:val="nil"/>
              <w:right w:val="nil"/>
            </w:tcBorders>
            <w:vAlign w:val="center"/>
          </w:tcPr>
          <w:p w14:paraId="440E392C" w14:textId="1FF3B6B9" w:rsidR="007C4D7F" w:rsidRPr="006070EA" w:rsidRDefault="007C4D7F" w:rsidP="00294610">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Povodí Labe, s. p.</w:t>
            </w:r>
          </w:p>
        </w:tc>
      </w:tr>
    </w:tbl>
    <w:p w14:paraId="1F278719" w14:textId="4FF8C05B" w:rsidR="007C4D7F" w:rsidRPr="006070EA" w:rsidRDefault="007C4D7F" w:rsidP="007C4D7F">
      <w:pPr>
        <w:pStyle w:val="Anadpispodtren"/>
        <w:ind w:firstLine="709"/>
        <w:rPr>
          <w:rFonts w:asciiTheme="majorHAnsi" w:hAnsiTheme="majorHAnsi" w:cstheme="majorHAnsi"/>
          <w:color w:val="000000"/>
          <w:u w:val="none"/>
        </w:rPr>
      </w:pPr>
      <w:r w:rsidRPr="006070EA">
        <w:rPr>
          <w:rFonts w:asciiTheme="majorHAnsi" w:hAnsiTheme="majorHAnsi" w:cstheme="majorHAnsi"/>
          <w:color w:val="000000"/>
          <w:u w:val="none"/>
        </w:rPr>
        <w:t>Územní plán respektuje vodní toky v řešeném území. Některé zastavitelné plochy (Z6, Z12, Z14) jsou vymezeny v blízkosti výše uvedených vodních toků (Vlkava, Hluboký příkop, bezejmenný vodní tok). Dle § 49 vodního zákona může správce významného vodního toku Vlkava užívat pozemků sousedících s korytem vodního toku v šířce do 8 m od břehové čáry a</w:t>
      </w:r>
      <w:r w:rsidR="00433C39" w:rsidRPr="006070EA">
        <w:rPr>
          <w:rFonts w:asciiTheme="majorHAnsi" w:hAnsiTheme="majorHAnsi" w:cstheme="majorHAnsi"/>
          <w:color w:val="000000"/>
          <w:u w:val="none"/>
        </w:rPr>
        <w:t> </w:t>
      </w:r>
      <w:r w:rsidRPr="006070EA">
        <w:rPr>
          <w:rFonts w:asciiTheme="majorHAnsi" w:hAnsiTheme="majorHAnsi" w:cstheme="majorHAnsi"/>
          <w:color w:val="000000"/>
          <w:u w:val="none"/>
        </w:rPr>
        <w:t>u</w:t>
      </w:r>
      <w:r w:rsidR="00433C39" w:rsidRPr="006070EA">
        <w:rPr>
          <w:rFonts w:asciiTheme="majorHAnsi" w:hAnsiTheme="majorHAnsi" w:cstheme="majorHAnsi"/>
          <w:color w:val="000000"/>
          <w:u w:val="none"/>
        </w:rPr>
        <w:t> </w:t>
      </w:r>
      <w:r w:rsidRPr="006070EA">
        <w:rPr>
          <w:rFonts w:asciiTheme="majorHAnsi" w:hAnsiTheme="majorHAnsi" w:cstheme="majorHAnsi"/>
          <w:color w:val="000000"/>
          <w:u w:val="none"/>
        </w:rPr>
        <w:t xml:space="preserve">drobného vodního toku Hluboký příkop a vodního toku (IDVT 10179407) v šířce do 6 m od břehové čáry. </w:t>
      </w:r>
    </w:p>
    <w:p w14:paraId="72A15297" w14:textId="604222BD" w:rsidR="007C4D7F" w:rsidRPr="006070EA" w:rsidRDefault="007C4D7F" w:rsidP="00FC1E99">
      <w:pPr>
        <w:pStyle w:val="Anadpispodtren"/>
        <w:ind w:firstLine="709"/>
        <w:rPr>
          <w:rFonts w:asciiTheme="majorHAnsi" w:hAnsiTheme="majorHAnsi" w:cstheme="majorHAnsi"/>
          <w:color w:val="000000"/>
          <w:u w:val="none"/>
        </w:rPr>
      </w:pPr>
      <w:r w:rsidRPr="006070EA">
        <w:rPr>
          <w:rFonts w:asciiTheme="majorHAnsi" w:hAnsiTheme="majorHAnsi" w:cstheme="majorHAnsi"/>
          <w:color w:val="000000"/>
          <w:u w:val="none"/>
        </w:rPr>
        <w:t xml:space="preserve">Uvedený volný nezastavitelný pruh podél toku je územním plánem respektován a v rámci stanovených podmínek využití pro dotčené plochy s rozdílným způsobem využití jsou vytvořeny podmínky pro nezastavění částí pozemků </w:t>
      </w:r>
      <w:r w:rsidR="00043B66" w:rsidRPr="006070EA">
        <w:rPr>
          <w:rFonts w:asciiTheme="majorHAnsi" w:hAnsiTheme="majorHAnsi" w:cstheme="majorHAnsi"/>
          <w:color w:val="000000"/>
          <w:u w:val="none"/>
        </w:rPr>
        <w:t xml:space="preserve">v přímém sousedství vodních toků a pro </w:t>
      </w:r>
      <w:r w:rsidRPr="006070EA">
        <w:rPr>
          <w:rFonts w:asciiTheme="majorHAnsi" w:hAnsiTheme="majorHAnsi" w:cstheme="majorHAnsi"/>
          <w:color w:val="000000"/>
          <w:u w:val="none"/>
        </w:rPr>
        <w:t>zajištění přístupu pro užívání pozemků sousedících s koryty vodních toků správc</w:t>
      </w:r>
      <w:r w:rsidR="00043B66" w:rsidRPr="006070EA">
        <w:rPr>
          <w:rFonts w:asciiTheme="majorHAnsi" w:hAnsiTheme="majorHAnsi" w:cstheme="majorHAnsi"/>
          <w:color w:val="000000"/>
          <w:u w:val="none"/>
        </w:rPr>
        <w:t>i</w:t>
      </w:r>
      <w:r w:rsidRPr="006070EA">
        <w:rPr>
          <w:rFonts w:asciiTheme="majorHAnsi" w:hAnsiTheme="majorHAnsi" w:cstheme="majorHAnsi"/>
          <w:color w:val="000000"/>
          <w:u w:val="none"/>
        </w:rPr>
        <w:t xml:space="preserve"> vodních toků.</w:t>
      </w:r>
    </w:p>
    <w:p w14:paraId="6CAA9041" w14:textId="14509643" w:rsidR="0024056D" w:rsidRPr="006070EA" w:rsidRDefault="0024056D" w:rsidP="0024056D">
      <w:pPr>
        <w:pStyle w:val="Anadpispodtren"/>
        <w:rPr>
          <w:rFonts w:asciiTheme="majorHAnsi" w:hAnsiTheme="majorHAnsi" w:cstheme="majorHAnsi"/>
          <w:color w:val="000000"/>
          <w:sz w:val="22"/>
          <w:szCs w:val="22"/>
          <w:lang w:eastAsia="en-US"/>
        </w:rPr>
      </w:pPr>
      <w:r w:rsidRPr="006070EA">
        <w:rPr>
          <w:rFonts w:asciiTheme="majorHAnsi" w:hAnsiTheme="majorHAnsi" w:cstheme="majorHAnsi"/>
          <w:color w:val="000000"/>
        </w:rPr>
        <w:t>Vodní plochy v území</w:t>
      </w:r>
    </w:p>
    <w:p w14:paraId="666D05F2" w14:textId="1CE0E28E" w:rsidR="0024056D" w:rsidRPr="006070EA" w:rsidRDefault="0024056D" w:rsidP="0024056D">
      <w:pPr>
        <w:pStyle w:val="Atext"/>
        <w:rPr>
          <w:rFonts w:asciiTheme="majorHAnsi" w:hAnsiTheme="majorHAnsi" w:cstheme="majorHAnsi"/>
        </w:rPr>
      </w:pPr>
      <w:r w:rsidRPr="006070EA">
        <w:rPr>
          <w:rFonts w:asciiTheme="majorHAnsi" w:hAnsiTheme="majorHAnsi" w:cstheme="majorHAnsi"/>
          <w:color w:val="000000"/>
        </w:rPr>
        <w:t xml:space="preserve">V území se nachází několik vodních ploch. Jediný pojmenovaný je rybník Žitina v jihozápadní části území, který však do k. ú. Kostomlaty nad Labem zasahuje jen </w:t>
      </w:r>
      <w:r w:rsidR="00294610" w:rsidRPr="006070EA">
        <w:rPr>
          <w:rFonts w:asciiTheme="majorHAnsi" w:hAnsiTheme="majorHAnsi" w:cstheme="majorHAnsi"/>
          <w:color w:val="000000"/>
        </w:rPr>
        <w:t>okrajově</w:t>
      </w:r>
      <w:r w:rsidRPr="006070EA">
        <w:rPr>
          <w:rFonts w:asciiTheme="majorHAnsi" w:hAnsiTheme="majorHAnsi" w:cstheme="majorHAnsi"/>
          <w:color w:val="000000"/>
        </w:rPr>
        <w:t xml:space="preserve">. Dále jsou v sídlech umístěny malé umělé vodní nádrže (Kostomlaty, Rozkoš) a jedna větší východně od části obce Vápensko na hranicích k. ú. Tyto vodní plochy však nejsou svojí velikostí příliš </w:t>
      </w:r>
      <w:r w:rsidRPr="006070EA">
        <w:rPr>
          <w:rFonts w:asciiTheme="majorHAnsi" w:hAnsiTheme="majorHAnsi" w:cstheme="majorHAnsi"/>
        </w:rPr>
        <w:t>významné, stejně jako několik lesních tůní. Tato soustava je součástí zaniklého ramene řeky Labe.</w:t>
      </w:r>
    </w:p>
    <w:p w14:paraId="115B06D9" w14:textId="77777777" w:rsidR="00AB1F4C" w:rsidRPr="006070EA" w:rsidRDefault="00AB1F4C" w:rsidP="009E07E1">
      <w:pPr>
        <w:keepNext/>
        <w:spacing w:before="120" w:after="120" w:line="240" w:lineRule="auto"/>
        <w:rPr>
          <w:rFonts w:asciiTheme="majorHAnsi" w:hAnsiTheme="majorHAnsi" w:cstheme="majorHAnsi"/>
          <w:b/>
          <w:sz w:val="18"/>
        </w:rPr>
      </w:pPr>
      <w:r w:rsidRPr="006070EA">
        <w:rPr>
          <w:rFonts w:asciiTheme="majorHAnsi" w:hAnsiTheme="majorHAnsi" w:cstheme="majorHAnsi"/>
          <w:b/>
          <w:sz w:val="18"/>
        </w:rPr>
        <w:t>Fytogeografie a fytocenologie</w:t>
      </w:r>
    </w:p>
    <w:p w14:paraId="692275E7" w14:textId="787D0C93" w:rsidR="00BD369D" w:rsidRPr="006070EA" w:rsidRDefault="00BD369D" w:rsidP="00BD369D">
      <w:pPr>
        <w:pStyle w:val="Atext"/>
        <w:rPr>
          <w:rFonts w:asciiTheme="majorHAnsi" w:hAnsiTheme="majorHAnsi" w:cstheme="majorHAnsi"/>
        </w:rPr>
      </w:pPr>
      <w:r w:rsidRPr="006070EA">
        <w:rPr>
          <w:rFonts w:asciiTheme="majorHAnsi" w:hAnsiTheme="majorHAnsi" w:cstheme="majorHAnsi"/>
        </w:rPr>
        <w:t xml:space="preserve">Dle regionálně fytogeografického členění spadá řešené území do oblasti T </w:t>
      </w:r>
      <w:r w:rsidR="00CF391E" w:rsidRPr="006070EA">
        <w:rPr>
          <w:rFonts w:asciiTheme="majorHAnsi" w:hAnsiTheme="majorHAnsi" w:cstheme="majorHAnsi"/>
        </w:rPr>
        <w:t>–</w:t>
      </w:r>
      <w:r w:rsidRPr="006070EA">
        <w:rPr>
          <w:rFonts w:asciiTheme="majorHAnsi" w:hAnsiTheme="majorHAnsi" w:cstheme="majorHAnsi"/>
        </w:rPr>
        <w:t xml:space="preserve"> Thermoptikum, obvodu České thermoptikum.</w:t>
      </w:r>
    </w:p>
    <w:p w14:paraId="6A1217DA" w14:textId="77777777" w:rsidR="00BD369D" w:rsidRPr="006070EA" w:rsidRDefault="00BD369D" w:rsidP="00BD369D">
      <w:pPr>
        <w:pStyle w:val="Atext"/>
        <w:rPr>
          <w:rFonts w:asciiTheme="majorHAnsi" w:hAnsiTheme="majorHAnsi" w:cstheme="majorHAnsi"/>
        </w:rPr>
      </w:pPr>
      <w:r w:rsidRPr="006070EA">
        <w:rPr>
          <w:rFonts w:asciiTheme="majorHAnsi" w:hAnsiTheme="majorHAnsi" w:cstheme="majorHAnsi"/>
        </w:rPr>
        <w:t xml:space="preserve">Z hlediska geobotanické rekonstrukce (Mikyška, 1972) se v území nachází následující vegetační jednotky: </w:t>
      </w:r>
    </w:p>
    <w:p w14:paraId="5329E67A" w14:textId="77777777" w:rsidR="00BD369D" w:rsidRPr="006070EA" w:rsidRDefault="00BD369D" w:rsidP="00BD369D">
      <w:pPr>
        <w:pStyle w:val="Bezmezer"/>
        <w:rPr>
          <w:rFonts w:asciiTheme="majorHAnsi" w:hAnsiTheme="majorHAnsi" w:cstheme="majorHAnsi"/>
          <w:lang w:val="cs-CZ"/>
        </w:rPr>
      </w:pPr>
      <w:r w:rsidRPr="006070EA">
        <w:rPr>
          <w:rFonts w:asciiTheme="majorHAnsi" w:hAnsiTheme="majorHAnsi" w:cstheme="majorHAnsi"/>
          <w:b/>
          <w:lang w:val="cs-CZ"/>
        </w:rPr>
        <w:tab/>
        <w:t>AU</w:t>
      </w:r>
      <w:r w:rsidRPr="006070EA">
        <w:rPr>
          <w:rFonts w:asciiTheme="majorHAnsi" w:hAnsiTheme="majorHAnsi" w:cstheme="majorHAnsi"/>
          <w:b/>
          <w:lang w:val="cs-CZ"/>
        </w:rPr>
        <w:tab/>
      </w:r>
      <w:r w:rsidRPr="006070EA">
        <w:rPr>
          <w:rFonts w:asciiTheme="majorHAnsi" w:hAnsiTheme="majorHAnsi" w:cstheme="majorHAnsi"/>
          <w:lang w:val="cs-CZ"/>
        </w:rPr>
        <w:t>luhy a olšiny</w:t>
      </w:r>
    </w:p>
    <w:p w14:paraId="097BBFD3" w14:textId="77777777" w:rsidR="00BD369D" w:rsidRPr="006070EA" w:rsidRDefault="00BD369D" w:rsidP="00BD369D">
      <w:pPr>
        <w:pStyle w:val="Bezmezer"/>
        <w:rPr>
          <w:rFonts w:asciiTheme="majorHAnsi" w:hAnsiTheme="majorHAnsi" w:cstheme="majorHAnsi"/>
          <w:lang w:val="cs-CZ"/>
        </w:rPr>
      </w:pPr>
      <w:r w:rsidRPr="006070EA">
        <w:rPr>
          <w:rFonts w:asciiTheme="majorHAnsi" w:hAnsiTheme="majorHAnsi" w:cstheme="majorHAnsi"/>
          <w:lang w:val="cs-CZ"/>
        </w:rPr>
        <w:tab/>
      </w:r>
      <w:r w:rsidRPr="006070EA">
        <w:rPr>
          <w:rFonts w:asciiTheme="majorHAnsi" w:hAnsiTheme="majorHAnsi" w:cstheme="majorHAnsi"/>
          <w:b/>
          <w:lang w:val="cs-CZ"/>
        </w:rPr>
        <w:t>C</w:t>
      </w:r>
      <w:r w:rsidRPr="006070EA">
        <w:rPr>
          <w:rFonts w:asciiTheme="majorHAnsi" w:hAnsiTheme="majorHAnsi" w:cstheme="majorHAnsi"/>
          <w:b/>
          <w:lang w:val="cs-CZ"/>
        </w:rPr>
        <w:tab/>
      </w:r>
      <w:r w:rsidRPr="006070EA">
        <w:rPr>
          <w:rFonts w:asciiTheme="majorHAnsi" w:hAnsiTheme="majorHAnsi" w:cstheme="majorHAnsi"/>
          <w:lang w:val="cs-CZ"/>
        </w:rPr>
        <w:t>dubo-habrové háje</w:t>
      </w:r>
    </w:p>
    <w:p w14:paraId="6B7AAB89" w14:textId="77777777" w:rsidR="00BD369D" w:rsidRPr="006070EA" w:rsidRDefault="00BD369D" w:rsidP="00BD369D">
      <w:pPr>
        <w:pStyle w:val="Bezmezer"/>
        <w:rPr>
          <w:rFonts w:asciiTheme="majorHAnsi" w:hAnsiTheme="majorHAnsi" w:cstheme="majorHAnsi"/>
          <w:lang w:val="cs-CZ"/>
        </w:rPr>
      </w:pPr>
      <w:r w:rsidRPr="006070EA">
        <w:rPr>
          <w:rFonts w:asciiTheme="majorHAnsi" w:hAnsiTheme="majorHAnsi" w:cstheme="majorHAnsi"/>
          <w:b/>
          <w:lang w:val="cs-CZ"/>
        </w:rPr>
        <w:tab/>
        <w:t xml:space="preserve">PQ            </w:t>
      </w:r>
      <w:r w:rsidRPr="006070EA">
        <w:rPr>
          <w:rFonts w:asciiTheme="majorHAnsi" w:hAnsiTheme="majorHAnsi" w:cstheme="majorHAnsi"/>
          <w:lang w:val="cs-CZ"/>
        </w:rPr>
        <w:t>borové doubravy</w:t>
      </w:r>
    </w:p>
    <w:p w14:paraId="5C6A9284" w14:textId="77777777" w:rsidR="00AB1F4C" w:rsidRPr="006070EA" w:rsidRDefault="00AB1F4C" w:rsidP="009E07E1">
      <w:pPr>
        <w:keepNext/>
        <w:spacing w:before="120" w:after="120" w:line="240" w:lineRule="auto"/>
        <w:rPr>
          <w:rFonts w:asciiTheme="majorHAnsi" w:hAnsiTheme="majorHAnsi" w:cstheme="majorHAnsi"/>
          <w:b/>
          <w:sz w:val="18"/>
        </w:rPr>
      </w:pPr>
      <w:r w:rsidRPr="006070EA">
        <w:rPr>
          <w:rFonts w:asciiTheme="majorHAnsi" w:hAnsiTheme="majorHAnsi" w:cstheme="majorHAnsi"/>
          <w:b/>
          <w:sz w:val="18"/>
        </w:rPr>
        <w:t>Biogeografické členění</w:t>
      </w:r>
    </w:p>
    <w:p w14:paraId="4BB77378" w14:textId="3062EC50" w:rsidR="00BD369D" w:rsidRPr="006070EA" w:rsidRDefault="00BD369D" w:rsidP="00BD369D">
      <w:pPr>
        <w:pStyle w:val="Atext"/>
        <w:rPr>
          <w:rStyle w:val="AnadpistunChar"/>
          <w:rFonts w:asciiTheme="majorHAnsi" w:hAnsiTheme="majorHAnsi" w:cstheme="majorHAnsi"/>
          <w:szCs w:val="18"/>
        </w:rPr>
      </w:pPr>
      <w:r w:rsidRPr="006070EA">
        <w:rPr>
          <w:rFonts w:asciiTheme="majorHAnsi" w:hAnsiTheme="majorHAnsi" w:cstheme="majorHAnsi"/>
          <w:szCs w:val="18"/>
        </w:rPr>
        <w:t>Do území zasahují celkem 3 biogeografické regiony – Českobrodský bioregion 1.5, Mladoboleslavský bioregion 1.6 a</w:t>
      </w:r>
      <w:r w:rsidR="00294610" w:rsidRPr="006070EA">
        <w:rPr>
          <w:rFonts w:asciiTheme="majorHAnsi" w:hAnsiTheme="majorHAnsi" w:cstheme="majorHAnsi"/>
          <w:szCs w:val="18"/>
        </w:rPr>
        <w:t> </w:t>
      </w:r>
      <w:r w:rsidRPr="006070EA">
        <w:rPr>
          <w:rFonts w:asciiTheme="majorHAnsi" w:hAnsiTheme="majorHAnsi" w:cstheme="majorHAnsi"/>
          <w:szCs w:val="18"/>
        </w:rPr>
        <w:t>Polabský bioregion 1.7 Níže je uvedena bližší specifikace jednotlivých bioregionů.</w:t>
      </w:r>
    </w:p>
    <w:p w14:paraId="3B2F455B" w14:textId="77777777" w:rsidR="00BD369D" w:rsidRPr="006070EA" w:rsidRDefault="00BD369D" w:rsidP="00BD369D">
      <w:pPr>
        <w:pStyle w:val="Atext"/>
        <w:rPr>
          <w:rFonts w:asciiTheme="majorHAnsi" w:hAnsiTheme="majorHAnsi" w:cstheme="majorHAnsi"/>
          <w:szCs w:val="18"/>
        </w:rPr>
      </w:pPr>
      <w:r w:rsidRPr="006070EA">
        <w:rPr>
          <w:rStyle w:val="AnadpistunChar"/>
          <w:rFonts w:asciiTheme="majorHAnsi" w:hAnsiTheme="majorHAnsi" w:cstheme="majorHAnsi"/>
          <w:szCs w:val="18"/>
        </w:rPr>
        <w:t>1.5 Českobrodský bioregion</w:t>
      </w:r>
      <w:r w:rsidRPr="006070EA">
        <w:rPr>
          <w:rFonts w:asciiTheme="majorHAnsi" w:hAnsiTheme="majorHAnsi" w:cstheme="majorHAnsi"/>
          <w:szCs w:val="18"/>
        </w:rPr>
        <w:t xml:space="preserve"> – zasahuje do jihozápadní části území. Bioregion leží uprostřed středních Čech, zabírá přibližně Českobrodskou tabuli, východní část Pražské plošiny a část Čáslavské kotliny. Bioregion tvoří úpatí Českomoravské vrchoviny a Středočeské pahorkatiny směrem k Polabí. Převažuje zde slabě teplomilná biota 2. (bukovo-dubového) vegetačního </w:t>
      </w:r>
      <w:r w:rsidRPr="006070EA">
        <w:rPr>
          <w:rFonts w:asciiTheme="majorHAnsi" w:hAnsiTheme="majorHAnsi" w:cstheme="majorHAnsi"/>
          <w:szCs w:val="18"/>
        </w:rPr>
        <w:lastRenderedPageBreak/>
        <w:t>stupně, biodiverzita je podprůměrná, exklávních a mezních prvků je velmi málo. Vegetační stupeň dle Skalického je kolinní až suprakolinní.</w:t>
      </w:r>
    </w:p>
    <w:p w14:paraId="3A758B8A" w14:textId="128CF1FF" w:rsidR="00BD369D" w:rsidRPr="006070EA" w:rsidRDefault="00BD369D" w:rsidP="00BD369D">
      <w:pPr>
        <w:pStyle w:val="Atext"/>
        <w:rPr>
          <w:rFonts w:asciiTheme="majorHAnsi" w:hAnsiTheme="majorHAnsi" w:cstheme="majorHAnsi"/>
          <w:szCs w:val="18"/>
        </w:rPr>
      </w:pPr>
      <w:r w:rsidRPr="006070EA">
        <w:rPr>
          <w:rStyle w:val="AnadpistunChar"/>
          <w:rFonts w:asciiTheme="majorHAnsi" w:hAnsiTheme="majorHAnsi" w:cstheme="majorHAnsi"/>
          <w:szCs w:val="18"/>
        </w:rPr>
        <w:t>1.6 Mladoboleslavský bioregion</w:t>
      </w:r>
      <w:r w:rsidRPr="006070EA">
        <w:rPr>
          <w:rFonts w:asciiTheme="majorHAnsi" w:hAnsiTheme="majorHAnsi" w:cstheme="majorHAnsi"/>
          <w:szCs w:val="18"/>
        </w:rPr>
        <w:t xml:space="preserve"> – zasahuje do severní části správního obvodu. Bioregion leží na severovýchodě středních Čech, zabírá nižší reliéf tvořený Mrlinskou tabulí, východní částí Jizerské tabule a jižní částí Turnovské pahorkatiny. Typická část bioregionu je tvořena slínovcovou pahorkatinou s těžkými jílovitými půdami a poměrně teplým vlhkým klimatem a tomu odpovídajícími zvláštními biocenózami. Dominuje 2. bukovo-dubový vegetační stupeň s dubohabrovými háji a</w:t>
      </w:r>
      <w:r w:rsidR="00433C39" w:rsidRPr="006070EA">
        <w:rPr>
          <w:rFonts w:asciiTheme="majorHAnsi" w:hAnsiTheme="majorHAnsi" w:cstheme="majorHAnsi"/>
          <w:szCs w:val="18"/>
        </w:rPr>
        <w:t> </w:t>
      </w:r>
      <w:r w:rsidRPr="006070EA">
        <w:rPr>
          <w:rFonts w:asciiTheme="majorHAnsi" w:hAnsiTheme="majorHAnsi" w:cstheme="majorHAnsi"/>
          <w:szCs w:val="18"/>
        </w:rPr>
        <w:t xml:space="preserve">teplomilnými doubravami, potočními luhy a bažinnými olšinami i slatinami. </w:t>
      </w:r>
    </w:p>
    <w:p w14:paraId="51BB227E" w14:textId="7A9FF129" w:rsidR="00BD369D" w:rsidRPr="006070EA" w:rsidRDefault="00BD369D" w:rsidP="00BD369D">
      <w:pPr>
        <w:pStyle w:val="Atext"/>
        <w:rPr>
          <w:rFonts w:asciiTheme="majorHAnsi" w:hAnsiTheme="majorHAnsi" w:cstheme="majorHAnsi"/>
          <w:szCs w:val="18"/>
        </w:rPr>
      </w:pPr>
      <w:r w:rsidRPr="006070EA">
        <w:rPr>
          <w:rStyle w:val="AnadpistunChar"/>
          <w:rFonts w:asciiTheme="majorHAnsi" w:hAnsiTheme="majorHAnsi" w:cstheme="majorHAnsi"/>
          <w:szCs w:val="18"/>
        </w:rPr>
        <w:t>1.7 Polabský bioregion</w:t>
      </w:r>
      <w:r w:rsidRPr="006070EA">
        <w:rPr>
          <w:rFonts w:asciiTheme="majorHAnsi" w:hAnsiTheme="majorHAnsi" w:cstheme="majorHAnsi"/>
          <w:szCs w:val="18"/>
        </w:rPr>
        <w:t xml:space="preserve"> – zabírá centrální a jižní část území. Bioregion leží ve střední části středních Čech, zabírá Terezínskou, Mělnickou a Nymburskou kotlinu a rozkládá se tak v nejnižší části celé České kotliny. Povrch bioregionu tvoří z</w:t>
      </w:r>
      <w:r w:rsidR="00433C39" w:rsidRPr="006070EA">
        <w:rPr>
          <w:rFonts w:asciiTheme="majorHAnsi" w:hAnsiTheme="majorHAnsi" w:cstheme="majorHAnsi"/>
          <w:szCs w:val="18"/>
        </w:rPr>
        <w:t> </w:t>
      </w:r>
      <w:r w:rsidRPr="006070EA">
        <w:rPr>
          <w:rFonts w:asciiTheme="majorHAnsi" w:hAnsiTheme="majorHAnsi" w:cstheme="majorHAnsi"/>
          <w:szCs w:val="18"/>
        </w:rPr>
        <w:t>velké části sedimenty kvartéru, jednak v různé míře písčité až jílovité hlíny labské nivy, jednak štěrkopísky až písky nižších teras, které pokrývají rozsáhlé plochy.</w:t>
      </w:r>
    </w:p>
    <w:p w14:paraId="5ED969AB" w14:textId="77777777" w:rsidR="00BD369D" w:rsidRPr="006070EA" w:rsidRDefault="00BD369D" w:rsidP="00BD369D">
      <w:pPr>
        <w:pStyle w:val="Atext"/>
        <w:rPr>
          <w:rFonts w:asciiTheme="majorHAnsi" w:hAnsiTheme="majorHAnsi" w:cstheme="majorHAnsi"/>
          <w:szCs w:val="18"/>
        </w:rPr>
      </w:pPr>
      <w:r w:rsidRPr="006070EA">
        <w:rPr>
          <w:rFonts w:asciiTheme="majorHAnsi" w:hAnsiTheme="majorHAnsi" w:cstheme="majorHAnsi"/>
          <w:szCs w:val="18"/>
        </w:rPr>
        <w:t>V řešeném území je bioregion zastoupen následujícími biochorami:</w:t>
      </w:r>
    </w:p>
    <w:p w14:paraId="55B7B896" w14:textId="77777777" w:rsidR="00BD369D" w:rsidRPr="006070EA" w:rsidRDefault="00BD369D" w:rsidP="00F3474A">
      <w:pPr>
        <w:pStyle w:val="Atext"/>
        <w:spacing w:after="0"/>
        <w:rPr>
          <w:rFonts w:asciiTheme="majorHAnsi" w:hAnsiTheme="majorHAnsi" w:cstheme="majorHAnsi"/>
          <w:b/>
          <w:szCs w:val="18"/>
        </w:rPr>
      </w:pPr>
      <w:r w:rsidRPr="006070EA">
        <w:rPr>
          <w:rFonts w:asciiTheme="majorHAnsi" w:hAnsiTheme="majorHAnsi" w:cstheme="majorHAnsi"/>
          <w:b/>
          <w:szCs w:val="18"/>
        </w:rPr>
        <w:t>2BL –</w:t>
      </w:r>
      <w:r w:rsidRPr="006070EA">
        <w:rPr>
          <w:rFonts w:asciiTheme="majorHAnsi" w:hAnsiTheme="majorHAnsi" w:cstheme="majorHAnsi"/>
          <w:szCs w:val="18"/>
          <w:shd w:val="clear" w:color="auto" w:fill="FFFFFF"/>
        </w:rPr>
        <w:t xml:space="preserve"> </w:t>
      </w:r>
      <w:proofErr w:type="gramStart"/>
      <w:r w:rsidRPr="006070EA">
        <w:rPr>
          <w:rFonts w:asciiTheme="majorHAnsi" w:hAnsiTheme="majorHAnsi" w:cstheme="majorHAnsi"/>
          <w:szCs w:val="18"/>
          <w:shd w:val="clear" w:color="auto" w:fill="FFFFFF"/>
        </w:rPr>
        <w:t>bukodubový - rozřezané</w:t>
      </w:r>
      <w:proofErr w:type="gramEnd"/>
      <w:r w:rsidRPr="006070EA">
        <w:rPr>
          <w:rFonts w:asciiTheme="majorHAnsi" w:hAnsiTheme="majorHAnsi" w:cstheme="majorHAnsi"/>
          <w:szCs w:val="18"/>
          <w:shd w:val="clear" w:color="auto" w:fill="FFFFFF"/>
        </w:rPr>
        <w:t xml:space="preserve"> plošiny (s mělkými údolími) - neutrální permské sedimenty</w:t>
      </w:r>
    </w:p>
    <w:p w14:paraId="043128D0"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2BE –</w:t>
      </w:r>
      <w:r w:rsidRPr="006070EA">
        <w:rPr>
          <w:rFonts w:asciiTheme="majorHAnsi" w:hAnsiTheme="majorHAnsi" w:cstheme="majorHAnsi"/>
          <w:szCs w:val="18"/>
          <w:shd w:val="clear" w:color="auto" w:fill="FFFFFF"/>
        </w:rPr>
        <w:t xml:space="preserve"> </w:t>
      </w:r>
      <w:proofErr w:type="gramStart"/>
      <w:r w:rsidRPr="006070EA">
        <w:rPr>
          <w:rFonts w:asciiTheme="majorHAnsi" w:hAnsiTheme="majorHAnsi" w:cstheme="majorHAnsi"/>
          <w:szCs w:val="18"/>
          <w:shd w:val="clear" w:color="auto" w:fill="FFFFFF"/>
        </w:rPr>
        <w:t>bukodubový - rozřezané</w:t>
      </w:r>
      <w:proofErr w:type="gramEnd"/>
      <w:r w:rsidRPr="006070EA">
        <w:rPr>
          <w:rFonts w:asciiTheme="majorHAnsi" w:hAnsiTheme="majorHAnsi" w:cstheme="majorHAnsi"/>
          <w:szCs w:val="18"/>
          <w:shd w:val="clear" w:color="auto" w:fill="FFFFFF"/>
        </w:rPr>
        <w:t xml:space="preserve"> plošiny (s mělkými údolími) </w:t>
      </w:r>
      <w:proofErr w:type="gramStart"/>
      <w:r w:rsidRPr="006070EA">
        <w:rPr>
          <w:rFonts w:asciiTheme="majorHAnsi" w:hAnsiTheme="majorHAnsi" w:cstheme="majorHAnsi"/>
          <w:szCs w:val="18"/>
          <w:shd w:val="clear" w:color="auto" w:fill="FFFFFF"/>
        </w:rPr>
        <w:t>-  spraše</w:t>
      </w:r>
      <w:proofErr w:type="gramEnd"/>
      <w:r w:rsidRPr="006070EA">
        <w:rPr>
          <w:rFonts w:asciiTheme="majorHAnsi" w:hAnsiTheme="majorHAnsi" w:cstheme="majorHAnsi"/>
          <w:szCs w:val="18"/>
          <w:shd w:val="clear" w:color="auto" w:fill="FFFFFF"/>
        </w:rPr>
        <w:t xml:space="preserve"> (a sprašové hlíny)</w:t>
      </w:r>
    </w:p>
    <w:p w14:paraId="6CF770A0"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2Db – </w:t>
      </w:r>
      <w:proofErr w:type="gramStart"/>
      <w:r w:rsidRPr="006070EA">
        <w:rPr>
          <w:rFonts w:asciiTheme="majorHAnsi" w:hAnsiTheme="majorHAnsi" w:cstheme="majorHAnsi"/>
          <w:szCs w:val="18"/>
          <w:shd w:val="clear" w:color="auto" w:fill="FFFFFF"/>
        </w:rPr>
        <w:t>bukodubový - sníženiny</w:t>
      </w:r>
      <w:proofErr w:type="gramEnd"/>
      <w:r w:rsidRPr="006070EA">
        <w:rPr>
          <w:rFonts w:asciiTheme="majorHAnsi" w:hAnsiTheme="majorHAnsi" w:cstheme="majorHAnsi"/>
          <w:szCs w:val="18"/>
          <w:shd w:val="clear" w:color="auto" w:fill="FFFFFF"/>
        </w:rPr>
        <w:t xml:space="preserve"> (deprese, zpravidla podmáčené) - slíny (slínovce, vápnité jíly)</w:t>
      </w:r>
    </w:p>
    <w:p w14:paraId="6BA8ABC0"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2Do – </w:t>
      </w:r>
      <w:proofErr w:type="gramStart"/>
      <w:r w:rsidRPr="006070EA">
        <w:rPr>
          <w:rFonts w:asciiTheme="majorHAnsi" w:hAnsiTheme="majorHAnsi" w:cstheme="majorHAnsi"/>
          <w:szCs w:val="18"/>
          <w:shd w:val="clear" w:color="auto" w:fill="FFFFFF"/>
        </w:rPr>
        <w:t>bukodubový - sníženiny</w:t>
      </w:r>
      <w:proofErr w:type="gramEnd"/>
      <w:r w:rsidRPr="006070EA">
        <w:rPr>
          <w:rFonts w:asciiTheme="majorHAnsi" w:hAnsiTheme="majorHAnsi" w:cstheme="majorHAnsi"/>
          <w:szCs w:val="18"/>
          <w:shd w:val="clear" w:color="auto" w:fill="FFFFFF"/>
        </w:rPr>
        <w:t xml:space="preserve"> (deprese, zpravidla podmáčené) - neutrální vulkanity</w:t>
      </w:r>
    </w:p>
    <w:p w14:paraId="40D1C7E1"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 2Lh – </w:t>
      </w:r>
      <w:proofErr w:type="gramStart"/>
      <w:r w:rsidRPr="006070EA">
        <w:rPr>
          <w:rFonts w:asciiTheme="majorHAnsi" w:hAnsiTheme="majorHAnsi" w:cstheme="majorHAnsi"/>
          <w:szCs w:val="18"/>
          <w:shd w:val="clear" w:color="auto" w:fill="FFFFFF"/>
        </w:rPr>
        <w:t>bukodubový - širší</w:t>
      </w:r>
      <w:proofErr w:type="gramEnd"/>
      <w:r w:rsidRPr="006070EA">
        <w:rPr>
          <w:rFonts w:asciiTheme="majorHAnsi" w:hAnsiTheme="majorHAnsi" w:cstheme="majorHAnsi"/>
          <w:szCs w:val="18"/>
          <w:shd w:val="clear" w:color="auto" w:fill="FFFFFF"/>
        </w:rPr>
        <w:t xml:space="preserve"> nivy (luhy) - hadce</w:t>
      </w:r>
    </w:p>
    <w:p w14:paraId="4AEDE891"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2Nh – </w:t>
      </w:r>
      <w:proofErr w:type="gramStart"/>
      <w:r w:rsidRPr="006070EA">
        <w:rPr>
          <w:rFonts w:asciiTheme="majorHAnsi" w:hAnsiTheme="majorHAnsi" w:cstheme="majorHAnsi"/>
          <w:szCs w:val="18"/>
          <w:shd w:val="clear" w:color="auto" w:fill="FFFFFF"/>
        </w:rPr>
        <w:t>bukodubový - užší</w:t>
      </w:r>
      <w:proofErr w:type="gramEnd"/>
      <w:r w:rsidRPr="006070EA">
        <w:rPr>
          <w:rFonts w:asciiTheme="majorHAnsi" w:hAnsiTheme="majorHAnsi" w:cstheme="majorHAnsi"/>
          <w:szCs w:val="18"/>
          <w:shd w:val="clear" w:color="auto" w:fill="FFFFFF"/>
        </w:rPr>
        <w:t xml:space="preserve"> </w:t>
      </w:r>
      <w:proofErr w:type="gramStart"/>
      <w:r w:rsidRPr="006070EA">
        <w:rPr>
          <w:rFonts w:asciiTheme="majorHAnsi" w:hAnsiTheme="majorHAnsi" w:cstheme="majorHAnsi"/>
          <w:szCs w:val="18"/>
          <w:shd w:val="clear" w:color="auto" w:fill="FFFFFF"/>
        </w:rPr>
        <w:t>nivy - hadce</w:t>
      </w:r>
      <w:proofErr w:type="gramEnd"/>
    </w:p>
    <w:p w14:paraId="23FFD6BF" w14:textId="77777777" w:rsidR="00BD369D" w:rsidRPr="006070EA" w:rsidRDefault="00BD369D" w:rsidP="00F3474A">
      <w:pPr>
        <w:pStyle w:val="Atext"/>
        <w:spacing w:before="0" w:after="0"/>
        <w:rPr>
          <w:rFonts w:asciiTheme="majorHAnsi" w:hAnsiTheme="majorHAnsi" w:cstheme="majorHAnsi"/>
          <w:szCs w:val="18"/>
          <w:shd w:val="clear" w:color="auto" w:fill="FFFFFF"/>
        </w:rPr>
      </w:pPr>
      <w:r w:rsidRPr="006070EA">
        <w:rPr>
          <w:rFonts w:asciiTheme="majorHAnsi" w:hAnsiTheme="majorHAnsi" w:cstheme="majorHAnsi"/>
          <w:b/>
          <w:szCs w:val="18"/>
        </w:rPr>
        <w:t xml:space="preserve">2PB – </w:t>
      </w:r>
      <w:r w:rsidRPr="006070EA">
        <w:rPr>
          <w:rFonts w:asciiTheme="majorHAnsi" w:hAnsiTheme="majorHAnsi" w:cstheme="majorHAnsi"/>
          <w:szCs w:val="18"/>
          <w:shd w:val="clear" w:color="auto" w:fill="FFFFFF"/>
        </w:rPr>
        <w:t xml:space="preserve">bukodubový – </w:t>
      </w:r>
      <w:proofErr w:type="gramStart"/>
      <w:r w:rsidRPr="006070EA">
        <w:rPr>
          <w:rFonts w:asciiTheme="majorHAnsi" w:hAnsiTheme="majorHAnsi" w:cstheme="majorHAnsi"/>
          <w:szCs w:val="18"/>
          <w:shd w:val="clear" w:color="auto" w:fill="FFFFFF"/>
        </w:rPr>
        <w:t>pahorkatiny - slíny</w:t>
      </w:r>
      <w:proofErr w:type="gramEnd"/>
      <w:r w:rsidRPr="006070EA">
        <w:rPr>
          <w:rFonts w:asciiTheme="majorHAnsi" w:hAnsiTheme="majorHAnsi" w:cstheme="majorHAnsi"/>
          <w:szCs w:val="18"/>
          <w:shd w:val="clear" w:color="auto" w:fill="FFFFFF"/>
        </w:rPr>
        <w:t xml:space="preserve"> (slínovce, vápnité jíly)</w:t>
      </w:r>
    </w:p>
    <w:p w14:paraId="28DE2F96"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2PB –</w:t>
      </w:r>
      <w:r w:rsidRPr="006070EA">
        <w:rPr>
          <w:rFonts w:asciiTheme="majorHAnsi" w:hAnsiTheme="majorHAnsi" w:cstheme="majorHAnsi"/>
          <w:szCs w:val="18"/>
          <w:shd w:val="clear" w:color="auto" w:fill="FFFFFF"/>
        </w:rPr>
        <w:t xml:space="preserve"> bukodubový – </w:t>
      </w:r>
      <w:proofErr w:type="gramStart"/>
      <w:r w:rsidRPr="006070EA">
        <w:rPr>
          <w:rFonts w:asciiTheme="majorHAnsi" w:hAnsiTheme="majorHAnsi" w:cstheme="majorHAnsi"/>
          <w:szCs w:val="18"/>
          <w:shd w:val="clear" w:color="auto" w:fill="FFFFFF"/>
        </w:rPr>
        <w:t>pahorkatiny - slíny</w:t>
      </w:r>
      <w:proofErr w:type="gramEnd"/>
      <w:r w:rsidRPr="006070EA">
        <w:rPr>
          <w:rFonts w:asciiTheme="majorHAnsi" w:hAnsiTheme="majorHAnsi" w:cstheme="majorHAnsi"/>
          <w:szCs w:val="18"/>
          <w:shd w:val="clear" w:color="auto" w:fill="FFFFFF"/>
        </w:rPr>
        <w:t xml:space="preserve"> (slínovce, vápnité jíly)</w:t>
      </w:r>
    </w:p>
    <w:p w14:paraId="6ED44AEE"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2RB – </w:t>
      </w:r>
      <w:proofErr w:type="gramStart"/>
      <w:r w:rsidRPr="006070EA">
        <w:rPr>
          <w:rFonts w:asciiTheme="majorHAnsi" w:hAnsiTheme="majorHAnsi" w:cstheme="majorHAnsi"/>
          <w:szCs w:val="18"/>
          <w:shd w:val="clear" w:color="auto" w:fill="FFFFFF"/>
        </w:rPr>
        <w:t>bukodubový - plošiny</w:t>
      </w:r>
      <w:proofErr w:type="gramEnd"/>
      <w:r w:rsidRPr="006070EA">
        <w:rPr>
          <w:rFonts w:asciiTheme="majorHAnsi" w:hAnsiTheme="majorHAnsi" w:cstheme="majorHAnsi"/>
          <w:szCs w:val="18"/>
          <w:shd w:val="clear" w:color="auto" w:fill="FFFFFF"/>
        </w:rPr>
        <w:t xml:space="preserve"> (roviny) - slíny (slínovce, vápnité jíly)</w:t>
      </w:r>
    </w:p>
    <w:p w14:paraId="614B8A90"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2RD – </w:t>
      </w:r>
      <w:proofErr w:type="gramStart"/>
      <w:r w:rsidRPr="006070EA">
        <w:rPr>
          <w:rFonts w:asciiTheme="majorHAnsi" w:hAnsiTheme="majorHAnsi" w:cstheme="majorHAnsi"/>
          <w:szCs w:val="18"/>
          <w:shd w:val="clear" w:color="auto" w:fill="FFFFFF"/>
        </w:rPr>
        <w:t>bukodubový - plošiny</w:t>
      </w:r>
      <w:proofErr w:type="gramEnd"/>
      <w:r w:rsidRPr="006070EA">
        <w:rPr>
          <w:rFonts w:asciiTheme="majorHAnsi" w:hAnsiTheme="majorHAnsi" w:cstheme="majorHAnsi"/>
          <w:szCs w:val="18"/>
          <w:shd w:val="clear" w:color="auto" w:fill="FFFFFF"/>
        </w:rPr>
        <w:t xml:space="preserve"> (roviny) - opuky</w:t>
      </w:r>
    </w:p>
    <w:p w14:paraId="2A0FAB21"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2RE – </w:t>
      </w:r>
      <w:proofErr w:type="gramStart"/>
      <w:r w:rsidRPr="006070EA">
        <w:rPr>
          <w:rFonts w:asciiTheme="majorHAnsi" w:hAnsiTheme="majorHAnsi" w:cstheme="majorHAnsi"/>
          <w:szCs w:val="18"/>
          <w:shd w:val="clear" w:color="auto" w:fill="FFFFFF"/>
        </w:rPr>
        <w:t>bukodubový - plošiny</w:t>
      </w:r>
      <w:proofErr w:type="gramEnd"/>
      <w:r w:rsidRPr="006070EA">
        <w:rPr>
          <w:rFonts w:asciiTheme="majorHAnsi" w:hAnsiTheme="majorHAnsi" w:cstheme="majorHAnsi"/>
          <w:szCs w:val="18"/>
          <w:shd w:val="clear" w:color="auto" w:fill="FFFFFF"/>
        </w:rPr>
        <w:t xml:space="preserve"> (roviny) - spraše (a sprašové hlíny)</w:t>
      </w:r>
    </w:p>
    <w:p w14:paraId="3624CB49"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2RN – </w:t>
      </w:r>
      <w:proofErr w:type="gramStart"/>
      <w:r w:rsidRPr="006070EA">
        <w:rPr>
          <w:rFonts w:asciiTheme="majorHAnsi" w:hAnsiTheme="majorHAnsi" w:cstheme="majorHAnsi"/>
          <w:szCs w:val="18"/>
          <w:shd w:val="clear" w:color="auto" w:fill="FFFFFF"/>
        </w:rPr>
        <w:t>bukodubový - plošiny</w:t>
      </w:r>
      <w:proofErr w:type="gramEnd"/>
      <w:r w:rsidRPr="006070EA">
        <w:rPr>
          <w:rFonts w:asciiTheme="majorHAnsi" w:hAnsiTheme="majorHAnsi" w:cstheme="majorHAnsi"/>
          <w:szCs w:val="18"/>
          <w:shd w:val="clear" w:color="auto" w:fill="FFFFFF"/>
        </w:rPr>
        <w:t xml:space="preserve"> (roviny) - zahliněné štěrkopísky</w:t>
      </w:r>
    </w:p>
    <w:p w14:paraId="3C976F22" w14:textId="77777777" w:rsidR="00BD369D" w:rsidRPr="006070EA" w:rsidRDefault="00BD369D" w:rsidP="00F3474A">
      <w:pPr>
        <w:pStyle w:val="Atext"/>
        <w:spacing w:before="0" w:after="0"/>
        <w:rPr>
          <w:rFonts w:asciiTheme="majorHAnsi" w:hAnsiTheme="majorHAnsi" w:cstheme="majorHAnsi"/>
          <w:b/>
          <w:szCs w:val="18"/>
        </w:rPr>
      </w:pPr>
      <w:r w:rsidRPr="006070EA">
        <w:rPr>
          <w:rFonts w:asciiTheme="majorHAnsi" w:hAnsiTheme="majorHAnsi" w:cstheme="majorHAnsi"/>
          <w:b/>
          <w:szCs w:val="18"/>
        </w:rPr>
        <w:t xml:space="preserve">2RU – </w:t>
      </w:r>
      <w:proofErr w:type="gramStart"/>
      <w:r w:rsidRPr="006070EA">
        <w:rPr>
          <w:rFonts w:asciiTheme="majorHAnsi" w:hAnsiTheme="majorHAnsi" w:cstheme="majorHAnsi"/>
          <w:szCs w:val="18"/>
          <w:shd w:val="clear" w:color="auto" w:fill="FFFFFF"/>
        </w:rPr>
        <w:t>bukodubový - plošiny</w:t>
      </w:r>
      <w:proofErr w:type="gramEnd"/>
      <w:r w:rsidRPr="006070EA">
        <w:rPr>
          <w:rFonts w:asciiTheme="majorHAnsi" w:hAnsiTheme="majorHAnsi" w:cstheme="majorHAnsi"/>
          <w:szCs w:val="18"/>
          <w:shd w:val="clear" w:color="auto" w:fill="FFFFFF"/>
        </w:rPr>
        <w:t xml:space="preserve"> (roviny) - (terasové) štěrkopísky</w:t>
      </w:r>
    </w:p>
    <w:p w14:paraId="58017A23" w14:textId="188F4D5C" w:rsidR="00BD369D" w:rsidRPr="006070EA" w:rsidRDefault="00BD369D" w:rsidP="00F3474A">
      <w:pPr>
        <w:spacing w:after="60" w:line="240" w:lineRule="auto"/>
        <w:ind w:firstLine="709"/>
        <w:jc w:val="both"/>
        <w:rPr>
          <w:rFonts w:asciiTheme="majorHAnsi" w:eastAsiaTheme="minorEastAsia" w:hAnsiTheme="majorHAnsi" w:cstheme="majorHAnsi"/>
          <w:sz w:val="18"/>
          <w:szCs w:val="18"/>
        </w:rPr>
      </w:pPr>
      <w:r w:rsidRPr="006070EA">
        <w:rPr>
          <w:rFonts w:asciiTheme="majorHAnsi" w:hAnsiTheme="majorHAnsi" w:cstheme="majorHAnsi"/>
          <w:b/>
          <w:sz w:val="18"/>
          <w:szCs w:val="18"/>
        </w:rPr>
        <w:t xml:space="preserve">2RV – </w:t>
      </w:r>
      <w:proofErr w:type="gramStart"/>
      <w:r w:rsidRPr="006070EA">
        <w:rPr>
          <w:rFonts w:asciiTheme="majorHAnsi" w:hAnsiTheme="majorHAnsi" w:cstheme="majorHAnsi"/>
          <w:sz w:val="18"/>
          <w:szCs w:val="18"/>
          <w:shd w:val="clear" w:color="auto" w:fill="FFFFFF"/>
        </w:rPr>
        <w:t>bukodubový - plošiny</w:t>
      </w:r>
      <w:proofErr w:type="gramEnd"/>
      <w:r w:rsidRPr="006070EA">
        <w:rPr>
          <w:rFonts w:asciiTheme="majorHAnsi" w:hAnsiTheme="majorHAnsi" w:cstheme="majorHAnsi"/>
          <w:sz w:val="18"/>
          <w:szCs w:val="18"/>
          <w:shd w:val="clear" w:color="auto" w:fill="FFFFFF"/>
        </w:rPr>
        <w:t xml:space="preserve"> (roviny) - váté písky</w:t>
      </w:r>
    </w:p>
    <w:p w14:paraId="5B3A600E" w14:textId="77777777" w:rsidR="00AB1F4C" w:rsidRPr="006070EA" w:rsidRDefault="00D035B2" w:rsidP="009E07E1">
      <w:pPr>
        <w:keepNext/>
        <w:spacing w:before="120" w:after="120" w:line="240" w:lineRule="auto"/>
        <w:rPr>
          <w:rFonts w:asciiTheme="majorHAnsi" w:hAnsiTheme="majorHAnsi" w:cstheme="majorHAnsi"/>
          <w:b/>
          <w:sz w:val="18"/>
        </w:rPr>
      </w:pPr>
      <w:r w:rsidRPr="006070EA">
        <w:rPr>
          <w:rFonts w:asciiTheme="majorHAnsi" w:hAnsiTheme="majorHAnsi" w:cstheme="majorHAnsi"/>
          <w:b/>
          <w:sz w:val="18"/>
        </w:rPr>
        <w:t>Krajinný ráz a cílové charakteristiky krajiny</w:t>
      </w:r>
    </w:p>
    <w:p w14:paraId="0B5D4B24" w14:textId="77777777" w:rsidR="00BD369D" w:rsidRPr="006070EA" w:rsidRDefault="00BD369D" w:rsidP="00BD369D">
      <w:pPr>
        <w:pStyle w:val="Anadpispodtren"/>
        <w:rPr>
          <w:rFonts w:asciiTheme="majorHAnsi" w:hAnsiTheme="majorHAnsi" w:cstheme="majorHAnsi"/>
          <w:color w:val="000000"/>
        </w:rPr>
      </w:pPr>
      <w:r w:rsidRPr="006070EA">
        <w:rPr>
          <w:rFonts w:asciiTheme="majorHAnsi" w:hAnsiTheme="majorHAnsi" w:cstheme="majorHAnsi"/>
          <w:color w:val="000000"/>
        </w:rPr>
        <w:t>Krajinný ráz</w:t>
      </w:r>
    </w:p>
    <w:p w14:paraId="15184D84" w14:textId="77777777" w:rsidR="00BD369D" w:rsidRPr="006070EA" w:rsidRDefault="00BD369D" w:rsidP="00BD369D">
      <w:pPr>
        <w:pStyle w:val="Atext"/>
        <w:rPr>
          <w:rFonts w:asciiTheme="majorHAnsi" w:hAnsiTheme="majorHAnsi" w:cstheme="majorHAnsi"/>
          <w:color w:val="000000"/>
        </w:rPr>
      </w:pPr>
      <w:r w:rsidRPr="006070EA">
        <w:rPr>
          <w:rFonts w:asciiTheme="majorHAnsi" w:hAnsiTheme="majorHAnsi" w:cstheme="majorHAnsi"/>
          <w:color w:val="000000"/>
        </w:rPr>
        <w:t>Krajinný ráz je dán přírodní, kulturní a historickou charakteristikou určitého místa nebo oblasti, resp. vnímatelnými znaky a hodnotami těchto charakteristik.</w:t>
      </w:r>
    </w:p>
    <w:p w14:paraId="60628596" w14:textId="7035C698" w:rsidR="00BD369D" w:rsidRPr="006070EA" w:rsidRDefault="00BD369D" w:rsidP="00BD369D">
      <w:pPr>
        <w:pStyle w:val="Atext"/>
        <w:rPr>
          <w:rFonts w:asciiTheme="majorHAnsi" w:hAnsiTheme="majorHAnsi" w:cstheme="majorHAnsi"/>
          <w:color w:val="000000"/>
        </w:rPr>
      </w:pPr>
      <w:r w:rsidRPr="006070EA">
        <w:rPr>
          <w:rFonts w:asciiTheme="majorHAnsi" w:hAnsiTheme="majorHAnsi" w:cstheme="majorHAnsi"/>
          <w:color w:val="000000"/>
        </w:rPr>
        <w:t>Rozsáhlá oblast pravobřežní části Polabí mezi Kolínem a Mělníkem přestavuje typický obraz Polabské nížiny s</w:t>
      </w:r>
      <w:r w:rsidR="00B7573B" w:rsidRPr="006070EA">
        <w:rPr>
          <w:rFonts w:asciiTheme="majorHAnsi" w:hAnsiTheme="majorHAnsi" w:cstheme="majorHAnsi"/>
          <w:color w:val="000000"/>
        </w:rPr>
        <w:t> </w:t>
      </w:r>
      <w:r w:rsidRPr="006070EA">
        <w:rPr>
          <w:rFonts w:asciiTheme="majorHAnsi" w:hAnsiTheme="majorHAnsi" w:cstheme="majorHAnsi"/>
          <w:color w:val="000000"/>
        </w:rPr>
        <w:t xml:space="preserve">velkým měřítkem intenzivně obhospodařované zemědělské krajiny. V panoramatech velkoplošně členěné krajiny se výrazně projevuje mohutný zelený koridor Labe s pásy doprovodné zeleně, lužními prostory a navazujícími lesními celky. Charakter vizuální scény oblasti se vyznačuje otevřeností a velkým měřítkem krajiny. Předěl krajinných typů </w:t>
      </w:r>
      <w:r w:rsidR="00B7573B" w:rsidRPr="006070EA">
        <w:rPr>
          <w:rFonts w:asciiTheme="majorHAnsi" w:hAnsiTheme="majorHAnsi" w:cstheme="majorHAnsi"/>
          <w:color w:val="000000"/>
        </w:rPr>
        <w:t>–</w:t>
      </w:r>
      <w:r w:rsidRPr="006070EA">
        <w:rPr>
          <w:rFonts w:asciiTheme="majorHAnsi" w:hAnsiTheme="majorHAnsi" w:cstheme="majorHAnsi"/>
          <w:color w:val="000000"/>
        </w:rPr>
        <w:t xml:space="preserve"> agrární krajiny a nivy Labe </w:t>
      </w:r>
      <w:r w:rsidR="00B7573B" w:rsidRPr="006070EA">
        <w:rPr>
          <w:rFonts w:asciiTheme="majorHAnsi" w:hAnsiTheme="majorHAnsi" w:cstheme="majorHAnsi"/>
          <w:color w:val="000000"/>
        </w:rPr>
        <w:t>–</w:t>
      </w:r>
      <w:r w:rsidRPr="006070EA">
        <w:rPr>
          <w:rFonts w:asciiTheme="majorHAnsi" w:hAnsiTheme="majorHAnsi" w:cstheme="majorHAnsi"/>
          <w:color w:val="000000"/>
        </w:rPr>
        <w:t xml:space="preserve"> je velmi mírný, i když je místy tvořen poměrně zřetelným svahem. Přes nevýraznou hranici jsou rozdíly mezi oběma typy krajiny značné. Krajina vyniká četnými krajinářsko-estetickými hodnotami vázanými na přírodě blízké partie koridoru Labe, na scenérie členitějších partií okolí Lysé nad Labem, kde je krajinná scéna prostoru Nymburské kotliny obohacena výrazným kontrastem přehledné nížiny Nymburské kotliny a scenerií nevysokých, ale v krajině významných výšin. Nižší část území </w:t>
      </w:r>
      <w:r w:rsidR="00B7573B" w:rsidRPr="006070EA">
        <w:rPr>
          <w:rFonts w:asciiTheme="majorHAnsi" w:hAnsiTheme="majorHAnsi" w:cstheme="majorHAnsi"/>
          <w:color w:val="000000"/>
        </w:rPr>
        <w:t>–</w:t>
      </w:r>
      <w:r w:rsidRPr="006070EA">
        <w:rPr>
          <w:rFonts w:asciiTheme="majorHAnsi" w:hAnsiTheme="majorHAnsi" w:cstheme="majorHAnsi"/>
          <w:color w:val="000000"/>
        </w:rPr>
        <w:t xml:space="preserve"> niva Labe v nadmořské výšce cca 180 m n.m. - je živá, s říčními rameny, vodními plochami a přítoky Hronětického potoka a Vlkavy, s množstvím drobných lesíků, rozptýlené zeleně a souvislých lužních lesů. Tyto pozitivní znaky se týkají především dílčích scenérií a vnímání proměn krajinné scény při průchodu krajinou (možnost vnímání celkových panoramat tohoto segmentu krajiny není příliš častá). </w:t>
      </w:r>
      <w:r w:rsidR="00B7573B" w:rsidRPr="006070EA">
        <w:rPr>
          <w:rFonts w:asciiTheme="majorHAnsi" w:hAnsiTheme="majorHAnsi" w:cstheme="majorHAnsi"/>
          <w:color w:val="000000"/>
        </w:rPr>
        <w:t>Jedná se</w:t>
      </w:r>
      <w:r w:rsidRPr="006070EA">
        <w:rPr>
          <w:rFonts w:asciiTheme="majorHAnsi" w:hAnsiTheme="majorHAnsi" w:cstheme="majorHAnsi"/>
          <w:color w:val="000000"/>
        </w:rPr>
        <w:t xml:space="preserve"> v tomto případě o krajin</w:t>
      </w:r>
      <w:r w:rsidR="00B7573B" w:rsidRPr="006070EA">
        <w:rPr>
          <w:rFonts w:asciiTheme="majorHAnsi" w:hAnsiTheme="majorHAnsi" w:cstheme="majorHAnsi"/>
          <w:color w:val="000000"/>
        </w:rPr>
        <w:t>u</w:t>
      </w:r>
      <w:r w:rsidRPr="006070EA">
        <w:rPr>
          <w:rFonts w:asciiTheme="majorHAnsi" w:hAnsiTheme="majorHAnsi" w:cstheme="majorHAnsi"/>
          <w:color w:val="000000"/>
        </w:rPr>
        <w:t xml:space="preserve"> s estetickými hodnotami, harmonickým měřítkem a vztahy. Vyšší polohy agrární krajiny v</w:t>
      </w:r>
      <w:r w:rsidR="00433C39" w:rsidRPr="006070EA">
        <w:rPr>
          <w:rFonts w:asciiTheme="majorHAnsi" w:hAnsiTheme="majorHAnsi" w:cstheme="majorHAnsi"/>
          <w:color w:val="000000"/>
        </w:rPr>
        <w:t> </w:t>
      </w:r>
      <w:r w:rsidRPr="006070EA">
        <w:rPr>
          <w:rFonts w:asciiTheme="majorHAnsi" w:hAnsiTheme="majorHAnsi" w:cstheme="majorHAnsi"/>
          <w:color w:val="000000"/>
        </w:rPr>
        <w:t xml:space="preserve">nadmořské výšce cca </w:t>
      </w:r>
      <w:proofErr w:type="gramStart"/>
      <w:r w:rsidRPr="006070EA">
        <w:rPr>
          <w:rFonts w:asciiTheme="majorHAnsi" w:hAnsiTheme="majorHAnsi" w:cstheme="majorHAnsi"/>
          <w:color w:val="000000"/>
        </w:rPr>
        <w:t>200 - 230</w:t>
      </w:r>
      <w:proofErr w:type="gramEnd"/>
      <w:r w:rsidRPr="006070EA">
        <w:rPr>
          <w:rFonts w:asciiTheme="majorHAnsi" w:hAnsiTheme="majorHAnsi" w:cstheme="majorHAnsi"/>
          <w:color w:val="000000"/>
        </w:rPr>
        <w:t xml:space="preserve"> m n.m. představují krajinu velkého měřítka bez členících strukturních prvků, bez zřetelného vymezení. Tento typ krajiny se převážně vyznačuje nevýrazností terénu, malou diverzitou prvků krajinné scény a absencí harmonie měřítka a vztahů v krajině. V přehledné krajině se výrazně projevuje lesnatý okraj Dolnojizerské tabule a Mrlinské tabule. Krajina s velkými zemědělskými obcemi skrývá řadu lokalit s cennou architekturou a</w:t>
      </w:r>
      <w:r w:rsidR="00B7573B" w:rsidRPr="006070EA">
        <w:rPr>
          <w:rFonts w:asciiTheme="majorHAnsi" w:hAnsiTheme="majorHAnsi" w:cstheme="majorHAnsi"/>
          <w:color w:val="000000"/>
        </w:rPr>
        <w:t> </w:t>
      </w:r>
      <w:r w:rsidRPr="006070EA">
        <w:rPr>
          <w:rFonts w:asciiTheme="majorHAnsi" w:hAnsiTheme="majorHAnsi" w:cstheme="majorHAnsi"/>
          <w:color w:val="000000"/>
        </w:rPr>
        <w:t xml:space="preserve">lokality s historickými krajinnými úpravami a parky. V krajinných panoramatech se projevují architektonické dominanty měst Kolína, Poděbrad, Lysé nad Labem a dalších. Vnější pohledy jsou otevřené, se vzdálenými horizonty, zobrazující krajinu velkých prostorových dimenzí a velkého měřítka. </w:t>
      </w:r>
    </w:p>
    <w:p w14:paraId="3EABB404" w14:textId="77777777" w:rsidR="00BD369D" w:rsidRPr="006070EA" w:rsidRDefault="00BD369D" w:rsidP="00CF391E">
      <w:pPr>
        <w:pStyle w:val="Anadpispodtren"/>
        <w:rPr>
          <w:rFonts w:asciiTheme="majorHAnsi" w:hAnsiTheme="majorHAnsi" w:cstheme="majorHAnsi"/>
          <w:color w:val="000000"/>
        </w:rPr>
      </w:pPr>
      <w:r w:rsidRPr="006070EA">
        <w:rPr>
          <w:rFonts w:asciiTheme="majorHAnsi" w:hAnsiTheme="majorHAnsi" w:cstheme="majorHAnsi"/>
          <w:color w:val="000000"/>
        </w:rPr>
        <w:lastRenderedPageBreak/>
        <w:t>Krajinný typ</w:t>
      </w:r>
    </w:p>
    <w:p w14:paraId="5C25E634" w14:textId="77777777" w:rsidR="00BD369D" w:rsidRPr="006070EA" w:rsidRDefault="00BD369D" w:rsidP="00CF391E">
      <w:pPr>
        <w:pStyle w:val="Atext"/>
        <w:keepNext/>
        <w:rPr>
          <w:rFonts w:asciiTheme="majorHAnsi" w:hAnsiTheme="majorHAnsi" w:cstheme="majorHAnsi"/>
          <w:color w:val="000000"/>
        </w:rPr>
      </w:pPr>
      <w:r w:rsidRPr="006070EA">
        <w:rPr>
          <w:rFonts w:asciiTheme="majorHAnsi" w:hAnsiTheme="majorHAnsi" w:cstheme="majorHAnsi"/>
          <w:color w:val="000000"/>
        </w:rPr>
        <w:t>Dle ZÚR Středočeského kraje je krajina správního území obce Kostomlaty nad Labem začleněno do následujících krajinných typů:</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7"/>
        <w:gridCol w:w="6280"/>
      </w:tblGrid>
      <w:tr w:rsidR="00BD369D" w:rsidRPr="006070EA" w14:paraId="3A40606B" w14:textId="77777777" w:rsidTr="00B7573B">
        <w:trPr>
          <w:cantSplit/>
          <w:trHeight w:val="283"/>
          <w:tblHeader/>
          <w:jc w:val="center"/>
        </w:trPr>
        <w:tc>
          <w:tcPr>
            <w:tcW w:w="2617" w:type="dxa"/>
            <w:tcBorders>
              <w:top w:val="nil"/>
              <w:left w:val="nil"/>
              <w:bottom w:val="single" w:sz="12" w:space="0" w:color="auto"/>
              <w:right w:val="single" w:sz="12" w:space="0" w:color="auto"/>
            </w:tcBorders>
            <w:vAlign w:val="center"/>
            <w:hideMark/>
          </w:tcPr>
          <w:p w14:paraId="34FD302F" w14:textId="77777777" w:rsidR="00BD369D" w:rsidRPr="006070EA" w:rsidRDefault="00BD369D" w:rsidP="00CF391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krajinný typ dle cílového využití</w:t>
            </w:r>
          </w:p>
        </w:tc>
        <w:tc>
          <w:tcPr>
            <w:tcW w:w="6280" w:type="dxa"/>
            <w:tcBorders>
              <w:top w:val="nil"/>
              <w:left w:val="single" w:sz="12" w:space="0" w:color="auto"/>
              <w:bottom w:val="single" w:sz="12" w:space="0" w:color="auto"/>
              <w:right w:val="nil"/>
            </w:tcBorders>
            <w:vAlign w:val="center"/>
            <w:hideMark/>
          </w:tcPr>
          <w:p w14:paraId="702E4600" w14:textId="77777777" w:rsidR="00BD369D" w:rsidRPr="006070EA" w:rsidRDefault="00BD369D" w:rsidP="00CF391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Krajina polní</w:t>
            </w:r>
          </w:p>
        </w:tc>
      </w:tr>
      <w:tr w:rsidR="00BD369D" w:rsidRPr="006070EA" w14:paraId="23D0C733" w14:textId="77777777" w:rsidTr="00B7573B">
        <w:trPr>
          <w:trHeight w:val="283"/>
          <w:jc w:val="center"/>
        </w:trPr>
        <w:tc>
          <w:tcPr>
            <w:tcW w:w="2617" w:type="dxa"/>
            <w:tcBorders>
              <w:top w:val="single" w:sz="12" w:space="0" w:color="auto"/>
              <w:left w:val="nil"/>
              <w:bottom w:val="single" w:sz="12" w:space="0" w:color="auto"/>
              <w:right w:val="single" w:sz="12" w:space="0" w:color="auto"/>
            </w:tcBorders>
            <w:vAlign w:val="center"/>
            <w:hideMark/>
          </w:tcPr>
          <w:p w14:paraId="52BFAA6F" w14:textId="77777777" w:rsidR="00BD369D" w:rsidRPr="006070EA" w:rsidRDefault="00BD369D" w:rsidP="00CF391E">
            <w:pPr>
              <w:pStyle w:val="Bezmezer"/>
              <w:keepNext/>
              <w:rPr>
                <w:rFonts w:asciiTheme="majorHAnsi" w:hAnsiTheme="majorHAnsi" w:cstheme="majorHAnsi"/>
                <w:b/>
                <w:color w:val="000000"/>
                <w:lang w:val="cs-CZ"/>
              </w:rPr>
            </w:pPr>
            <w:r w:rsidRPr="006070EA">
              <w:rPr>
                <w:rFonts w:asciiTheme="majorHAnsi" w:hAnsiTheme="majorHAnsi" w:cstheme="majorHAnsi"/>
                <w:b/>
                <w:color w:val="000000"/>
                <w:lang w:val="cs-CZ"/>
              </w:rPr>
              <w:t>území</w:t>
            </w:r>
          </w:p>
        </w:tc>
        <w:tc>
          <w:tcPr>
            <w:tcW w:w="6280" w:type="dxa"/>
            <w:tcBorders>
              <w:top w:val="single" w:sz="12" w:space="0" w:color="auto"/>
              <w:left w:val="single" w:sz="12" w:space="0" w:color="auto"/>
              <w:bottom w:val="single" w:sz="4" w:space="0" w:color="auto"/>
              <w:right w:val="nil"/>
            </w:tcBorders>
            <w:vAlign w:val="center"/>
          </w:tcPr>
          <w:p w14:paraId="1DFA3BB1" w14:textId="77777777" w:rsidR="00BD369D" w:rsidRPr="006070EA" w:rsidRDefault="00BD369D" w:rsidP="00CF391E">
            <w:pPr>
              <w:pStyle w:val="Bezmezer"/>
              <w:keepNext/>
              <w:rPr>
                <w:rFonts w:asciiTheme="majorHAnsi" w:hAnsiTheme="majorHAnsi" w:cstheme="majorHAnsi"/>
                <w:color w:val="000000"/>
                <w:lang w:val="cs-CZ"/>
              </w:rPr>
            </w:pPr>
            <w:r w:rsidRPr="006070EA">
              <w:rPr>
                <w:rFonts w:asciiTheme="majorHAnsi" w:hAnsiTheme="majorHAnsi" w:cstheme="majorHAnsi"/>
                <w:color w:val="000000"/>
                <w:lang w:val="cs-CZ"/>
              </w:rPr>
              <w:t>celé řešené území</w:t>
            </w:r>
          </w:p>
        </w:tc>
      </w:tr>
      <w:tr w:rsidR="00BD369D" w:rsidRPr="006070EA" w14:paraId="382831D0" w14:textId="77777777" w:rsidTr="00B7573B">
        <w:trPr>
          <w:trHeight w:val="283"/>
          <w:jc w:val="center"/>
        </w:trPr>
        <w:tc>
          <w:tcPr>
            <w:tcW w:w="2617" w:type="dxa"/>
            <w:tcBorders>
              <w:top w:val="single" w:sz="12" w:space="0" w:color="auto"/>
              <w:left w:val="nil"/>
              <w:bottom w:val="single" w:sz="12" w:space="0" w:color="auto"/>
              <w:right w:val="single" w:sz="12" w:space="0" w:color="auto"/>
            </w:tcBorders>
            <w:vAlign w:val="center"/>
            <w:hideMark/>
          </w:tcPr>
          <w:p w14:paraId="1B76B776" w14:textId="77777777" w:rsidR="00BD369D" w:rsidRPr="006070EA" w:rsidRDefault="00BD369D" w:rsidP="000E35EE">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charakteristika krajiny</w:t>
            </w:r>
          </w:p>
        </w:tc>
        <w:tc>
          <w:tcPr>
            <w:tcW w:w="6280" w:type="dxa"/>
            <w:tcBorders>
              <w:top w:val="single" w:sz="4" w:space="0" w:color="auto"/>
              <w:left w:val="single" w:sz="12" w:space="0" w:color="auto"/>
              <w:bottom w:val="single" w:sz="4" w:space="0" w:color="auto"/>
              <w:right w:val="nil"/>
            </w:tcBorders>
            <w:vAlign w:val="center"/>
            <w:hideMark/>
          </w:tcPr>
          <w:p w14:paraId="3468EBBB" w14:textId="77777777" w:rsidR="00BD369D" w:rsidRPr="006070EA" w:rsidRDefault="00BD369D" w:rsidP="000E35EE">
            <w:pPr>
              <w:autoSpaceDE w:val="0"/>
              <w:autoSpaceDN w:val="0"/>
              <w:adjustRightInd w:val="0"/>
              <w:jc w:val="both"/>
              <w:rPr>
                <w:rFonts w:asciiTheme="majorHAnsi" w:hAnsiTheme="majorHAnsi" w:cstheme="majorHAnsi"/>
                <w:color w:val="000000"/>
                <w:sz w:val="18"/>
                <w:szCs w:val="20"/>
                <w:lang w:eastAsia="cs-CZ"/>
              </w:rPr>
            </w:pPr>
            <w:r w:rsidRPr="006070EA">
              <w:rPr>
                <w:rFonts w:asciiTheme="majorHAnsi" w:hAnsiTheme="majorHAnsi" w:cstheme="majorHAnsi"/>
                <w:color w:val="000000"/>
                <w:sz w:val="18"/>
                <w:szCs w:val="20"/>
                <w:lang w:eastAsia="cs-CZ"/>
              </w:rPr>
              <w:t>oblasti s vysokým podílem zemědělského půdního fondu, které mají příznivé terénní podmínky pro hospodaření a vysokou kvalitu půdy</w:t>
            </w:r>
          </w:p>
        </w:tc>
      </w:tr>
      <w:tr w:rsidR="00BD369D" w:rsidRPr="006070EA" w14:paraId="2AA0F264" w14:textId="77777777" w:rsidTr="00B7573B">
        <w:trPr>
          <w:trHeight w:val="283"/>
          <w:jc w:val="center"/>
        </w:trPr>
        <w:tc>
          <w:tcPr>
            <w:tcW w:w="2617" w:type="dxa"/>
            <w:tcBorders>
              <w:top w:val="single" w:sz="12" w:space="0" w:color="auto"/>
              <w:left w:val="nil"/>
              <w:bottom w:val="single" w:sz="12" w:space="0" w:color="auto"/>
              <w:right w:val="single" w:sz="12" w:space="0" w:color="auto"/>
            </w:tcBorders>
            <w:vAlign w:val="center"/>
            <w:hideMark/>
          </w:tcPr>
          <w:p w14:paraId="790BB9F9" w14:textId="77777777" w:rsidR="00BD369D" w:rsidRPr="006070EA" w:rsidRDefault="00BD369D" w:rsidP="000E35EE">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hlavní cílové využití dle ZÚR</w:t>
            </w:r>
          </w:p>
        </w:tc>
        <w:tc>
          <w:tcPr>
            <w:tcW w:w="6280" w:type="dxa"/>
            <w:tcBorders>
              <w:top w:val="single" w:sz="4" w:space="0" w:color="auto"/>
              <w:left w:val="single" w:sz="12" w:space="0" w:color="auto"/>
              <w:bottom w:val="single" w:sz="4" w:space="0" w:color="auto"/>
              <w:right w:val="nil"/>
            </w:tcBorders>
            <w:vAlign w:val="center"/>
            <w:hideMark/>
          </w:tcPr>
          <w:p w14:paraId="51EA7540" w14:textId="77777777" w:rsidR="00BD369D" w:rsidRPr="006070EA" w:rsidRDefault="00BD369D" w:rsidP="000E35EE">
            <w:pPr>
              <w:autoSpaceDE w:val="0"/>
              <w:autoSpaceDN w:val="0"/>
              <w:adjustRightInd w:val="0"/>
              <w:jc w:val="both"/>
              <w:rPr>
                <w:rFonts w:asciiTheme="majorHAnsi" w:hAnsiTheme="majorHAnsi" w:cstheme="majorHAnsi"/>
                <w:color w:val="000000"/>
                <w:sz w:val="18"/>
              </w:rPr>
            </w:pPr>
            <w:r w:rsidRPr="006070EA">
              <w:rPr>
                <w:rFonts w:asciiTheme="majorHAnsi" w:hAnsiTheme="majorHAnsi" w:cstheme="majorHAnsi"/>
                <w:color w:val="000000"/>
                <w:sz w:val="18"/>
                <w:szCs w:val="20"/>
                <w:lang w:eastAsia="cs-CZ"/>
              </w:rPr>
              <w:t>přírodní potenciál území pro vysokou nebo specifickou zemědělskou produkci</w:t>
            </w:r>
          </w:p>
        </w:tc>
      </w:tr>
      <w:tr w:rsidR="00BD369D" w:rsidRPr="006070EA" w14:paraId="12161735" w14:textId="77777777" w:rsidTr="00B7573B">
        <w:trPr>
          <w:trHeight w:val="283"/>
          <w:jc w:val="center"/>
        </w:trPr>
        <w:tc>
          <w:tcPr>
            <w:tcW w:w="2617" w:type="dxa"/>
            <w:tcBorders>
              <w:top w:val="single" w:sz="12" w:space="0" w:color="auto"/>
              <w:left w:val="nil"/>
              <w:bottom w:val="nil"/>
              <w:right w:val="single" w:sz="12" w:space="0" w:color="auto"/>
            </w:tcBorders>
            <w:vAlign w:val="center"/>
            <w:hideMark/>
          </w:tcPr>
          <w:p w14:paraId="7B7FAD82" w14:textId="77777777" w:rsidR="00BD369D" w:rsidRPr="006070EA" w:rsidRDefault="00BD369D" w:rsidP="00B7573B">
            <w:pPr>
              <w:pStyle w:val="Bezmezer"/>
              <w:rPr>
                <w:rFonts w:asciiTheme="majorHAnsi" w:hAnsiTheme="majorHAnsi" w:cstheme="majorHAnsi"/>
                <w:b/>
                <w:color w:val="000000"/>
                <w:lang w:val="cs-CZ"/>
              </w:rPr>
            </w:pPr>
            <w:r w:rsidRPr="006070EA">
              <w:rPr>
                <w:rFonts w:asciiTheme="majorHAnsi" w:hAnsiTheme="majorHAnsi" w:cstheme="majorHAnsi"/>
                <w:b/>
                <w:color w:val="000000"/>
                <w:lang w:val="cs-CZ"/>
              </w:rPr>
              <w:t>zásady pro činnost v území a rozhodování o změnách v území dle ZÚR</w:t>
            </w:r>
          </w:p>
        </w:tc>
        <w:tc>
          <w:tcPr>
            <w:tcW w:w="6280" w:type="dxa"/>
            <w:tcBorders>
              <w:top w:val="single" w:sz="4" w:space="0" w:color="auto"/>
              <w:left w:val="single" w:sz="12" w:space="0" w:color="auto"/>
              <w:bottom w:val="nil"/>
              <w:right w:val="nil"/>
            </w:tcBorders>
            <w:vAlign w:val="center"/>
            <w:hideMark/>
          </w:tcPr>
          <w:p w14:paraId="129A2EF0" w14:textId="77777777" w:rsidR="00BD369D" w:rsidRPr="006070EA" w:rsidRDefault="00BD369D" w:rsidP="00B7573B">
            <w:pPr>
              <w:pStyle w:val="Bezmezer"/>
              <w:numPr>
                <w:ilvl w:val="0"/>
                <w:numId w:val="35"/>
              </w:numPr>
              <w:ind w:left="456" w:hanging="284"/>
              <w:rPr>
                <w:rFonts w:asciiTheme="majorHAnsi" w:hAnsiTheme="majorHAnsi" w:cstheme="majorHAnsi"/>
                <w:color w:val="000000"/>
                <w:szCs w:val="20"/>
                <w:lang w:val="cs-CZ" w:eastAsia="cs-CZ"/>
              </w:rPr>
            </w:pPr>
            <w:r w:rsidRPr="006070EA">
              <w:rPr>
                <w:rFonts w:asciiTheme="majorHAnsi" w:hAnsiTheme="majorHAnsi" w:cstheme="majorHAnsi"/>
                <w:color w:val="000000"/>
                <w:szCs w:val="20"/>
                <w:lang w:val="cs-CZ" w:eastAsia="cs-CZ"/>
              </w:rPr>
              <w:t>zachování komparativních výhod pro zemědělské hospodaření</w:t>
            </w:r>
          </w:p>
          <w:p w14:paraId="78A94DAE" w14:textId="77777777" w:rsidR="00BD369D" w:rsidRPr="006070EA" w:rsidRDefault="00BD369D" w:rsidP="00B7573B">
            <w:pPr>
              <w:pStyle w:val="Bezmezer"/>
              <w:numPr>
                <w:ilvl w:val="0"/>
                <w:numId w:val="35"/>
              </w:numPr>
              <w:ind w:left="456" w:hanging="284"/>
              <w:rPr>
                <w:rFonts w:asciiTheme="majorHAnsi" w:hAnsiTheme="majorHAnsi" w:cstheme="majorHAnsi"/>
                <w:color w:val="000000"/>
                <w:lang w:val="cs-CZ"/>
              </w:rPr>
            </w:pPr>
            <w:r w:rsidRPr="006070EA">
              <w:rPr>
                <w:rFonts w:asciiTheme="majorHAnsi" w:hAnsiTheme="majorHAnsi" w:cstheme="majorHAnsi"/>
                <w:color w:val="000000"/>
                <w:szCs w:val="20"/>
                <w:lang w:val="cs-CZ" w:eastAsia="cs-CZ"/>
              </w:rPr>
              <w:t>neohrozit podmínky pro vysokou nebo specifickou zemědělskou funkci</w:t>
            </w:r>
          </w:p>
        </w:tc>
      </w:tr>
    </w:tbl>
    <w:p w14:paraId="680B05CE" w14:textId="0416EB78" w:rsidR="00AB1F4C" w:rsidRPr="006070EA" w:rsidRDefault="006D175C" w:rsidP="00132CA6">
      <w:pPr>
        <w:pStyle w:val="Norml"/>
        <w:spacing w:before="60" w:after="60"/>
        <w:rPr>
          <w:rFonts w:asciiTheme="majorHAnsi" w:hAnsiTheme="majorHAnsi" w:cstheme="majorHAnsi"/>
        </w:rPr>
      </w:pPr>
      <w:bookmarkStart w:id="388" w:name="_Toc424119859"/>
      <w:r w:rsidRPr="006070EA">
        <w:rPr>
          <w:rFonts w:asciiTheme="majorHAnsi" w:hAnsiTheme="majorHAnsi" w:cstheme="majorHAnsi"/>
        </w:rPr>
        <w:t xml:space="preserve">Územní plán zohledňuje a respektuje cílové charakteristiky krajiny, stanovené v ZÚR </w:t>
      </w:r>
      <w:r w:rsidR="00B7573B" w:rsidRPr="006070EA">
        <w:rPr>
          <w:rFonts w:asciiTheme="majorHAnsi" w:hAnsiTheme="majorHAnsi" w:cstheme="majorHAnsi"/>
        </w:rPr>
        <w:t xml:space="preserve">SK </w:t>
      </w:r>
      <w:r w:rsidRPr="006070EA">
        <w:rPr>
          <w:rFonts w:asciiTheme="majorHAnsi" w:hAnsiTheme="majorHAnsi" w:cstheme="majorHAnsi"/>
        </w:rPr>
        <w:t xml:space="preserve">(více viz kap. 3.2 </w:t>
      </w:r>
      <w:r w:rsidR="00B7573B" w:rsidRPr="006070EA">
        <w:rPr>
          <w:rFonts w:asciiTheme="majorHAnsi" w:hAnsiTheme="majorHAnsi" w:cstheme="majorHAnsi"/>
        </w:rPr>
        <w:t>tohoto o</w:t>
      </w:r>
      <w:r w:rsidRPr="006070EA">
        <w:rPr>
          <w:rFonts w:asciiTheme="majorHAnsi" w:hAnsiTheme="majorHAnsi" w:cstheme="majorHAnsi"/>
        </w:rPr>
        <w:t>důvodnění).</w:t>
      </w:r>
      <w:r w:rsidR="00616F2B" w:rsidRPr="006070EA">
        <w:rPr>
          <w:rFonts w:asciiTheme="majorHAnsi" w:hAnsiTheme="majorHAnsi" w:cstheme="majorHAnsi"/>
        </w:rPr>
        <w:t xml:space="preserve"> V</w:t>
      </w:r>
      <w:r w:rsidR="00AB1F4C" w:rsidRPr="006070EA">
        <w:rPr>
          <w:rFonts w:asciiTheme="majorHAnsi" w:hAnsiTheme="majorHAnsi" w:cstheme="majorHAnsi"/>
        </w:rPr>
        <w:t> rámci jednotlivých ploch s rozdílným způsobem využití</w:t>
      </w:r>
      <w:r w:rsidR="00616F2B" w:rsidRPr="006070EA">
        <w:rPr>
          <w:rFonts w:asciiTheme="majorHAnsi" w:hAnsiTheme="majorHAnsi" w:cstheme="majorHAnsi"/>
        </w:rPr>
        <w:t>, na něž je bezvýhradně členěno území obce,</w:t>
      </w:r>
      <w:r w:rsidR="00AB1F4C" w:rsidRPr="006070EA">
        <w:rPr>
          <w:rFonts w:asciiTheme="majorHAnsi" w:hAnsiTheme="majorHAnsi" w:cstheme="majorHAnsi"/>
        </w:rPr>
        <w:t xml:space="preserve"> </w:t>
      </w:r>
      <w:r w:rsidR="00616F2B" w:rsidRPr="006070EA">
        <w:rPr>
          <w:rFonts w:asciiTheme="majorHAnsi" w:hAnsiTheme="majorHAnsi" w:cstheme="majorHAnsi"/>
        </w:rPr>
        <w:t xml:space="preserve">jsou v ÚP </w:t>
      </w:r>
      <w:r w:rsidR="00B7573B" w:rsidRPr="006070EA">
        <w:rPr>
          <w:rFonts w:asciiTheme="majorHAnsi" w:hAnsiTheme="majorHAnsi" w:cstheme="majorHAnsi"/>
        </w:rPr>
        <w:t>Kostomlaty nad Labem</w:t>
      </w:r>
      <w:r w:rsidR="00616F2B" w:rsidRPr="006070EA">
        <w:rPr>
          <w:rFonts w:asciiTheme="majorHAnsi" w:hAnsiTheme="majorHAnsi" w:cstheme="majorHAnsi"/>
        </w:rPr>
        <w:t xml:space="preserve"> </w:t>
      </w:r>
      <w:r w:rsidR="00AB1F4C" w:rsidRPr="006070EA">
        <w:rPr>
          <w:rFonts w:asciiTheme="majorHAnsi" w:hAnsiTheme="majorHAnsi" w:cstheme="majorHAnsi"/>
        </w:rPr>
        <w:t xml:space="preserve">stanoveny základní podmínky ochrany </w:t>
      </w:r>
      <w:r w:rsidR="00616F2B" w:rsidRPr="006070EA">
        <w:rPr>
          <w:rFonts w:asciiTheme="majorHAnsi" w:hAnsiTheme="majorHAnsi" w:cstheme="majorHAnsi"/>
        </w:rPr>
        <w:t>krajinného rázu</w:t>
      </w:r>
      <w:r w:rsidR="00D035B2" w:rsidRPr="006070EA">
        <w:rPr>
          <w:rFonts w:asciiTheme="majorHAnsi" w:hAnsiTheme="majorHAnsi" w:cstheme="majorHAnsi"/>
        </w:rPr>
        <w:t>, které představují zejména podmínky prostorového uspořádání</w:t>
      </w:r>
      <w:r w:rsidR="00AB1F4C" w:rsidRPr="006070EA">
        <w:rPr>
          <w:rFonts w:asciiTheme="majorHAnsi" w:hAnsiTheme="majorHAnsi" w:cstheme="majorHAnsi"/>
        </w:rPr>
        <w:t xml:space="preserve"> (charakter a</w:t>
      </w:r>
      <w:r w:rsidR="00DD4496" w:rsidRPr="006070EA">
        <w:rPr>
          <w:rFonts w:asciiTheme="majorHAnsi" w:hAnsiTheme="majorHAnsi" w:cstheme="majorHAnsi"/>
        </w:rPr>
        <w:t> </w:t>
      </w:r>
      <w:r w:rsidR="00AB1F4C" w:rsidRPr="006070EA">
        <w:rPr>
          <w:rFonts w:asciiTheme="majorHAnsi" w:hAnsiTheme="majorHAnsi" w:cstheme="majorHAnsi"/>
        </w:rPr>
        <w:t xml:space="preserve">struktura zástavby, </w:t>
      </w:r>
      <w:r w:rsidR="00D035B2" w:rsidRPr="006070EA">
        <w:rPr>
          <w:rFonts w:asciiTheme="majorHAnsi" w:hAnsiTheme="majorHAnsi" w:cstheme="majorHAnsi"/>
        </w:rPr>
        <w:t xml:space="preserve">maximální výška zástavby, koeficient maximálního zastavění pozemku, koeficient minimálního podílu zeleně na pozemku, </w:t>
      </w:r>
      <w:r w:rsidR="00DD4496" w:rsidRPr="006070EA">
        <w:rPr>
          <w:rFonts w:asciiTheme="majorHAnsi" w:hAnsiTheme="majorHAnsi" w:cstheme="majorHAnsi"/>
        </w:rPr>
        <w:t>rozmezí</w:t>
      </w:r>
      <w:r w:rsidR="00D035B2" w:rsidRPr="006070EA">
        <w:rPr>
          <w:rFonts w:asciiTheme="majorHAnsi" w:hAnsiTheme="majorHAnsi" w:cstheme="majorHAnsi"/>
        </w:rPr>
        <w:t xml:space="preserve"> výměr</w:t>
      </w:r>
      <w:r w:rsidR="00DD4496" w:rsidRPr="006070EA">
        <w:rPr>
          <w:rFonts w:asciiTheme="majorHAnsi" w:hAnsiTheme="majorHAnsi" w:cstheme="majorHAnsi"/>
        </w:rPr>
        <w:t>y</w:t>
      </w:r>
      <w:r w:rsidR="00D035B2" w:rsidRPr="006070EA">
        <w:rPr>
          <w:rFonts w:asciiTheme="majorHAnsi" w:hAnsiTheme="majorHAnsi" w:cstheme="majorHAnsi"/>
        </w:rPr>
        <w:t xml:space="preserve"> stavebního pozemku, maximální velikost zastavěn</w:t>
      </w:r>
      <w:r w:rsidR="00F3474A" w:rsidRPr="006070EA">
        <w:rPr>
          <w:rFonts w:asciiTheme="majorHAnsi" w:hAnsiTheme="majorHAnsi" w:cstheme="majorHAnsi"/>
        </w:rPr>
        <w:t>é</w:t>
      </w:r>
      <w:r w:rsidR="00D035B2" w:rsidRPr="006070EA">
        <w:rPr>
          <w:rFonts w:asciiTheme="majorHAnsi" w:hAnsiTheme="majorHAnsi" w:cstheme="majorHAnsi"/>
        </w:rPr>
        <w:t xml:space="preserve"> plochy objektu</w:t>
      </w:r>
      <w:r w:rsidR="00AB1F4C" w:rsidRPr="006070EA">
        <w:rPr>
          <w:rFonts w:asciiTheme="majorHAnsi" w:hAnsiTheme="majorHAnsi" w:cstheme="majorHAnsi"/>
        </w:rPr>
        <w:t>).</w:t>
      </w:r>
    </w:p>
    <w:p w14:paraId="09EAAEFE" w14:textId="77777777" w:rsidR="00AB1F4C" w:rsidRPr="006070EA" w:rsidRDefault="00AB1F4C"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89" w:name="_Toc204678204"/>
      <w:bookmarkEnd w:id="388"/>
      <w:r w:rsidRPr="006070EA">
        <w:rPr>
          <w:rFonts w:asciiTheme="majorHAnsi" w:hAnsiTheme="majorHAnsi" w:cstheme="majorHAnsi"/>
          <w:b/>
        </w:rPr>
        <w:t>Odůvodnění koncepce uspořádání krajiny</w:t>
      </w:r>
      <w:bookmarkEnd w:id="389"/>
    </w:p>
    <w:p w14:paraId="02EBB236" w14:textId="65EFCFCD" w:rsidR="00F3474A" w:rsidRPr="006070EA" w:rsidRDefault="00F3474A" w:rsidP="00F3474A">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(4</w:t>
      </w:r>
      <w:r w:rsidR="0021590A">
        <w:rPr>
          <w:rFonts w:asciiTheme="majorHAnsi" w:hAnsiTheme="majorHAnsi" w:cstheme="majorHAnsi"/>
          <w:b/>
          <w:i/>
          <w:snapToGrid w:val="0"/>
          <w:u w:val="single"/>
        </w:rPr>
        <w:t>5</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27207EC3" w14:textId="77777777"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 xml:space="preserve">Krajina města je dokladem dlouhodobého historického vývoje osídlení a rozvoje ekonomických činností na pozadí geomorfologicky výrazného terénu. Současný stav krajiny na území města je výsledkem dlouhodobého intenzívního zemědělského a lesního hospodaření a výrazné urbanizace volné krajiny rekreačními objekty zejména na svazích údolí řeky Sázavy. </w:t>
      </w:r>
    </w:p>
    <w:p w14:paraId="24ABBAB6" w14:textId="221D9EE9"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 xml:space="preserve">Nosným principem návrhu je co nejvíce </w:t>
      </w:r>
      <w:r w:rsidRPr="006070EA">
        <w:rPr>
          <w:rFonts w:asciiTheme="majorHAnsi" w:hAnsiTheme="majorHAnsi" w:cstheme="majorHAnsi"/>
          <w:b/>
        </w:rPr>
        <w:t>vyvážený vztah volné krajiny a zastavěného (urbanizovaného) území</w:t>
      </w:r>
      <w:r w:rsidRPr="006070EA">
        <w:rPr>
          <w:rFonts w:asciiTheme="majorHAnsi" w:hAnsiTheme="majorHAnsi" w:cstheme="majorHAnsi"/>
        </w:rPr>
        <w:t xml:space="preserve">, který utváří komplexní obraz krajiny města v širším slova smyslu. Volná krajina je definována jako prostor pro ekonomickou činnost (zemědělství a lesnictví) a volnočasové (rekreační) aktivity. Na stejné úrovni jsou sledovány i funkce krajiny pro ochranu přírodního dědictví a pro zajištění přírodních procesů nezbytných pro obnovu přírodních zdrojů a zdravého životního prostředí. Poslední stejně významnou oblastí je celkový ráz krajiny s uplatněním významných prostor, krajinných os, dominant, předělů apod., který je spojen s autentičností, image a obytností prostoru </w:t>
      </w:r>
      <w:r w:rsidR="00CF391E" w:rsidRPr="006070EA">
        <w:rPr>
          <w:rFonts w:asciiTheme="majorHAnsi" w:hAnsiTheme="majorHAnsi" w:cstheme="majorHAnsi"/>
        </w:rPr>
        <w:t>obce</w:t>
      </w:r>
      <w:r w:rsidRPr="006070EA">
        <w:rPr>
          <w:rFonts w:asciiTheme="majorHAnsi" w:hAnsiTheme="majorHAnsi" w:cstheme="majorHAnsi"/>
        </w:rPr>
        <w:t>.</w:t>
      </w:r>
    </w:p>
    <w:p w14:paraId="3A82B6C9" w14:textId="7D00A997" w:rsidR="000630C0" w:rsidRPr="006070EA" w:rsidRDefault="000630C0" w:rsidP="000630C0">
      <w:pPr>
        <w:pStyle w:val="Atext"/>
        <w:rPr>
          <w:rFonts w:asciiTheme="majorHAnsi" w:hAnsiTheme="majorHAnsi" w:cstheme="majorHAnsi"/>
        </w:rPr>
      </w:pPr>
      <w:r w:rsidRPr="006070EA">
        <w:rPr>
          <w:rFonts w:asciiTheme="majorHAnsi" w:hAnsiTheme="majorHAnsi" w:cstheme="majorHAnsi"/>
        </w:rPr>
        <w:t>Krajina řešeného území představuje stabilizovaný systém zemědělsky využívané půdy v návaznosti na sídla. Krajinné osy sledují vodní toky v území a představují hlavní ekostabilizační prvky krajiny. V řešeném území lze identifikovat zejména běžné zemědělské hospodaření a extenzivní hospodaření ve vazbě na jižní část území. V krajině intenzivně využívané je nutné vytvářet podmínky pro další formy jejího využívání a charakteru, a to zejména (s ohledem na výše uvedené podklady) rekreační využívání spojené např. s pěší a cykloturistikou, a posilování přírodních a krajinných hodnot v území, které podpoří stabilitu environmentálního pilíře udržitelného rozvoje území.</w:t>
      </w:r>
    </w:p>
    <w:p w14:paraId="44F92786" w14:textId="28CEDADA" w:rsidR="00F3474A" w:rsidRPr="006070EA" w:rsidRDefault="00DD4076" w:rsidP="00F3474A">
      <w:pPr>
        <w:pStyle w:val="Atext"/>
        <w:rPr>
          <w:rFonts w:asciiTheme="majorHAnsi" w:hAnsiTheme="majorHAnsi" w:cstheme="majorHAnsi"/>
        </w:rPr>
      </w:pPr>
      <w:r w:rsidRPr="006070EA">
        <w:rPr>
          <w:rFonts w:asciiTheme="majorHAnsi" w:hAnsiTheme="majorHAnsi" w:cstheme="majorHAnsi"/>
        </w:rPr>
        <w:t>Zásady koncepce uspořádání krajiny souvisí mj. s požadavkem</w:t>
      </w:r>
      <w:r w:rsidR="00F3474A" w:rsidRPr="006070EA">
        <w:rPr>
          <w:rFonts w:asciiTheme="majorHAnsi" w:hAnsiTheme="majorHAnsi" w:cstheme="majorHAnsi"/>
        </w:rPr>
        <w:t xml:space="preserve"> PÚR ČR („</w:t>
      </w:r>
      <w:r w:rsidR="00F3474A" w:rsidRPr="006070EA">
        <w:rPr>
          <w:rFonts w:asciiTheme="majorHAnsi" w:hAnsiTheme="majorHAnsi" w:cstheme="majorHAnsi"/>
          <w:i/>
          <w:iCs w:val="0"/>
        </w:rPr>
        <w:t>bránit upadání venkovské krajiny jako důsledku nedostatku lidských zásahů“ a „při plánování rozvoje venkovských území a oblastí dbát na rozvoj primárního sektoru při zohlednění ochrany kvalitní zemědělské, především orné půdy a ekologických funkcí krajiny</w:t>
      </w:r>
      <w:r w:rsidR="00F3474A" w:rsidRPr="006070EA">
        <w:rPr>
          <w:rFonts w:asciiTheme="majorHAnsi" w:hAnsiTheme="majorHAnsi" w:cstheme="majorHAnsi"/>
        </w:rPr>
        <w:t>“). Krajina je vnímána (v souladu s výše uvedenými podklady) jako polyfunkční prostor zemědělské produkce, ekologických funkcí a rekreace. Zásada je stanovena z důvodu ochrany a stabilizace stávajícího uspořádání a charakteru volné krajiny na území města.</w:t>
      </w:r>
    </w:p>
    <w:p w14:paraId="0AC1E168" w14:textId="22776B0B"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Ochrana přírodních hodnot území je zakotvena v zákoně č. 114/1992 Sb., o ochraně přírody a krajiny, v platném znění, případně je stanovena v rámci řešení ÚP a odůvodněn v příslušné kapitole 11.2.3</w:t>
      </w:r>
      <w:r w:rsidR="00DD4076" w:rsidRPr="006070EA">
        <w:rPr>
          <w:rFonts w:asciiTheme="majorHAnsi" w:hAnsiTheme="majorHAnsi" w:cstheme="majorHAnsi"/>
        </w:rPr>
        <w:t>.</w:t>
      </w:r>
    </w:p>
    <w:p w14:paraId="1D448FBC" w14:textId="77777777" w:rsidR="00F3474A" w:rsidRPr="006070EA" w:rsidRDefault="00F3474A" w:rsidP="00F3474A">
      <w:pPr>
        <w:pStyle w:val="Atext"/>
        <w:rPr>
          <w:rFonts w:asciiTheme="majorHAnsi" w:hAnsiTheme="majorHAnsi" w:cstheme="majorHAnsi"/>
        </w:rPr>
      </w:pPr>
      <w:r w:rsidRPr="006070EA">
        <w:rPr>
          <w:rFonts w:asciiTheme="majorHAnsi" w:eastAsia="Calibri" w:hAnsiTheme="majorHAnsi" w:cstheme="majorHAnsi"/>
        </w:rPr>
        <w:t xml:space="preserve">Podle § 4 zákona o ochraně přírody a krajiny zajišťuje vymezení systému ekologické stability uchování a reprodukci přírodního bohatství, příznivého působení na okolní méně stabilní části krajiny a na vytvoření základů pro mnohostranné využívání krajiny. </w:t>
      </w:r>
      <w:r w:rsidRPr="006070EA">
        <w:rPr>
          <w:rFonts w:asciiTheme="majorHAnsi" w:eastAsia="Calibri" w:hAnsiTheme="majorHAnsi" w:cstheme="majorHAnsi"/>
          <w:szCs w:val="18"/>
          <w:lang w:eastAsia="en-US"/>
        </w:rPr>
        <w:t xml:space="preserve">Důvodem pro vymezení ÚSES je zejména zvyšování ekologické stability krajiny a zlepšení koeficientu ekologické stability území. Ochrana a rozvoj ÚSES je ve veřejném zájmu. </w:t>
      </w:r>
    </w:p>
    <w:p w14:paraId="4F7777B3" w14:textId="77777777"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 xml:space="preserve">Podpora protipovodňových, protierozních a revitalizačních opatření je stanovena ve veřejném zájmu na zvyšování retenční schopnosti krajiny a na snižování možných následků přírodních katastrof, zejména erozní a povodňové ohroženosti území. Vychází mimo jiné z úkolů územního plánu § 19 stavebního zákona (písm. g) </w:t>
      </w:r>
      <w:r w:rsidRPr="006070EA">
        <w:rPr>
          <w:rFonts w:asciiTheme="majorHAnsi" w:hAnsiTheme="majorHAnsi" w:cstheme="majorHAnsi"/>
          <w:i/>
          <w:iCs w:val="0"/>
        </w:rPr>
        <w:t>vytvářet v území podmínky pro snižování nebezpečí ekologických a přírodních katastrof a pro odstraňování jejich důsledků, a to především přírodě blízkým způsobem</w:t>
      </w:r>
      <w:r w:rsidRPr="006070EA">
        <w:rPr>
          <w:rFonts w:asciiTheme="majorHAnsi" w:hAnsiTheme="majorHAnsi" w:cstheme="majorHAnsi"/>
        </w:rPr>
        <w:t xml:space="preserve">). </w:t>
      </w:r>
    </w:p>
    <w:p w14:paraId="3537DC7A" w14:textId="21F3AD1C" w:rsidR="00F3474A" w:rsidRPr="006070EA" w:rsidRDefault="00F3474A" w:rsidP="00F3474A">
      <w:pPr>
        <w:pStyle w:val="Atext"/>
        <w:spacing w:before="60" w:after="60"/>
        <w:rPr>
          <w:rFonts w:asciiTheme="majorHAnsi" w:hAnsiTheme="majorHAnsi" w:cstheme="majorHAnsi"/>
        </w:rPr>
      </w:pPr>
      <w:r w:rsidRPr="006070EA">
        <w:rPr>
          <w:rFonts w:asciiTheme="majorHAnsi" w:hAnsiTheme="majorHAnsi" w:cstheme="majorHAnsi"/>
        </w:rPr>
        <w:t>Umožnění realizace protipovodňových opatření a opatření zvyšujících retenční schopnost krajiny vychází dále z</w:t>
      </w:r>
      <w:r w:rsidR="00DD4076" w:rsidRPr="006070EA">
        <w:rPr>
          <w:rFonts w:asciiTheme="majorHAnsi" w:hAnsiTheme="majorHAnsi" w:cstheme="majorHAnsi"/>
        </w:rPr>
        <w:t> </w:t>
      </w:r>
      <w:r w:rsidRPr="006070EA">
        <w:rPr>
          <w:rFonts w:asciiTheme="majorHAnsi" w:hAnsiTheme="majorHAnsi" w:cstheme="majorHAnsi"/>
        </w:rPr>
        <w:t>požadavku PÚR ČR „</w:t>
      </w:r>
      <w:r w:rsidRPr="006070EA">
        <w:rPr>
          <w:rFonts w:asciiTheme="majorHAnsi" w:hAnsiTheme="majorHAnsi" w:cstheme="majorHAnsi"/>
          <w:i/>
        </w:rPr>
        <w:t xml:space="preserve">Vytvářet podmínky pro preventivní ochranu území a obyvatelstva před potenciálními riziky a přírodními katastrofami v území (záplavy, sesuvy půdy, eroze, sucho atd.) s cílem minimalizovat rozsah případných škod. Zejména zajistit </w:t>
      </w:r>
      <w:r w:rsidRPr="006070EA">
        <w:rPr>
          <w:rFonts w:asciiTheme="majorHAnsi" w:hAnsiTheme="majorHAnsi" w:cstheme="majorHAnsi"/>
          <w:i/>
        </w:rPr>
        <w:lastRenderedPageBreak/>
        <w:t>územní ochranu ploch potřebných pro umísťování staveb a opatření na ochranu před povodněmi a pro vymezení území určených k řízeným rozlivům povodní. Vytvářet podmínky pro zvýšení přirozené retence srážkových vod v území s ohledem na strukturu osídlení a kulturní krajinu jako alternativy k umělé akumulaci vod.</w:t>
      </w:r>
      <w:r w:rsidRPr="006070EA">
        <w:rPr>
          <w:rFonts w:asciiTheme="majorHAnsi" w:hAnsiTheme="majorHAnsi" w:cstheme="majorHAnsi"/>
        </w:rPr>
        <w:t xml:space="preserve">“ </w:t>
      </w:r>
    </w:p>
    <w:p w14:paraId="3B1214FA" w14:textId="77777777"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Ochrana vodních toků je zakotvena v zákoně č. 254/2001 Sb., ve znění pozdějších předpisů (vodní zákon). Vodní toky a plochy tvoří významnou část ekologicky stabilních systémů a krajinných os, které je nezbytné chránit a posilovat zejména s ohledem na ochranu přírody a krajiny, zachování hydrologických charakteristik území a zajištění jejich zachování. Vodní prvky jsou významnou atraktivitou každého území, představují obvykle nejvýraznější krajinné osy území a vážou na sebe kromě rozmanitých prvků krajinné zeleně také nejrůznější aktivity lidí (rekreaci a turistiku).</w:t>
      </w:r>
    </w:p>
    <w:p w14:paraId="3FBBA0CC" w14:textId="17FBCDD2"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Vodní toky jsou významnou atraktivitou každého území, představují obvykle nejvýraznější krajinné osy území a</w:t>
      </w:r>
      <w:r w:rsidR="00DD4076" w:rsidRPr="006070EA">
        <w:rPr>
          <w:rFonts w:asciiTheme="majorHAnsi" w:hAnsiTheme="majorHAnsi" w:cstheme="majorHAnsi"/>
        </w:rPr>
        <w:t> </w:t>
      </w:r>
      <w:r w:rsidRPr="006070EA">
        <w:rPr>
          <w:rFonts w:asciiTheme="majorHAnsi" w:hAnsiTheme="majorHAnsi" w:cstheme="majorHAnsi"/>
        </w:rPr>
        <w:t>vážou na sebe kromě rozmanitých prvků krajinné zeleně také nejrůznější aktivity lidí (rekreaci a turistiku). Vodní prvky jsou rovněž významnými krajinnými prvky chráněnými ze zákona. Převážně se podílejí také na ekologické stabilitě území jako součást vymezeného ÚSES.</w:t>
      </w:r>
    </w:p>
    <w:p w14:paraId="5C830CDA" w14:textId="77777777" w:rsidR="00F3474A" w:rsidRPr="006070EA" w:rsidRDefault="00F3474A" w:rsidP="00F3474A">
      <w:pPr>
        <w:pStyle w:val="Atext"/>
        <w:spacing w:before="60" w:after="60"/>
        <w:rPr>
          <w:rFonts w:asciiTheme="majorHAnsi" w:hAnsiTheme="majorHAnsi" w:cstheme="majorHAnsi"/>
        </w:rPr>
      </w:pPr>
      <w:r w:rsidRPr="006070EA">
        <w:rPr>
          <w:rFonts w:asciiTheme="majorHAnsi" w:hAnsiTheme="majorHAnsi" w:cstheme="majorHAnsi"/>
        </w:rPr>
        <w:t xml:space="preserve">ÚP chrání rozptýlenou zeleň v zemědělské krajině, která má vysokou ekologicko-stabilizační hodnotu, vytváří stanoviště pro živočichy, zadržuje vodu v krajině, zabraňuje plošné erozi půdy a v neposlední řadě spoluutváří typický obraz krajiny. Krajinná zeleň má zásadní podíl na pozitivním vnímání krajinného rázu, proto je nezbytné i v rámci ÚP definovat požadavek na její ochranu, obnovu a zakládání. </w:t>
      </w:r>
    </w:p>
    <w:p w14:paraId="2A90EBC0" w14:textId="720F902E" w:rsidR="00F3474A" w:rsidRPr="006070EA" w:rsidRDefault="00F3474A" w:rsidP="00F3474A">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Krajinná zeleň představuje nepostradatelné krajinné segmenty obvykle ekotonového charakteru, které zprostředkovávají na lokální úrovni příznivé působení ostatních ekologicky významných krajinných segmentů. Jedná se o</w:t>
      </w:r>
      <w:r w:rsidR="00DD4076" w:rsidRPr="006070EA">
        <w:rPr>
          <w:rFonts w:asciiTheme="majorHAnsi" w:hAnsiTheme="majorHAnsi" w:cstheme="majorHAnsi"/>
          <w:sz w:val="18"/>
        </w:rPr>
        <w:t> </w:t>
      </w:r>
      <w:r w:rsidRPr="006070EA">
        <w:rPr>
          <w:rFonts w:asciiTheme="majorHAnsi" w:hAnsiTheme="majorHAnsi" w:cstheme="majorHAnsi"/>
          <w:sz w:val="18"/>
        </w:rPr>
        <w:t>liniové prvky (stávající, k doplnění, nově navržené), zejména zalesnění v pruzích stromovým a keřovým patrem, obnova krajinných formací podél zachovalých lánů, doplnění a obnovení stromořadí podél cest, břehových porostů, ozelenění a</w:t>
      </w:r>
      <w:r w:rsidR="00DD4076" w:rsidRPr="006070EA">
        <w:rPr>
          <w:rFonts w:asciiTheme="majorHAnsi" w:hAnsiTheme="majorHAnsi" w:cstheme="majorHAnsi"/>
          <w:sz w:val="18"/>
        </w:rPr>
        <w:t> </w:t>
      </w:r>
      <w:r w:rsidRPr="006070EA">
        <w:rPr>
          <w:rFonts w:asciiTheme="majorHAnsi" w:hAnsiTheme="majorHAnsi" w:cstheme="majorHAnsi"/>
          <w:sz w:val="18"/>
        </w:rPr>
        <w:t>udržování tůní a podpora skupin stromů ve volné krajině. Důležité jsou též travnaté pruhy po vrstevnici, které mají protierozní charakter a jsou významné pro živočišnou faunu.</w:t>
      </w:r>
    </w:p>
    <w:p w14:paraId="5C9EF3CF" w14:textId="7D6B7026"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Požadavek</w:t>
      </w:r>
      <w:r w:rsidR="00DD4076" w:rsidRPr="006070EA">
        <w:rPr>
          <w:rFonts w:asciiTheme="majorHAnsi" w:hAnsiTheme="majorHAnsi" w:cstheme="majorHAnsi"/>
        </w:rPr>
        <w:t xml:space="preserve"> na podporu vazeb propojujících urbanizované území s okolní krajinou</w:t>
      </w:r>
      <w:r w:rsidRPr="006070EA">
        <w:rPr>
          <w:rFonts w:asciiTheme="majorHAnsi" w:hAnsiTheme="majorHAnsi" w:cstheme="majorHAnsi"/>
        </w:rPr>
        <w:t xml:space="preserve"> vychází dále zejména z PÚR ČR (</w:t>
      </w:r>
      <w:r w:rsidRPr="006070EA">
        <w:rPr>
          <w:rFonts w:asciiTheme="majorHAnsi" w:hAnsiTheme="majorHAnsi" w:cstheme="majorHAnsi"/>
          <w:i/>
          <w:iCs w:val="0"/>
        </w:rPr>
        <w:t>vytvářet podmínky pro rozvoj a využití předpokladů území pro různé formy cestovního ruchu, podporovat propojení míst turistickými cestami, které umožňují celoroční využití pro různé formy turistiky</w:t>
      </w:r>
      <w:r w:rsidRPr="006070EA">
        <w:rPr>
          <w:rFonts w:asciiTheme="majorHAnsi" w:hAnsiTheme="majorHAnsi" w:cstheme="majorHAnsi"/>
        </w:rPr>
        <w:t>). Propojení sídel s krajinou je základním předpokladem identifikace obyvatel s okolní volnou krajinou a jejího využívání pro každodenní rekreaci. Fyzická prostupnost území (pohyb lidí po veřejných komunikacích a cestách – v územním plánu reprezentovaných plochami veřejných prostranství) je základním předpokladem pro jeho (nejen rekreační) využívání.</w:t>
      </w:r>
    </w:p>
    <w:p w14:paraId="6114A836" w14:textId="77777777"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Zajištění prostupnosti krajiny v plochách veřejných prostranství vyplývá z § 3 odst. 5 vyhlášky č. 501/2006 Sb., ve znění pozdějších předpisů. Vymezení stávajících cest umožňujících bezpečný průchod krajinou vychází ze stávajících komunikací dle evidence katastru nemovitostí, prokazatelně využívaných cest v krajině na základě terénního průzkumu území, a dále z vymezení stabilizovaných turistických tras, cyklistických tras a naučných stezek v řešeném území.</w:t>
      </w:r>
    </w:p>
    <w:p w14:paraId="70860225" w14:textId="77777777"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Ochrana veřejných prostranství je zajištěna stanovením podmínek využití ploch s rozdílným způsobem využití; pro rozvoj sítě veřejných prostranství je vhodné využít i zaniklé historické cesty, které utvářejí výraz kulturní krajiny – podpora úprav, činností a aktivit vedoucí k obnově a zkvalitnění krajinných hodnot v území vychází ze Zásad územního rozvoje Středočeského kraje.</w:t>
      </w:r>
    </w:p>
    <w:p w14:paraId="600D402C" w14:textId="77777777" w:rsidR="00F3474A" w:rsidRPr="006070EA" w:rsidRDefault="00F3474A" w:rsidP="00F3474A">
      <w:pPr>
        <w:pStyle w:val="Atext"/>
        <w:rPr>
          <w:rFonts w:asciiTheme="majorHAnsi" w:hAnsiTheme="majorHAnsi" w:cstheme="majorHAnsi"/>
        </w:rPr>
      </w:pPr>
      <w:r w:rsidRPr="006070EA">
        <w:rPr>
          <w:rFonts w:asciiTheme="majorHAnsi" w:hAnsiTheme="majorHAnsi" w:cstheme="majorHAnsi"/>
        </w:rPr>
        <w:t>S rozvojem cestní sítě v krajině souvisí rozvoj rekreační zeleně podél vodních toků, který je podrobnějším průmětem základní koncepce rozvoje území města, konkrétně bodu „Rozvoj rekreačního využití krajiny.“ Vodní toky jsou významnou atraktivitou každého území, představují obvykle nejvýraznější krajinné osy území a vážou na sebe kromě rozmanitých prvků krajinné zeleně také nejrůznější aktivity lidí (rekreaci a turistiku); proto je rozvoj cestní sítě preferován ve vazbě na vodní toky.</w:t>
      </w:r>
    </w:p>
    <w:p w14:paraId="49B79A26" w14:textId="08CCA237" w:rsidR="00F3474A" w:rsidRPr="006070EA" w:rsidRDefault="00F3474A" w:rsidP="00F3474A">
      <w:pPr>
        <w:pStyle w:val="Atext"/>
        <w:spacing w:before="60" w:after="60"/>
        <w:rPr>
          <w:rFonts w:asciiTheme="majorHAnsi" w:hAnsiTheme="majorHAnsi" w:cstheme="majorHAnsi"/>
        </w:rPr>
      </w:pPr>
      <w:r w:rsidRPr="006070EA">
        <w:rPr>
          <w:rFonts w:asciiTheme="majorHAnsi" w:hAnsiTheme="majorHAnsi" w:cstheme="majorHAnsi"/>
        </w:rPr>
        <w:t xml:space="preserve">Pro rozvoj krajiny je stanoven požadavek na uplatnění principů modrozelené infrastruktury. Požadavek vychází ze základní koncepce rozvoje území a je obecně odůvodněn v kapitole 11.2.2. V rámci koncepce uspořádání krajiny je požadavek zopakován s konkrétním výčtem možného uplatnění principů rozvoje modrozelené infrastruktury v rámci rozvoje krajiny. Rozvoj modrozelené infrastruktury je ve veřejném zájmu na snížení dopadu klimatických změn a zlepšení mikroklimatu sídel. </w:t>
      </w:r>
    </w:p>
    <w:p w14:paraId="23A174F4" w14:textId="4AA00980" w:rsidR="00F3474A" w:rsidRPr="006070EA" w:rsidRDefault="00F3474A" w:rsidP="00F3474A">
      <w:pPr>
        <w:pStyle w:val="Atext"/>
        <w:spacing w:before="60" w:after="60"/>
        <w:rPr>
          <w:rFonts w:asciiTheme="majorHAnsi" w:hAnsiTheme="majorHAnsi" w:cstheme="majorHAnsi"/>
          <w:snapToGrid w:val="0"/>
        </w:rPr>
      </w:pPr>
      <w:r w:rsidRPr="006070EA">
        <w:rPr>
          <w:rFonts w:asciiTheme="majorHAnsi" w:hAnsiTheme="majorHAnsi" w:cstheme="majorHAnsi"/>
        </w:rPr>
        <w:t>Požadavek na zajištění prostupnosti krajiny vychází zejména z PÚR ČR („</w:t>
      </w:r>
      <w:r w:rsidRPr="006070EA">
        <w:rPr>
          <w:rFonts w:asciiTheme="majorHAnsi" w:hAnsiTheme="majorHAnsi" w:cstheme="majorHAnsi"/>
          <w:i/>
        </w:rPr>
        <w:t>vytvářet územní podmínky pro zajištění migrační prostupnosti krajiny pro volně žijící živočichy a pro člověka</w:t>
      </w:r>
      <w:r w:rsidRPr="006070EA">
        <w:rPr>
          <w:rFonts w:asciiTheme="majorHAnsi" w:hAnsiTheme="majorHAnsi" w:cstheme="majorHAnsi"/>
        </w:rPr>
        <w:t>“</w:t>
      </w:r>
      <w:r w:rsidRPr="006070EA">
        <w:rPr>
          <w:rFonts w:asciiTheme="majorHAnsi" w:hAnsiTheme="majorHAnsi" w:cstheme="majorHAnsi"/>
          <w:i/>
        </w:rPr>
        <w:t xml:space="preserve">). </w:t>
      </w:r>
      <w:r w:rsidRPr="006070EA">
        <w:rPr>
          <w:rFonts w:asciiTheme="majorHAnsi" w:hAnsiTheme="majorHAnsi" w:cstheme="majorHAnsi"/>
        </w:rPr>
        <w:t>Fyzická prostupnost území (pohyb lidí po veřejných komunikacích a cestách – v územním plánu reprezentovaných plochami veřejných prostranství) je základním předpokladem pro jeho (nejen rekreační) využívání.</w:t>
      </w:r>
      <w:r w:rsidRPr="006070EA">
        <w:rPr>
          <w:rFonts w:asciiTheme="majorHAnsi" w:hAnsiTheme="majorHAnsi" w:cstheme="majorHAnsi"/>
          <w:snapToGrid w:val="0"/>
        </w:rPr>
        <w:t xml:space="preserve"> Biologická prostupnost území zajišťuje zachování a rozvoj biologické rozmanitosti území a</w:t>
      </w:r>
      <w:r w:rsidR="00433C39" w:rsidRPr="006070EA">
        <w:rPr>
          <w:rFonts w:asciiTheme="majorHAnsi" w:hAnsiTheme="majorHAnsi" w:cstheme="majorHAnsi"/>
          <w:snapToGrid w:val="0"/>
        </w:rPr>
        <w:t> </w:t>
      </w:r>
      <w:r w:rsidRPr="006070EA">
        <w:rPr>
          <w:rFonts w:asciiTheme="majorHAnsi" w:hAnsiTheme="majorHAnsi" w:cstheme="majorHAnsi"/>
          <w:snapToGrid w:val="0"/>
        </w:rPr>
        <w:t xml:space="preserve">migraci živočichů, které jsou nezbytným předpokladem ochrany přírody a krajiny. </w:t>
      </w:r>
    </w:p>
    <w:p w14:paraId="0410839E" w14:textId="7B643550" w:rsidR="00F3474A" w:rsidRPr="006070EA" w:rsidRDefault="00F3474A" w:rsidP="00F3474A">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0630C0" w:rsidRPr="006070EA">
        <w:rPr>
          <w:rFonts w:asciiTheme="majorHAnsi" w:hAnsiTheme="majorHAnsi" w:cstheme="majorHAnsi"/>
          <w:b/>
          <w:i/>
          <w:snapToGrid w:val="0"/>
          <w:u w:val="single"/>
        </w:rPr>
        <w:t>4</w:t>
      </w:r>
      <w:r w:rsidR="0021590A">
        <w:rPr>
          <w:rFonts w:asciiTheme="majorHAnsi" w:hAnsiTheme="majorHAnsi" w:cstheme="majorHAnsi"/>
          <w:b/>
          <w:i/>
          <w:snapToGrid w:val="0"/>
          <w:u w:val="single"/>
        </w:rPr>
        <w:t>6</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3C790A34" w14:textId="0225BAEC" w:rsidR="00F3474A" w:rsidRPr="006070EA" w:rsidRDefault="00F3474A" w:rsidP="00F3474A">
      <w:pPr>
        <w:pStyle w:val="Atext"/>
        <w:spacing w:before="60" w:after="60"/>
        <w:rPr>
          <w:rFonts w:asciiTheme="majorHAnsi" w:hAnsiTheme="majorHAnsi" w:cstheme="majorHAnsi"/>
        </w:rPr>
      </w:pPr>
      <w:r w:rsidRPr="006070EA">
        <w:rPr>
          <w:rFonts w:asciiTheme="majorHAnsi" w:hAnsiTheme="majorHAnsi" w:cstheme="majorHAnsi"/>
        </w:rPr>
        <w:t>Stanovením zásady je zajištěn kontinuální a koordinovaný rozvoj území po dobu platnosti územního plánu. Při</w:t>
      </w:r>
      <w:r w:rsidR="000630C0" w:rsidRPr="006070EA">
        <w:rPr>
          <w:rFonts w:asciiTheme="majorHAnsi" w:hAnsiTheme="majorHAnsi" w:cstheme="majorHAnsi"/>
        </w:rPr>
        <w:t> </w:t>
      </w:r>
      <w:r w:rsidRPr="006070EA">
        <w:rPr>
          <w:rFonts w:asciiTheme="majorHAnsi" w:hAnsiTheme="majorHAnsi" w:cstheme="majorHAnsi"/>
        </w:rPr>
        <w:t>pořízení změny územního plánu je nezbytné respektovat stanovenou koncepci uspořádání krajiny z důvodu zamezení výrazných zásahů do území, které by mohly narušit celkovou stabilitu území a vzájemné prostorové a funkční vazby nejen v</w:t>
      </w:r>
      <w:r w:rsidR="000630C0" w:rsidRPr="006070EA">
        <w:rPr>
          <w:rFonts w:asciiTheme="majorHAnsi" w:hAnsiTheme="majorHAnsi" w:cstheme="majorHAnsi"/>
        </w:rPr>
        <w:t> </w:t>
      </w:r>
      <w:r w:rsidRPr="006070EA">
        <w:rPr>
          <w:rFonts w:asciiTheme="majorHAnsi" w:hAnsiTheme="majorHAnsi" w:cstheme="majorHAnsi"/>
        </w:rPr>
        <w:t>rámci území, ale také v návaznosti na sousední obce.</w:t>
      </w:r>
    </w:p>
    <w:p w14:paraId="5659B208" w14:textId="77777777" w:rsidR="000C5FD9" w:rsidRPr="006070EA" w:rsidRDefault="00710A4E" w:rsidP="000C5FD9">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r w:rsidRPr="006070EA">
        <w:rPr>
          <w:rFonts w:asciiTheme="majorHAnsi" w:hAnsiTheme="majorHAnsi" w:cstheme="majorHAnsi"/>
          <w:b/>
        </w:rPr>
        <w:lastRenderedPageBreak/>
        <w:t xml:space="preserve"> </w:t>
      </w:r>
      <w:bookmarkStart w:id="390" w:name="_Toc71571678"/>
      <w:bookmarkStart w:id="391" w:name="_Toc204678205"/>
      <w:r w:rsidR="000C5FD9" w:rsidRPr="006070EA">
        <w:rPr>
          <w:rFonts w:asciiTheme="majorHAnsi" w:hAnsiTheme="majorHAnsi" w:cstheme="majorHAnsi"/>
          <w:b/>
        </w:rPr>
        <w:t>Odůvodnění vymezení ploch s rozdílným způsobem využití</w:t>
      </w:r>
      <w:bookmarkEnd w:id="390"/>
      <w:bookmarkEnd w:id="391"/>
    </w:p>
    <w:p w14:paraId="4A0FBA7E" w14:textId="0F1D58C0" w:rsidR="000C5FD9" w:rsidRPr="006070EA" w:rsidRDefault="000C5FD9" w:rsidP="000C5FD9">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(4</w:t>
      </w:r>
      <w:r w:rsidR="0021590A">
        <w:rPr>
          <w:rFonts w:asciiTheme="majorHAnsi" w:hAnsiTheme="majorHAnsi" w:cstheme="majorHAnsi"/>
          <w:b/>
          <w:i/>
          <w:snapToGrid w:val="0"/>
          <w:u w:val="single"/>
        </w:rPr>
        <w:t>7</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58724897" w14:textId="7BE204B4" w:rsidR="000C5FD9" w:rsidRPr="006070EA" w:rsidRDefault="000C5FD9" w:rsidP="000C5FD9">
      <w:pPr>
        <w:pStyle w:val="Atext"/>
        <w:rPr>
          <w:rFonts w:asciiTheme="majorHAnsi" w:eastAsia="Calibri" w:hAnsiTheme="majorHAnsi" w:cstheme="majorHAnsi"/>
        </w:rPr>
      </w:pPr>
      <w:r w:rsidRPr="006070EA">
        <w:rPr>
          <w:rFonts w:asciiTheme="majorHAnsi" w:hAnsiTheme="majorHAnsi" w:cstheme="majorHAnsi"/>
        </w:rPr>
        <w:t xml:space="preserve">V souladu s vyhláškou č. 501/2006 Sb. jsou v řešeném území vymezeny plochy s rozdílným způsobem využití, dle </w:t>
      </w:r>
      <w:r w:rsidRPr="006070EA">
        <w:rPr>
          <w:rFonts w:asciiTheme="majorHAnsi" w:eastAsia="Calibri" w:hAnsiTheme="majorHAnsi" w:cstheme="majorHAnsi"/>
        </w:rPr>
        <w:t xml:space="preserve">odst. 1 písm. c a odst. 2 písm. d přílohy č. 7 vyhlášky č. 500/2006 Sb. a také </w:t>
      </w:r>
      <w:r w:rsidR="00CF391E" w:rsidRPr="006070EA">
        <w:rPr>
          <w:rFonts w:asciiTheme="majorHAnsi" w:hAnsiTheme="majorHAnsi" w:cstheme="majorHAnsi"/>
          <w:szCs w:val="18"/>
        </w:rPr>
        <w:t>v</w:t>
      </w:r>
      <w:r w:rsidR="00CF391E" w:rsidRPr="006070EA">
        <w:rPr>
          <w:rFonts w:asciiTheme="majorHAnsi" w:eastAsia="Calibri" w:hAnsiTheme="majorHAnsi" w:cstheme="majorHAnsi"/>
          <w:szCs w:val="18"/>
        </w:rPr>
        <w:t> souladu s Jednotným standardem ÚPD (Standard vybraných částí územního plánu, Metodický pokyn MMR, 2023), resp. podle § 21a vyhlášky č. 418/2022 Sb., kterou se mění vyhláška č. 500/2006 Sb., o územně analytických podkladech, územně plánovací dokumentaci a způsobu evidence územně plánovací činnosti, ve znění pozdějších předpisů, vyhláška č. 501/2006 Sb., o obecných požadavcích na využívání území, ve znění pozdějších předpisů, a vyhláška č. 360/2021 Sb., kterou se mění vyhláška č. 501/2006 Sb., o obecných požadavcích na využívání území, ve znění pozdějších předpisů, ve znění vyhlášky č. 164/2022 Sb.</w:t>
      </w:r>
      <w:r w:rsidRPr="006070EA">
        <w:rPr>
          <w:rFonts w:asciiTheme="majorHAnsi" w:eastAsia="Calibri" w:hAnsiTheme="majorHAnsi" w:cstheme="majorHAnsi"/>
        </w:rPr>
        <w:t xml:space="preserve"> </w:t>
      </w:r>
    </w:p>
    <w:p w14:paraId="3357BA5F" w14:textId="5D247F2B" w:rsidR="000C5FD9" w:rsidRPr="006070EA" w:rsidRDefault="000C5FD9" w:rsidP="000C5FD9">
      <w:pPr>
        <w:pStyle w:val="Atext"/>
        <w:rPr>
          <w:rFonts w:asciiTheme="majorHAnsi" w:eastAsia="Calibri" w:hAnsiTheme="majorHAnsi" w:cstheme="majorHAnsi"/>
        </w:rPr>
      </w:pPr>
      <w:r w:rsidRPr="006070EA">
        <w:rPr>
          <w:rFonts w:asciiTheme="majorHAnsi" w:eastAsia="Calibri" w:hAnsiTheme="majorHAnsi" w:cstheme="majorHAnsi"/>
        </w:rPr>
        <w:t xml:space="preserve">Plochy s rozdílným způsobem využití beze zbytku pokrývají celé řešené území. To je metodikou územního plánu členěno na urbanizované území řešené v kapitole 11.3.2 (zastavěné území a zastavitelné plochy) a volnou krajinu řešenou v této kapitole (nezastavěné území a plochy změn v krajině). V rámci stanovení koncepce uspořádání krajiny se uplatňují následující typy ploch s rozdílným způsobem využití: </w:t>
      </w:r>
    </w:p>
    <w:p w14:paraId="552A5078" w14:textId="107D4089" w:rsidR="00CF391E" w:rsidRPr="006070EA" w:rsidRDefault="00CF391E" w:rsidP="00CF391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Plocha vodní a vodohospodářské dle § 13 vyhlášky č. 501/2006 Sb. v aktuálním znění:</w:t>
      </w:r>
    </w:p>
    <w:p w14:paraId="535DF5FE" w14:textId="780A3F2B" w:rsidR="00CF391E" w:rsidRPr="006070EA" w:rsidRDefault="00CF391E" w:rsidP="00CF391E">
      <w:pPr>
        <w:pStyle w:val="Odstavecseseznamem"/>
        <w:keepNext/>
        <w:spacing w:after="0" w:line="240" w:lineRule="auto"/>
        <w:ind w:left="1418"/>
        <w:jc w:val="both"/>
        <w:rPr>
          <w:rFonts w:asciiTheme="majorHAnsi" w:hAnsiTheme="majorHAnsi" w:cstheme="majorHAnsi"/>
          <w:bCs/>
          <w:sz w:val="18"/>
          <w:szCs w:val="18"/>
        </w:rPr>
      </w:pPr>
      <w:r w:rsidRPr="006070EA">
        <w:rPr>
          <w:rFonts w:asciiTheme="majorHAnsi" w:hAnsiTheme="majorHAnsi" w:cstheme="majorHAnsi"/>
          <w:bCs/>
          <w:sz w:val="18"/>
          <w:szCs w:val="18"/>
        </w:rPr>
        <w:t>vodní a vodohospodářské všeobecné (WU)</w:t>
      </w:r>
    </w:p>
    <w:p w14:paraId="6D68458F" w14:textId="77777777" w:rsidR="00CF391E" w:rsidRPr="006070EA" w:rsidRDefault="00CF391E" w:rsidP="00CF391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Plocha zemědělská dle § 14 vyhlášky č. 501/2006 Sb. v aktuálním znění</w:t>
      </w:r>
    </w:p>
    <w:p w14:paraId="799FAB94" w14:textId="17C796E3" w:rsidR="00CF391E" w:rsidRPr="006070EA" w:rsidRDefault="00CF391E" w:rsidP="00CF391E">
      <w:pPr>
        <w:pStyle w:val="Odstavecseseznamem"/>
        <w:spacing w:after="120" w:line="240" w:lineRule="auto"/>
        <w:ind w:left="1418"/>
        <w:contextualSpacing w:val="0"/>
        <w:jc w:val="both"/>
        <w:rPr>
          <w:rFonts w:asciiTheme="majorHAnsi" w:hAnsiTheme="majorHAnsi" w:cstheme="majorHAnsi"/>
          <w:bCs/>
          <w:sz w:val="18"/>
          <w:szCs w:val="18"/>
        </w:rPr>
      </w:pPr>
      <w:r w:rsidRPr="006070EA">
        <w:rPr>
          <w:rFonts w:asciiTheme="majorHAnsi" w:hAnsiTheme="majorHAnsi" w:cstheme="majorHAnsi"/>
          <w:bCs/>
          <w:sz w:val="18"/>
          <w:szCs w:val="18"/>
        </w:rPr>
        <w:t>zemědělské všeobecné (AU)</w:t>
      </w:r>
    </w:p>
    <w:p w14:paraId="61B1B8F5" w14:textId="3912E2FA" w:rsidR="00CF391E" w:rsidRPr="006070EA" w:rsidRDefault="00CF391E" w:rsidP="00CF391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Plocha lesní dle § 15 vyhlášky č. 501/2006 Sb. v aktuálním znění</w:t>
      </w:r>
    </w:p>
    <w:p w14:paraId="01FD824D" w14:textId="2794A06E" w:rsidR="00CF391E" w:rsidRPr="006070EA" w:rsidRDefault="00CF391E" w:rsidP="00CF391E">
      <w:pPr>
        <w:pStyle w:val="Odstavecseseznamem"/>
        <w:spacing w:after="0" w:line="240" w:lineRule="auto"/>
        <w:ind w:left="851" w:firstLine="567"/>
        <w:jc w:val="both"/>
        <w:rPr>
          <w:rFonts w:asciiTheme="majorHAnsi" w:hAnsiTheme="majorHAnsi" w:cstheme="majorHAnsi"/>
          <w:bCs/>
          <w:sz w:val="18"/>
          <w:szCs w:val="18"/>
        </w:rPr>
      </w:pPr>
      <w:r w:rsidRPr="006070EA">
        <w:rPr>
          <w:rFonts w:asciiTheme="majorHAnsi" w:hAnsiTheme="majorHAnsi" w:cstheme="majorHAnsi"/>
          <w:bCs/>
          <w:sz w:val="18"/>
          <w:szCs w:val="18"/>
        </w:rPr>
        <w:t>lesní všeobecné (LU)</w:t>
      </w:r>
    </w:p>
    <w:p w14:paraId="7AFDCF35" w14:textId="09CFFDD7" w:rsidR="00CF391E" w:rsidRPr="006070EA" w:rsidRDefault="00CF391E" w:rsidP="00CF391E">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Plocha přírodní dle § 16 vyhlášky č. 501/2006 Sb. v aktuálním znění</w:t>
      </w:r>
    </w:p>
    <w:p w14:paraId="76031CA9" w14:textId="207DE07B" w:rsidR="00CF391E" w:rsidRPr="006070EA" w:rsidRDefault="00CF391E" w:rsidP="00CF391E">
      <w:pPr>
        <w:pStyle w:val="Odstavecseseznamem"/>
        <w:spacing w:after="0" w:line="240" w:lineRule="auto"/>
        <w:ind w:left="851" w:firstLine="567"/>
        <w:jc w:val="both"/>
        <w:rPr>
          <w:rFonts w:asciiTheme="majorHAnsi" w:hAnsiTheme="majorHAnsi" w:cstheme="majorHAnsi"/>
          <w:bCs/>
          <w:sz w:val="18"/>
          <w:szCs w:val="18"/>
        </w:rPr>
      </w:pPr>
      <w:r w:rsidRPr="006070EA">
        <w:rPr>
          <w:rFonts w:asciiTheme="majorHAnsi" w:hAnsiTheme="majorHAnsi" w:cstheme="majorHAnsi"/>
          <w:bCs/>
          <w:sz w:val="18"/>
          <w:szCs w:val="18"/>
        </w:rPr>
        <w:t>přírodní všeobecné (NU)</w:t>
      </w:r>
    </w:p>
    <w:p w14:paraId="5C7EE129" w14:textId="4EE72624" w:rsidR="00071C0F" w:rsidRPr="006070EA" w:rsidRDefault="00071C0F" w:rsidP="00071C0F">
      <w:pPr>
        <w:pStyle w:val="Odstavecseseznamem"/>
        <w:keepNext/>
        <w:spacing w:before="120" w:after="60" w:line="240" w:lineRule="auto"/>
        <w:ind w:left="851"/>
        <w:contextualSpacing w:val="0"/>
        <w:jc w:val="both"/>
        <w:rPr>
          <w:rFonts w:asciiTheme="majorHAnsi" w:hAnsiTheme="majorHAnsi" w:cstheme="majorHAnsi"/>
          <w:b/>
          <w:sz w:val="18"/>
          <w:szCs w:val="18"/>
        </w:rPr>
      </w:pPr>
      <w:r w:rsidRPr="006070EA">
        <w:rPr>
          <w:rFonts w:asciiTheme="majorHAnsi" w:hAnsiTheme="majorHAnsi" w:cstheme="majorHAnsi"/>
          <w:b/>
          <w:sz w:val="18"/>
          <w:szCs w:val="18"/>
        </w:rPr>
        <w:t>Plochy smíšené nezastavěného území dle § 17 vyhlášky č. 501/2006 Sb. v aktuálním znění</w:t>
      </w:r>
    </w:p>
    <w:p w14:paraId="529430B4" w14:textId="68B1D56F" w:rsidR="000C5FD9" w:rsidRPr="006070EA" w:rsidRDefault="00071C0F" w:rsidP="00071C0F">
      <w:pPr>
        <w:pStyle w:val="Odstavecseseznamem"/>
        <w:spacing w:after="0" w:line="240" w:lineRule="auto"/>
        <w:ind w:left="851" w:firstLine="567"/>
        <w:jc w:val="both"/>
        <w:rPr>
          <w:rFonts w:asciiTheme="majorHAnsi" w:hAnsiTheme="majorHAnsi" w:cstheme="majorHAnsi"/>
          <w:bCs/>
          <w:sz w:val="18"/>
          <w:szCs w:val="18"/>
        </w:rPr>
      </w:pPr>
      <w:r w:rsidRPr="006070EA">
        <w:rPr>
          <w:rFonts w:asciiTheme="majorHAnsi" w:hAnsiTheme="majorHAnsi" w:cstheme="majorHAnsi"/>
          <w:bCs/>
          <w:sz w:val="18"/>
          <w:szCs w:val="18"/>
        </w:rPr>
        <w:t>p</w:t>
      </w:r>
      <w:r w:rsidR="000C5FD9" w:rsidRPr="006070EA">
        <w:rPr>
          <w:rFonts w:asciiTheme="majorHAnsi" w:hAnsiTheme="majorHAnsi" w:cstheme="majorHAnsi"/>
          <w:bCs/>
          <w:sz w:val="18"/>
          <w:szCs w:val="18"/>
        </w:rPr>
        <w:t xml:space="preserve">lochy smíšené nezastavěného území </w:t>
      </w:r>
      <w:r w:rsidRPr="006070EA">
        <w:rPr>
          <w:rFonts w:asciiTheme="majorHAnsi" w:hAnsiTheme="majorHAnsi" w:cstheme="majorHAnsi"/>
          <w:bCs/>
          <w:sz w:val="18"/>
          <w:szCs w:val="18"/>
        </w:rPr>
        <w:t>–</w:t>
      </w:r>
      <w:r w:rsidR="000C5FD9" w:rsidRPr="006070EA">
        <w:rPr>
          <w:rFonts w:asciiTheme="majorHAnsi" w:hAnsiTheme="majorHAnsi" w:cstheme="majorHAnsi"/>
          <w:bCs/>
          <w:sz w:val="18"/>
          <w:szCs w:val="18"/>
        </w:rPr>
        <w:t xml:space="preserve"> zeměděls</w:t>
      </w:r>
      <w:r w:rsidRPr="006070EA">
        <w:rPr>
          <w:rFonts w:asciiTheme="majorHAnsi" w:hAnsiTheme="majorHAnsi" w:cstheme="majorHAnsi"/>
          <w:bCs/>
          <w:sz w:val="18"/>
          <w:szCs w:val="18"/>
        </w:rPr>
        <w:t>tví extenzivní</w:t>
      </w:r>
      <w:r w:rsidR="000C5FD9" w:rsidRPr="006070EA">
        <w:rPr>
          <w:rFonts w:asciiTheme="majorHAnsi" w:hAnsiTheme="majorHAnsi" w:cstheme="majorHAnsi"/>
          <w:bCs/>
          <w:sz w:val="18"/>
          <w:szCs w:val="18"/>
        </w:rPr>
        <w:t xml:space="preserve">, přírodní </w:t>
      </w:r>
      <w:r w:rsidRPr="006070EA">
        <w:rPr>
          <w:rFonts w:asciiTheme="majorHAnsi" w:hAnsiTheme="majorHAnsi" w:cstheme="majorHAnsi"/>
          <w:bCs/>
          <w:sz w:val="18"/>
          <w:szCs w:val="18"/>
        </w:rPr>
        <w:t xml:space="preserve">priority </w:t>
      </w:r>
      <w:r w:rsidR="000C5FD9" w:rsidRPr="006070EA">
        <w:rPr>
          <w:rFonts w:asciiTheme="majorHAnsi" w:hAnsiTheme="majorHAnsi" w:cstheme="majorHAnsi"/>
          <w:bCs/>
          <w:sz w:val="18"/>
          <w:szCs w:val="18"/>
        </w:rPr>
        <w:t>(</w:t>
      </w:r>
      <w:proofErr w:type="gramStart"/>
      <w:r w:rsidRPr="006070EA">
        <w:rPr>
          <w:rFonts w:asciiTheme="majorHAnsi" w:hAnsiTheme="majorHAnsi" w:cstheme="majorHAnsi"/>
          <w:bCs/>
          <w:sz w:val="18"/>
          <w:szCs w:val="18"/>
        </w:rPr>
        <w:t>MU.zp</w:t>
      </w:r>
      <w:proofErr w:type="gramEnd"/>
      <w:r w:rsidR="000C5FD9" w:rsidRPr="006070EA">
        <w:rPr>
          <w:rFonts w:asciiTheme="majorHAnsi" w:hAnsiTheme="majorHAnsi" w:cstheme="majorHAnsi"/>
          <w:bCs/>
          <w:sz w:val="18"/>
          <w:szCs w:val="18"/>
        </w:rPr>
        <w:t>)</w:t>
      </w:r>
    </w:p>
    <w:p w14:paraId="1A1D4A33" w14:textId="374BB177" w:rsidR="000C5FD9" w:rsidRPr="006070EA" w:rsidRDefault="00071C0F" w:rsidP="00071C0F">
      <w:pPr>
        <w:pStyle w:val="Odstavecseseznamem"/>
        <w:spacing w:after="0" w:line="240" w:lineRule="auto"/>
        <w:ind w:left="851" w:firstLine="567"/>
        <w:jc w:val="both"/>
        <w:rPr>
          <w:rFonts w:asciiTheme="majorHAnsi" w:hAnsiTheme="majorHAnsi" w:cstheme="majorHAnsi"/>
          <w:bCs/>
          <w:sz w:val="18"/>
          <w:szCs w:val="18"/>
        </w:rPr>
      </w:pPr>
      <w:r w:rsidRPr="006070EA">
        <w:rPr>
          <w:rFonts w:asciiTheme="majorHAnsi" w:hAnsiTheme="majorHAnsi" w:cstheme="majorHAnsi"/>
          <w:bCs/>
          <w:sz w:val="18"/>
          <w:szCs w:val="18"/>
        </w:rPr>
        <w:t>p</w:t>
      </w:r>
      <w:r w:rsidR="000C5FD9" w:rsidRPr="006070EA">
        <w:rPr>
          <w:rFonts w:asciiTheme="majorHAnsi" w:hAnsiTheme="majorHAnsi" w:cstheme="majorHAnsi"/>
          <w:bCs/>
          <w:sz w:val="18"/>
          <w:szCs w:val="18"/>
        </w:rPr>
        <w:t xml:space="preserve">lochy smíšené nezastavěného území </w:t>
      </w:r>
      <w:r w:rsidRPr="006070EA">
        <w:rPr>
          <w:rFonts w:asciiTheme="majorHAnsi" w:hAnsiTheme="majorHAnsi" w:cstheme="majorHAnsi"/>
          <w:bCs/>
          <w:sz w:val="18"/>
          <w:szCs w:val="18"/>
        </w:rPr>
        <w:t>–</w:t>
      </w:r>
      <w:r w:rsidR="000C5FD9" w:rsidRPr="006070EA">
        <w:rPr>
          <w:rFonts w:asciiTheme="majorHAnsi" w:hAnsiTheme="majorHAnsi" w:cstheme="majorHAnsi"/>
          <w:bCs/>
          <w:sz w:val="18"/>
          <w:szCs w:val="18"/>
        </w:rPr>
        <w:t xml:space="preserve"> sportovní</w:t>
      </w:r>
      <w:r w:rsidRPr="006070EA">
        <w:rPr>
          <w:rFonts w:asciiTheme="majorHAnsi" w:hAnsiTheme="majorHAnsi" w:cstheme="majorHAnsi"/>
          <w:bCs/>
          <w:sz w:val="18"/>
          <w:szCs w:val="18"/>
        </w:rPr>
        <w:t xml:space="preserve"> využití</w:t>
      </w:r>
      <w:r w:rsidR="000C5FD9" w:rsidRPr="006070EA">
        <w:rPr>
          <w:rFonts w:asciiTheme="majorHAnsi" w:hAnsiTheme="majorHAnsi" w:cstheme="majorHAnsi"/>
          <w:bCs/>
          <w:sz w:val="18"/>
          <w:szCs w:val="18"/>
        </w:rPr>
        <w:t xml:space="preserve"> (</w:t>
      </w:r>
      <w:proofErr w:type="gramStart"/>
      <w:r w:rsidRPr="006070EA">
        <w:rPr>
          <w:rFonts w:asciiTheme="majorHAnsi" w:hAnsiTheme="majorHAnsi" w:cstheme="majorHAnsi"/>
          <w:bCs/>
          <w:sz w:val="18"/>
          <w:szCs w:val="18"/>
        </w:rPr>
        <w:t>MU.s</w:t>
      </w:r>
      <w:proofErr w:type="gramEnd"/>
      <w:r w:rsidR="000C5FD9" w:rsidRPr="006070EA">
        <w:rPr>
          <w:rFonts w:asciiTheme="majorHAnsi" w:hAnsiTheme="majorHAnsi" w:cstheme="majorHAnsi"/>
          <w:bCs/>
          <w:sz w:val="18"/>
          <w:szCs w:val="18"/>
        </w:rPr>
        <w:t>)</w:t>
      </w:r>
    </w:p>
    <w:p w14:paraId="5B1F989F" w14:textId="527776CC" w:rsidR="000C5FD9" w:rsidRPr="006070EA" w:rsidRDefault="00071C0F" w:rsidP="00071C0F">
      <w:pPr>
        <w:pStyle w:val="Odstavecseseznamem"/>
        <w:spacing w:after="0" w:line="240" w:lineRule="auto"/>
        <w:ind w:left="851" w:firstLine="567"/>
        <w:jc w:val="both"/>
        <w:rPr>
          <w:rFonts w:asciiTheme="majorHAnsi" w:hAnsiTheme="majorHAnsi" w:cstheme="majorHAnsi"/>
          <w:bCs/>
          <w:sz w:val="18"/>
          <w:szCs w:val="18"/>
        </w:rPr>
      </w:pPr>
      <w:r w:rsidRPr="006070EA">
        <w:rPr>
          <w:rFonts w:asciiTheme="majorHAnsi" w:hAnsiTheme="majorHAnsi" w:cstheme="majorHAnsi"/>
          <w:bCs/>
          <w:sz w:val="18"/>
          <w:szCs w:val="18"/>
        </w:rPr>
        <w:t>p</w:t>
      </w:r>
      <w:r w:rsidR="000C5FD9" w:rsidRPr="006070EA">
        <w:rPr>
          <w:rFonts w:asciiTheme="majorHAnsi" w:hAnsiTheme="majorHAnsi" w:cstheme="majorHAnsi"/>
          <w:bCs/>
          <w:sz w:val="18"/>
          <w:szCs w:val="18"/>
        </w:rPr>
        <w:t xml:space="preserve">lochy smíšené nezastavěného území </w:t>
      </w:r>
      <w:r w:rsidRPr="006070EA">
        <w:rPr>
          <w:rFonts w:asciiTheme="majorHAnsi" w:hAnsiTheme="majorHAnsi" w:cstheme="majorHAnsi"/>
          <w:bCs/>
          <w:sz w:val="18"/>
          <w:szCs w:val="18"/>
        </w:rPr>
        <w:t>–</w:t>
      </w:r>
      <w:r w:rsidR="000C5FD9" w:rsidRPr="006070EA">
        <w:rPr>
          <w:rFonts w:asciiTheme="majorHAnsi" w:hAnsiTheme="majorHAnsi" w:cstheme="majorHAnsi"/>
          <w:bCs/>
          <w:sz w:val="18"/>
          <w:szCs w:val="18"/>
        </w:rPr>
        <w:t xml:space="preserve"> rekrea</w:t>
      </w:r>
      <w:r w:rsidRPr="006070EA">
        <w:rPr>
          <w:rFonts w:asciiTheme="majorHAnsi" w:hAnsiTheme="majorHAnsi" w:cstheme="majorHAnsi"/>
          <w:bCs/>
          <w:sz w:val="18"/>
          <w:szCs w:val="18"/>
        </w:rPr>
        <w:t>ce</w:t>
      </w:r>
      <w:r w:rsidR="000C5FD9" w:rsidRPr="006070EA">
        <w:rPr>
          <w:rFonts w:asciiTheme="majorHAnsi" w:hAnsiTheme="majorHAnsi" w:cstheme="majorHAnsi"/>
          <w:bCs/>
          <w:sz w:val="18"/>
          <w:szCs w:val="18"/>
        </w:rPr>
        <w:t xml:space="preserve"> nepobytov</w:t>
      </w:r>
      <w:r w:rsidRPr="006070EA">
        <w:rPr>
          <w:rFonts w:asciiTheme="majorHAnsi" w:hAnsiTheme="majorHAnsi" w:cstheme="majorHAnsi"/>
          <w:bCs/>
          <w:sz w:val="18"/>
          <w:szCs w:val="18"/>
        </w:rPr>
        <w:t>á</w:t>
      </w:r>
      <w:r w:rsidR="000C5FD9" w:rsidRPr="006070EA">
        <w:rPr>
          <w:rFonts w:asciiTheme="majorHAnsi" w:hAnsiTheme="majorHAnsi" w:cstheme="majorHAnsi"/>
          <w:bCs/>
          <w:sz w:val="18"/>
          <w:szCs w:val="18"/>
        </w:rPr>
        <w:t xml:space="preserve"> (</w:t>
      </w:r>
      <w:proofErr w:type="gramStart"/>
      <w:r w:rsidRPr="006070EA">
        <w:rPr>
          <w:rFonts w:asciiTheme="majorHAnsi" w:hAnsiTheme="majorHAnsi" w:cstheme="majorHAnsi"/>
          <w:bCs/>
          <w:sz w:val="18"/>
          <w:szCs w:val="18"/>
        </w:rPr>
        <w:t>MU.r</w:t>
      </w:r>
      <w:proofErr w:type="gramEnd"/>
      <w:r w:rsidR="000C5FD9" w:rsidRPr="006070EA">
        <w:rPr>
          <w:rFonts w:asciiTheme="majorHAnsi" w:hAnsiTheme="majorHAnsi" w:cstheme="majorHAnsi"/>
          <w:bCs/>
          <w:sz w:val="18"/>
          <w:szCs w:val="18"/>
        </w:rPr>
        <w:t>)</w:t>
      </w:r>
    </w:p>
    <w:p w14:paraId="2E221757" w14:textId="79E6C426" w:rsidR="00EC1337" w:rsidRPr="006070EA" w:rsidRDefault="00EC1337" w:rsidP="00EC1337">
      <w:pPr>
        <w:spacing w:before="120" w:after="120" w:line="240" w:lineRule="auto"/>
        <w:ind w:firstLine="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 xml:space="preserve">Koncepce uspořádání krajiny v územním plánu vychází z jejích historických a současných funkcí. ÚP Kostomlaty nad Labem vymezuje jednotlivé plochy s rozdílným způsobem využití v nezastavěném území tak, aby bylo respektováno harmonické uspořádání krajiny převážně zemědělského charakteru. Stanovením zásad pro jejich užívání vytváří ÚP podmínky pro ochranu přírodních hodnot a krajiny, jejich obnovu a zároveň umožňuje hospodářské a rekreační využití krajiny. </w:t>
      </w:r>
    </w:p>
    <w:p w14:paraId="662EE23A" w14:textId="140D6E88" w:rsidR="000C5FD9" w:rsidRPr="006070EA" w:rsidRDefault="000C5FD9" w:rsidP="000C5FD9">
      <w:pPr>
        <w:pStyle w:val="Atext"/>
        <w:rPr>
          <w:rFonts w:asciiTheme="majorHAnsi" w:eastAsia="Calibri" w:hAnsiTheme="majorHAnsi" w:cstheme="majorHAnsi"/>
        </w:rPr>
      </w:pPr>
      <w:r w:rsidRPr="006070EA">
        <w:rPr>
          <w:rFonts w:asciiTheme="majorHAnsi" w:eastAsia="Calibri" w:hAnsiTheme="majorHAnsi" w:cstheme="majorHAnsi"/>
        </w:rPr>
        <w:t xml:space="preserve">Podrobné odůvodnění uplatněných typů ploch s rozdílným způsobem využití je uvedeno v kapitole 11.6, kde je popsáno a zdůvodněno také stanovení podmínek využití a prostorového uspořádání těchto ploch. </w:t>
      </w:r>
    </w:p>
    <w:p w14:paraId="5F9911A1" w14:textId="77777777" w:rsidR="00EC1337" w:rsidRPr="006070EA" w:rsidRDefault="00EC1337" w:rsidP="00EF7B4B">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92" w:name="_Toc71571679"/>
      <w:bookmarkStart w:id="393" w:name="_Toc204678206"/>
      <w:r w:rsidRPr="006070EA">
        <w:rPr>
          <w:rFonts w:asciiTheme="majorHAnsi" w:hAnsiTheme="majorHAnsi" w:cstheme="majorHAnsi"/>
          <w:b/>
        </w:rPr>
        <w:t>Odůvodnění vymezení ploch změn v krajině</w:t>
      </w:r>
      <w:bookmarkEnd w:id="392"/>
      <w:bookmarkEnd w:id="393"/>
    </w:p>
    <w:p w14:paraId="0E4631AC" w14:textId="10F4D000" w:rsidR="00EC1337" w:rsidRPr="006070EA" w:rsidRDefault="00EC1337" w:rsidP="00EC1337">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21590A">
        <w:rPr>
          <w:rFonts w:asciiTheme="majorHAnsi" w:hAnsiTheme="majorHAnsi" w:cstheme="majorHAnsi"/>
          <w:b/>
          <w:i/>
          <w:snapToGrid w:val="0"/>
          <w:u w:val="single"/>
        </w:rPr>
        <w:t>48</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35EC4157" w14:textId="77777777" w:rsidR="00EC1337" w:rsidRPr="006070EA" w:rsidRDefault="00EC1337" w:rsidP="00EC1337">
      <w:pPr>
        <w:pStyle w:val="Atext"/>
        <w:rPr>
          <w:rFonts w:asciiTheme="majorHAnsi" w:hAnsiTheme="majorHAnsi" w:cstheme="majorHAnsi"/>
        </w:rPr>
      </w:pPr>
      <w:r w:rsidRPr="006070EA">
        <w:rPr>
          <w:rFonts w:asciiTheme="majorHAnsi" w:hAnsiTheme="majorHAnsi" w:cstheme="majorHAnsi"/>
        </w:rPr>
        <w:t xml:space="preserve">Plochy změn v krajině jsou vymezeny v souladu s § 2 odst. 1 písm. k) a § 43 odst. 1 zákona č. 183/2006 Sb. a § 3 odst. 2 písm. a) a b) vyhlášky č. 501/2006 Sb. na základě odborného zhodnocení potřebnosti změny způsobu využití dané plochy. Plochy změn v krajině jsou vymezeny zejména pro zajištění funkčnosti územního systému ekologické stability. </w:t>
      </w:r>
    </w:p>
    <w:p w14:paraId="439386BD" w14:textId="77777777" w:rsidR="00EC1337" w:rsidRPr="006070EA" w:rsidRDefault="00EC1337" w:rsidP="00EC1337">
      <w:pPr>
        <w:pStyle w:val="ANADPIS4"/>
        <w:rPr>
          <w:rFonts w:asciiTheme="majorHAnsi" w:hAnsiTheme="majorHAnsi" w:cstheme="majorHAnsi"/>
        </w:rPr>
      </w:pPr>
      <w:r w:rsidRPr="006070EA">
        <w:rPr>
          <w:rFonts w:asciiTheme="majorHAnsi" w:hAnsiTheme="majorHAnsi" w:cstheme="majorHAnsi"/>
        </w:rPr>
        <w:t>ODŮVODNĚNÍ VYMEZENÍ JEDNOTLIVÝCH PLOCH ZMĚN V KRAJINĚ</w:t>
      </w: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32"/>
        <w:gridCol w:w="6438"/>
      </w:tblGrid>
      <w:tr w:rsidR="0052508A" w:rsidRPr="006070EA" w14:paraId="4874B4C3" w14:textId="77777777" w:rsidTr="00EC1337">
        <w:trPr>
          <w:cantSplit/>
          <w:tblHeader/>
        </w:trPr>
        <w:tc>
          <w:tcPr>
            <w:tcW w:w="2687" w:type="dxa"/>
            <w:shd w:val="clear" w:color="auto" w:fill="F2F2F2" w:themeFill="background1" w:themeFillShade="F2"/>
          </w:tcPr>
          <w:p w14:paraId="08A14F33" w14:textId="77777777" w:rsidR="00EC1337" w:rsidRPr="006070EA" w:rsidRDefault="00EC1337" w:rsidP="00E00A83">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Plocha změn v krajině</w:t>
            </w:r>
          </w:p>
        </w:tc>
        <w:tc>
          <w:tcPr>
            <w:tcW w:w="6599" w:type="dxa"/>
            <w:shd w:val="clear" w:color="auto" w:fill="F2F2F2" w:themeFill="background1" w:themeFillShade="F2"/>
          </w:tcPr>
          <w:p w14:paraId="2F681EDC" w14:textId="4C1552A4" w:rsidR="00EC1337" w:rsidRPr="006070EA" w:rsidRDefault="00EC1337" w:rsidP="00E00A83">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K</w:t>
            </w:r>
            <w:r w:rsidR="00071C0F"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01</w:t>
            </w:r>
          </w:p>
        </w:tc>
      </w:tr>
      <w:tr w:rsidR="0052508A" w:rsidRPr="006070EA" w14:paraId="05D1A24D" w14:textId="77777777" w:rsidTr="00EC1337">
        <w:trPr>
          <w:cantSplit/>
        </w:trPr>
        <w:tc>
          <w:tcPr>
            <w:tcW w:w="2687" w:type="dxa"/>
          </w:tcPr>
          <w:p w14:paraId="40478AAF"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99" w:type="dxa"/>
          </w:tcPr>
          <w:p w14:paraId="13A0405B" w14:textId="16132E92" w:rsidR="00EC1337" w:rsidRPr="006070EA" w:rsidRDefault="00071C0F"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proofErr w:type="gramStart"/>
            <w:r w:rsidRPr="006070EA">
              <w:rPr>
                <w:rFonts w:asciiTheme="majorHAnsi" w:eastAsia="Times New Roman" w:hAnsiTheme="majorHAnsi" w:cstheme="majorHAnsi"/>
                <w:bCs/>
                <w:iCs/>
                <w:sz w:val="18"/>
                <w:szCs w:val="20"/>
                <w:lang w:eastAsia="ar-SA"/>
              </w:rPr>
              <w:t>MU.zp</w:t>
            </w:r>
            <w:proofErr w:type="gramEnd"/>
            <w:r w:rsidRPr="006070EA">
              <w:rPr>
                <w:rFonts w:asciiTheme="majorHAnsi" w:eastAsia="Times New Roman" w:hAnsiTheme="majorHAnsi" w:cstheme="majorHAnsi"/>
                <w:bCs/>
                <w:iCs/>
                <w:sz w:val="18"/>
                <w:szCs w:val="20"/>
                <w:lang w:eastAsia="ar-SA"/>
              </w:rPr>
              <w:t xml:space="preserve"> </w:t>
            </w:r>
            <w:r w:rsidR="00EC1337"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 xml:space="preserve"> </w:t>
            </w:r>
            <w:r w:rsidR="00EC1337" w:rsidRPr="006070EA">
              <w:rPr>
                <w:rFonts w:asciiTheme="majorHAnsi" w:eastAsia="Times New Roman" w:hAnsiTheme="majorHAnsi" w:cstheme="majorHAnsi"/>
                <w:sz w:val="18"/>
                <w:szCs w:val="18"/>
                <w:lang w:eastAsia="cs-CZ"/>
              </w:rPr>
              <w:t>smíšené nezastavěného území – zeměděls</w:t>
            </w:r>
            <w:r w:rsidRPr="006070EA">
              <w:rPr>
                <w:rFonts w:asciiTheme="majorHAnsi" w:eastAsia="Times New Roman" w:hAnsiTheme="majorHAnsi" w:cstheme="majorHAnsi"/>
                <w:sz w:val="18"/>
                <w:szCs w:val="18"/>
                <w:lang w:eastAsia="cs-CZ"/>
              </w:rPr>
              <w:t>tví extenzivní</w:t>
            </w:r>
            <w:r w:rsidR="00EC1337" w:rsidRPr="006070EA">
              <w:rPr>
                <w:rFonts w:asciiTheme="majorHAnsi" w:eastAsia="Times New Roman" w:hAnsiTheme="majorHAnsi" w:cstheme="majorHAnsi"/>
                <w:sz w:val="18"/>
                <w:szCs w:val="18"/>
                <w:lang w:eastAsia="cs-CZ"/>
              </w:rPr>
              <w:t>, přírodní</w:t>
            </w:r>
            <w:r w:rsidRPr="006070EA">
              <w:rPr>
                <w:rFonts w:asciiTheme="majorHAnsi" w:eastAsia="Times New Roman" w:hAnsiTheme="majorHAnsi" w:cstheme="majorHAnsi"/>
                <w:sz w:val="18"/>
                <w:szCs w:val="18"/>
                <w:lang w:eastAsia="cs-CZ"/>
              </w:rPr>
              <w:t xml:space="preserve"> priority</w:t>
            </w:r>
          </w:p>
        </w:tc>
      </w:tr>
      <w:tr w:rsidR="0052508A" w:rsidRPr="006070EA" w14:paraId="3598641C" w14:textId="77777777" w:rsidTr="00EC1337">
        <w:trPr>
          <w:cantSplit/>
        </w:trPr>
        <w:tc>
          <w:tcPr>
            <w:tcW w:w="2687" w:type="dxa"/>
          </w:tcPr>
          <w:p w14:paraId="564C2323"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99" w:type="dxa"/>
          </w:tcPr>
          <w:p w14:paraId="41ECD446" w14:textId="04CFB933" w:rsidR="00EC1337" w:rsidRPr="006070EA" w:rsidRDefault="00EC1337"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Pásmo 50 m od hranice PUPFL, OP nadregionálního biokoridoru (nárazníková zóna), </w:t>
            </w:r>
            <w:r w:rsidR="0052508A" w:rsidRPr="006070EA">
              <w:rPr>
                <w:rFonts w:asciiTheme="majorHAnsi" w:eastAsia="Times New Roman" w:hAnsiTheme="majorHAnsi" w:cstheme="majorHAnsi"/>
                <w:bCs/>
                <w:iCs/>
                <w:sz w:val="18"/>
                <w:szCs w:val="20"/>
                <w:lang w:eastAsia="ar-SA"/>
              </w:rPr>
              <w:t>záplavové území Q</w:t>
            </w:r>
            <w:r w:rsidR="0052508A" w:rsidRPr="006070EA">
              <w:rPr>
                <w:rFonts w:asciiTheme="majorHAnsi" w:eastAsia="Times New Roman" w:hAnsiTheme="majorHAnsi" w:cstheme="majorHAnsi"/>
                <w:bCs/>
                <w:iCs/>
                <w:sz w:val="18"/>
                <w:szCs w:val="20"/>
                <w:vertAlign w:val="subscript"/>
                <w:lang w:eastAsia="ar-SA"/>
              </w:rPr>
              <w:t>100</w:t>
            </w:r>
          </w:p>
        </w:tc>
      </w:tr>
      <w:tr w:rsidR="0052508A" w:rsidRPr="006070EA" w14:paraId="3FB2DA92" w14:textId="77777777" w:rsidTr="00EC1337">
        <w:trPr>
          <w:cantSplit/>
        </w:trPr>
        <w:tc>
          <w:tcPr>
            <w:tcW w:w="2687" w:type="dxa"/>
          </w:tcPr>
          <w:p w14:paraId="3245687B" w14:textId="79E31FBC"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 xml:space="preserve">vztah k platné ÚPD (ZÚR, </w:t>
            </w:r>
            <w:r w:rsidR="0052508A" w:rsidRPr="006070EA">
              <w:rPr>
                <w:rFonts w:asciiTheme="majorHAnsi" w:eastAsia="Times New Roman" w:hAnsiTheme="majorHAnsi" w:cstheme="majorHAnsi"/>
                <w:b/>
                <w:bCs/>
                <w:iCs/>
                <w:sz w:val="18"/>
                <w:szCs w:val="20"/>
                <w:lang w:eastAsia="ar-SA"/>
              </w:rPr>
              <w:t>ÚPO</w:t>
            </w:r>
            <w:r w:rsidRPr="006070EA">
              <w:rPr>
                <w:rFonts w:asciiTheme="majorHAnsi" w:eastAsia="Times New Roman" w:hAnsiTheme="majorHAnsi" w:cstheme="majorHAnsi"/>
                <w:b/>
                <w:bCs/>
                <w:iCs/>
                <w:sz w:val="18"/>
                <w:szCs w:val="20"/>
                <w:lang w:eastAsia="ar-SA"/>
              </w:rPr>
              <w:t>)</w:t>
            </w:r>
          </w:p>
        </w:tc>
        <w:tc>
          <w:tcPr>
            <w:tcW w:w="6599" w:type="dxa"/>
          </w:tcPr>
          <w:p w14:paraId="6480E3DF" w14:textId="37BBC4A2" w:rsidR="00EC1337" w:rsidRPr="006070EA" w:rsidRDefault="0052508A"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Stabilizovaná plocha luk a pastvin v ÚPO</w:t>
            </w:r>
          </w:p>
        </w:tc>
      </w:tr>
      <w:tr w:rsidR="0052508A" w:rsidRPr="006070EA" w14:paraId="0C663FDE" w14:textId="77777777" w:rsidTr="00EC1337">
        <w:trPr>
          <w:cantSplit/>
        </w:trPr>
        <w:tc>
          <w:tcPr>
            <w:tcW w:w="2687" w:type="dxa"/>
          </w:tcPr>
          <w:p w14:paraId="00AD4EF7"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99" w:type="dxa"/>
          </w:tcPr>
          <w:p w14:paraId="13BB1D78" w14:textId="788C554E" w:rsidR="00EC1337" w:rsidRPr="006070EA" w:rsidRDefault="00EC1337"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IV. třídy ochrany</w:t>
            </w:r>
            <w:r w:rsidR="0052508A" w:rsidRPr="006070EA">
              <w:rPr>
                <w:rFonts w:asciiTheme="majorHAnsi" w:eastAsia="Times New Roman" w:hAnsiTheme="majorHAnsi" w:cstheme="majorHAnsi"/>
                <w:bCs/>
                <w:iCs/>
                <w:sz w:val="18"/>
                <w:szCs w:val="20"/>
                <w:lang w:eastAsia="ar-SA"/>
              </w:rPr>
              <w:t>, nezemědělská půda</w:t>
            </w:r>
          </w:p>
        </w:tc>
      </w:tr>
      <w:tr w:rsidR="0052508A" w:rsidRPr="006070EA" w14:paraId="073258D5" w14:textId="77777777" w:rsidTr="00EC1337">
        <w:trPr>
          <w:cantSplit/>
        </w:trPr>
        <w:tc>
          <w:tcPr>
            <w:tcW w:w="2687" w:type="dxa"/>
          </w:tcPr>
          <w:p w14:paraId="49ACDA43"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hlavní důvody vymezení plochy</w:t>
            </w:r>
          </w:p>
        </w:tc>
        <w:tc>
          <w:tcPr>
            <w:tcW w:w="6599" w:type="dxa"/>
          </w:tcPr>
          <w:p w14:paraId="325A7F68" w14:textId="77777777" w:rsidR="005C0903" w:rsidRPr="006070EA" w:rsidRDefault="005C0903"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Revitalizace urbanizované části krajiny mezi zemědělským areálem a lesními porosty nad severním břehem řeky Labe. </w:t>
            </w:r>
          </w:p>
          <w:p w14:paraId="073E1DCA" w14:textId="63581AC5" w:rsidR="00EC1337" w:rsidRPr="006070EA" w:rsidRDefault="005C0903"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Dotvoření přírodního segmentu krajiny. Plocha navazuje na lesní komplex (les ochranný) a koryto bezejmenného vodního toku. </w:t>
            </w:r>
          </w:p>
          <w:p w14:paraId="4607DE38" w14:textId="6CB38A5B" w:rsidR="005C0903" w:rsidRPr="006070EA" w:rsidRDefault="005C0903"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Vytvoření přechodové zóny mezi lesním komplexem a intenzivně zemědělsky využívanou částí krajiny.</w:t>
            </w:r>
          </w:p>
          <w:p w14:paraId="7509774A" w14:textId="3ECFC70F" w:rsidR="00EC1337" w:rsidRPr="006070EA" w:rsidRDefault="00EC1337"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Síť zemědělských účelových komunikací a polních cest není vymezením plochy dotčena. Organizace půdních bloků není narušena, neboť plocha je vymezena podél okrajů stávajících půdních bloků. </w:t>
            </w:r>
          </w:p>
        </w:tc>
      </w:tr>
    </w:tbl>
    <w:p w14:paraId="75083411" w14:textId="77777777" w:rsidR="00EC1337" w:rsidRPr="006070EA" w:rsidRDefault="00EC1337" w:rsidP="00EC1337">
      <w:pPr>
        <w:pStyle w:val="Norml"/>
        <w:spacing w:before="60" w:after="60"/>
        <w:rPr>
          <w:rFonts w:asciiTheme="majorHAnsi" w:hAnsiTheme="majorHAnsi" w:cstheme="majorHAnsi"/>
          <w:color w:val="FF0000"/>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33"/>
        <w:gridCol w:w="6437"/>
      </w:tblGrid>
      <w:tr w:rsidR="00EC1337" w:rsidRPr="006070EA" w14:paraId="68001E50" w14:textId="77777777" w:rsidTr="00D23283">
        <w:trPr>
          <w:cantSplit/>
          <w:tblHeader/>
        </w:trPr>
        <w:tc>
          <w:tcPr>
            <w:tcW w:w="2688" w:type="dxa"/>
            <w:shd w:val="clear" w:color="auto" w:fill="F2F2F2" w:themeFill="background1" w:themeFillShade="F2"/>
          </w:tcPr>
          <w:p w14:paraId="56C27852" w14:textId="77777777" w:rsidR="00EC1337" w:rsidRPr="006070EA" w:rsidRDefault="00EC1337" w:rsidP="00E00A83">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Plocha změn v krajině</w:t>
            </w:r>
          </w:p>
        </w:tc>
        <w:tc>
          <w:tcPr>
            <w:tcW w:w="6598" w:type="dxa"/>
            <w:shd w:val="clear" w:color="auto" w:fill="F2F2F2" w:themeFill="background1" w:themeFillShade="F2"/>
          </w:tcPr>
          <w:p w14:paraId="7D8EBD46" w14:textId="78EE46D7" w:rsidR="00EC1337" w:rsidRPr="006070EA" w:rsidRDefault="00EC1337" w:rsidP="00E00A83">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K</w:t>
            </w:r>
            <w:r w:rsidR="00071C0F"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02</w:t>
            </w:r>
          </w:p>
        </w:tc>
      </w:tr>
      <w:tr w:rsidR="006738E4" w:rsidRPr="006070EA" w14:paraId="7DCBC641" w14:textId="77777777" w:rsidTr="00D23283">
        <w:trPr>
          <w:cantSplit/>
        </w:trPr>
        <w:tc>
          <w:tcPr>
            <w:tcW w:w="2688" w:type="dxa"/>
          </w:tcPr>
          <w:p w14:paraId="6797D4E0"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598" w:type="dxa"/>
          </w:tcPr>
          <w:p w14:paraId="46CE9235" w14:textId="5C6D1434" w:rsidR="00EC1337" w:rsidRPr="006070EA" w:rsidRDefault="00EC1337"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N</w:t>
            </w:r>
            <w:r w:rsidR="00071C0F" w:rsidRPr="006070EA">
              <w:rPr>
                <w:rFonts w:asciiTheme="majorHAnsi" w:eastAsia="Times New Roman" w:hAnsiTheme="majorHAnsi" w:cstheme="majorHAnsi"/>
                <w:bCs/>
                <w:iCs/>
                <w:sz w:val="18"/>
                <w:szCs w:val="20"/>
                <w:lang w:eastAsia="ar-SA"/>
              </w:rPr>
              <w:t>U</w:t>
            </w:r>
            <w:r w:rsidRPr="006070EA">
              <w:rPr>
                <w:rFonts w:asciiTheme="majorHAnsi" w:eastAsia="Times New Roman" w:hAnsiTheme="majorHAnsi" w:cstheme="majorHAnsi"/>
                <w:bCs/>
                <w:iCs/>
                <w:sz w:val="18"/>
                <w:szCs w:val="20"/>
                <w:lang w:eastAsia="ar-SA"/>
              </w:rPr>
              <w:t xml:space="preserve"> –</w:t>
            </w:r>
            <w:r w:rsidR="00071C0F" w:rsidRPr="006070EA">
              <w:rPr>
                <w:rFonts w:asciiTheme="majorHAnsi" w:eastAsia="Times New Roman" w:hAnsiTheme="majorHAnsi" w:cstheme="majorHAnsi"/>
                <w:bCs/>
                <w:iCs/>
                <w:sz w:val="18"/>
                <w:szCs w:val="20"/>
                <w:lang w:eastAsia="ar-SA"/>
              </w:rPr>
              <w:t xml:space="preserve"> </w:t>
            </w:r>
            <w:r w:rsidRPr="006070EA">
              <w:rPr>
                <w:rFonts w:asciiTheme="majorHAnsi" w:eastAsia="Times New Roman" w:hAnsiTheme="majorHAnsi" w:cstheme="majorHAnsi"/>
                <w:sz w:val="18"/>
                <w:szCs w:val="18"/>
                <w:lang w:eastAsia="cs-CZ"/>
              </w:rPr>
              <w:t>přírodní</w:t>
            </w:r>
            <w:r w:rsidR="00071C0F" w:rsidRPr="006070EA">
              <w:rPr>
                <w:rFonts w:asciiTheme="majorHAnsi" w:eastAsia="Times New Roman" w:hAnsiTheme="majorHAnsi" w:cstheme="majorHAnsi"/>
                <w:sz w:val="18"/>
                <w:szCs w:val="18"/>
                <w:lang w:eastAsia="cs-CZ"/>
              </w:rPr>
              <w:t xml:space="preserve"> všeobecné</w:t>
            </w:r>
          </w:p>
        </w:tc>
      </w:tr>
      <w:tr w:rsidR="006738E4" w:rsidRPr="006070EA" w14:paraId="3F651CEC" w14:textId="77777777" w:rsidTr="00D23283">
        <w:trPr>
          <w:cantSplit/>
        </w:trPr>
        <w:tc>
          <w:tcPr>
            <w:tcW w:w="2688" w:type="dxa"/>
          </w:tcPr>
          <w:p w14:paraId="0D81A500"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598" w:type="dxa"/>
          </w:tcPr>
          <w:p w14:paraId="41A3AE5E" w14:textId="2724E433" w:rsidR="00EC1337" w:rsidRPr="006070EA" w:rsidRDefault="00D23283"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komunikačního vedení, lokální biocentrum</w:t>
            </w:r>
          </w:p>
        </w:tc>
      </w:tr>
      <w:tr w:rsidR="006738E4" w:rsidRPr="006070EA" w14:paraId="3549B902" w14:textId="77777777" w:rsidTr="00D23283">
        <w:trPr>
          <w:cantSplit/>
        </w:trPr>
        <w:tc>
          <w:tcPr>
            <w:tcW w:w="2688" w:type="dxa"/>
          </w:tcPr>
          <w:p w14:paraId="25135C3B" w14:textId="4C0B485C" w:rsidR="00D23283" w:rsidRPr="006070EA" w:rsidRDefault="00D23283" w:rsidP="00D232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598" w:type="dxa"/>
          </w:tcPr>
          <w:p w14:paraId="72C61CBF" w14:textId="71D55BE9" w:rsidR="00D23283" w:rsidRPr="006070EA" w:rsidRDefault="00D23283" w:rsidP="00D232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ÚSES – II BC 10</w:t>
            </w:r>
          </w:p>
        </w:tc>
      </w:tr>
      <w:tr w:rsidR="006738E4" w:rsidRPr="006070EA" w14:paraId="7B31B697" w14:textId="77777777" w:rsidTr="00D23283">
        <w:trPr>
          <w:cantSplit/>
        </w:trPr>
        <w:tc>
          <w:tcPr>
            <w:tcW w:w="2688" w:type="dxa"/>
          </w:tcPr>
          <w:p w14:paraId="5058F2AB"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598" w:type="dxa"/>
          </w:tcPr>
          <w:p w14:paraId="7F625A5E" w14:textId="29A2E5D0" w:rsidR="00EC1337" w:rsidRPr="006070EA" w:rsidRDefault="00EC1337"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6738E4" w:rsidRPr="006070EA" w14:paraId="35CCBE2B" w14:textId="77777777" w:rsidTr="00D23283">
        <w:trPr>
          <w:cantSplit/>
        </w:trPr>
        <w:tc>
          <w:tcPr>
            <w:tcW w:w="2688" w:type="dxa"/>
          </w:tcPr>
          <w:p w14:paraId="3D36B52B"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598" w:type="dxa"/>
          </w:tcPr>
          <w:p w14:paraId="76D10544" w14:textId="1F8B89D6" w:rsidR="00EC1337" w:rsidRPr="006070EA" w:rsidRDefault="00EC1337"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Zajištění funkčnosti vymezené skladebné části ÚSES – lokální biocentrum L</w:t>
            </w:r>
            <w:r w:rsidR="00071C0F" w:rsidRPr="006070EA">
              <w:rPr>
                <w:rFonts w:asciiTheme="majorHAnsi" w:eastAsia="Times New Roman" w:hAnsiTheme="majorHAnsi" w:cstheme="majorHAnsi"/>
                <w:bCs/>
                <w:iCs/>
                <w:sz w:val="18"/>
                <w:szCs w:val="20"/>
                <w:lang w:eastAsia="ar-SA"/>
              </w:rPr>
              <w:t>B</w:t>
            </w:r>
            <w:r w:rsidRPr="006070EA">
              <w:rPr>
                <w:rFonts w:asciiTheme="majorHAnsi" w:eastAsia="Times New Roman" w:hAnsiTheme="majorHAnsi" w:cstheme="majorHAnsi"/>
                <w:bCs/>
                <w:iCs/>
                <w:sz w:val="18"/>
                <w:szCs w:val="20"/>
                <w:lang w:eastAsia="ar-SA"/>
              </w:rPr>
              <w:t>C</w:t>
            </w:r>
            <w:r w:rsidR="00071C0F"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 xml:space="preserve">1 </w:t>
            </w:r>
            <w:r w:rsidR="00D23283" w:rsidRPr="006070EA">
              <w:rPr>
                <w:rFonts w:asciiTheme="majorHAnsi" w:eastAsia="Times New Roman" w:hAnsiTheme="majorHAnsi" w:cstheme="majorHAnsi"/>
                <w:bCs/>
                <w:iCs/>
                <w:sz w:val="18"/>
                <w:szCs w:val="20"/>
                <w:lang w:eastAsia="ar-SA"/>
              </w:rPr>
              <w:t>V Bažantnici</w:t>
            </w:r>
            <w:r w:rsidRPr="006070EA">
              <w:rPr>
                <w:rFonts w:asciiTheme="majorHAnsi" w:eastAsia="Times New Roman" w:hAnsiTheme="majorHAnsi" w:cstheme="majorHAnsi"/>
                <w:bCs/>
                <w:iCs/>
                <w:sz w:val="18"/>
                <w:szCs w:val="20"/>
                <w:lang w:eastAsia="ar-SA"/>
              </w:rPr>
              <w:t>. Vymezení ÚSES, resp. zajištění funkčnosti a provázanosti systému v rozsahu nefunkčních úseků je ve veřejném zájmu a zajišťuje rovněž nezbytnou minimální míru ekologické stability území.</w:t>
            </w:r>
          </w:p>
          <w:p w14:paraId="3CBAE031" w14:textId="77777777" w:rsidR="00D23283" w:rsidRPr="006070EA" w:rsidRDefault="00EC1337"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podél </w:t>
            </w:r>
            <w:r w:rsidR="00D23283" w:rsidRPr="006070EA">
              <w:rPr>
                <w:rFonts w:asciiTheme="majorHAnsi" w:eastAsia="Times New Roman" w:hAnsiTheme="majorHAnsi" w:cstheme="majorHAnsi"/>
                <w:bCs/>
                <w:iCs/>
                <w:sz w:val="18"/>
                <w:szCs w:val="20"/>
                <w:lang w:eastAsia="ar-SA"/>
              </w:rPr>
              <w:t xml:space="preserve">soutoku bezejmenného vodního toku a Hlubokého příkopu. Plocha je vymezena v </w:t>
            </w:r>
            <w:r w:rsidRPr="006070EA">
              <w:rPr>
                <w:rFonts w:asciiTheme="majorHAnsi" w:eastAsia="Times New Roman" w:hAnsiTheme="majorHAnsi" w:cstheme="majorHAnsi"/>
                <w:bCs/>
                <w:iCs/>
                <w:sz w:val="18"/>
                <w:szCs w:val="20"/>
                <w:lang w:eastAsia="ar-SA"/>
              </w:rPr>
              <w:t xml:space="preserve">zemědělsky </w:t>
            </w:r>
            <w:r w:rsidR="00D23283" w:rsidRPr="006070EA">
              <w:rPr>
                <w:rFonts w:asciiTheme="majorHAnsi" w:eastAsia="Times New Roman" w:hAnsiTheme="majorHAnsi" w:cstheme="majorHAnsi"/>
                <w:bCs/>
                <w:iCs/>
                <w:sz w:val="18"/>
                <w:szCs w:val="20"/>
                <w:lang w:eastAsia="ar-SA"/>
              </w:rPr>
              <w:t>intenzivně vy</w:t>
            </w:r>
            <w:r w:rsidRPr="006070EA">
              <w:rPr>
                <w:rFonts w:asciiTheme="majorHAnsi" w:eastAsia="Times New Roman" w:hAnsiTheme="majorHAnsi" w:cstheme="majorHAnsi"/>
                <w:bCs/>
                <w:iCs/>
                <w:sz w:val="18"/>
                <w:szCs w:val="20"/>
                <w:lang w:eastAsia="ar-SA"/>
              </w:rPr>
              <w:t>užívan</w:t>
            </w:r>
            <w:r w:rsidR="00D23283" w:rsidRPr="006070EA">
              <w:rPr>
                <w:rFonts w:asciiTheme="majorHAnsi" w:eastAsia="Times New Roman" w:hAnsiTheme="majorHAnsi" w:cstheme="majorHAnsi"/>
                <w:bCs/>
                <w:iCs/>
                <w:sz w:val="18"/>
                <w:szCs w:val="20"/>
                <w:lang w:eastAsia="ar-SA"/>
              </w:rPr>
              <w:t>é</w:t>
            </w:r>
            <w:r w:rsidRPr="006070EA">
              <w:rPr>
                <w:rFonts w:asciiTheme="majorHAnsi" w:eastAsia="Times New Roman" w:hAnsiTheme="majorHAnsi" w:cstheme="majorHAnsi"/>
                <w:bCs/>
                <w:iCs/>
                <w:sz w:val="18"/>
                <w:szCs w:val="20"/>
                <w:lang w:eastAsia="ar-SA"/>
              </w:rPr>
              <w:t xml:space="preserve"> krajin</w:t>
            </w:r>
            <w:r w:rsidR="00D23283" w:rsidRPr="006070EA">
              <w:rPr>
                <w:rFonts w:asciiTheme="majorHAnsi" w:eastAsia="Times New Roman" w:hAnsiTheme="majorHAnsi" w:cstheme="majorHAnsi"/>
                <w:bCs/>
                <w:iCs/>
                <w:sz w:val="18"/>
                <w:szCs w:val="20"/>
                <w:lang w:eastAsia="ar-SA"/>
              </w:rPr>
              <w:t>ě</w:t>
            </w:r>
            <w:r w:rsidRPr="006070EA">
              <w:rPr>
                <w:rFonts w:asciiTheme="majorHAnsi" w:eastAsia="Times New Roman" w:hAnsiTheme="majorHAnsi" w:cstheme="majorHAnsi"/>
                <w:bCs/>
                <w:iCs/>
                <w:sz w:val="18"/>
                <w:szCs w:val="20"/>
                <w:lang w:eastAsia="ar-SA"/>
              </w:rPr>
              <w:t xml:space="preserve">. </w:t>
            </w:r>
          </w:p>
          <w:p w14:paraId="4BC3E8F4" w14:textId="5BAAA64E" w:rsidR="00EC1337" w:rsidRPr="006070EA" w:rsidRDefault="00EC1337"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Síť zemědělských účelových komunikací a polních cest není vymezením plochy dotčena. Organizace půdních bloků není narušena, neboť plocha je vymezena podél okrajů stávajících půdních bloků.</w:t>
            </w:r>
          </w:p>
        </w:tc>
      </w:tr>
    </w:tbl>
    <w:p w14:paraId="0724BFAF" w14:textId="77777777" w:rsidR="00EC1337" w:rsidRPr="006070EA" w:rsidRDefault="00EC1337" w:rsidP="00EC1337">
      <w:pPr>
        <w:pStyle w:val="Norml"/>
        <w:spacing w:before="60" w:after="60"/>
        <w:rPr>
          <w:rFonts w:asciiTheme="majorHAnsi" w:hAnsiTheme="majorHAnsi" w:cstheme="majorHAnsi"/>
          <w:color w:val="FF0000"/>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34"/>
        <w:gridCol w:w="6436"/>
      </w:tblGrid>
      <w:tr w:rsidR="006738E4" w:rsidRPr="006070EA" w14:paraId="1CDC2681" w14:textId="77777777" w:rsidTr="00071C0F">
        <w:trPr>
          <w:cantSplit/>
          <w:tblHeader/>
        </w:trPr>
        <w:tc>
          <w:tcPr>
            <w:tcW w:w="2634" w:type="dxa"/>
            <w:shd w:val="clear" w:color="auto" w:fill="F2F2F2" w:themeFill="background1" w:themeFillShade="F2"/>
          </w:tcPr>
          <w:p w14:paraId="27DA4A48" w14:textId="77777777" w:rsidR="00EC1337" w:rsidRPr="006070EA" w:rsidRDefault="00EC1337" w:rsidP="00E00A83">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Plocha změn v krajině</w:t>
            </w:r>
          </w:p>
        </w:tc>
        <w:tc>
          <w:tcPr>
            <w:tcW w:w="6436" w:type="dxa"/>
            <w:shd w:val="clear" w:color="auto" w:fill="F2F2F2" w:themeFill="background1" w:themeFillShade="F2"/>
          </w:tcPr>
          <w:p w14:paraId="7C607E59" w14:textId="473394C8" w:rsidR="00EC1337" w:rsidRPr="006070EA" w:rsidRDefault="00EC1337" w:rsidP="00E00A83">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K</w:t>
            </w:r>
            <w:r w:rsidR="00071C0F"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03</w:t>
            </w:r>
          </w:p>
        </w:tc>
      </w:tr>
      <w:tr w:rsidR="00071C0F" w:rsidRPr="006070EA" w14:paraId="1E180FD4" w14:textId="77777777" w:rsidTr="00071C0F">
        <w:trPr>
          <w:cantSplit/>
        </w:trPr>
        <w:tc>
          <w:tcPr>
            <w:tcW w:w="2634" w:type="dxa"/>
          </w:tcPr>
          <w:p w14:paraId="50785673" w14:textId="77777777" w:rsidR="00071C0F" w:rsidRPr="006070EA" w:rsidRDefault="00071C0F" w:rsidP="00071C0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436" w:type="dxa"/>
          </w:tcPr>
          <w:p w14:paraId="33996081" w14:textId="5ED1B10D" w:rsidR="00071C0F" w:rsidRPr="006070EA" w:rsidRDefault="00071C0F" w:rsidP="00071C0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NU – </w:t>
            </w:r>
            <w:r w:rsidRPr="006070EA">
              <w:rPr>
                <w:rFonts w:asciiTheme="majorHAnsi" w:eastAsia="Times New Roman" w:hAnsiTheme="majorHAnsi" w:cstheme="majorHAnsi"/>
                <w:sz w:val="18"/>
                <w:szCs w:val="18"/>
                <w:lang w:eastAsia="cs-CZ"/>
              </w:rPr>
              <w:t>přírodní všeobecné</w:t>
            </w:r>
          </w:p>
        </w:tc>
      </w:tr>
      <w:tr w:rsidR="006738E4" w:rsidRPr="006070EA" w14:paraId="4575F62B" w14:textId="77777777" w:rsidTr="00071C0F">
        <w:trPr>
          <w:cantSplit/>
        </w:trPr>
        <w:tc>
          <w:tcPr>
            <w:tcW w:w="2634" w:type="dxa"/>
          </w:tcPr>
          <w:p w14:paraId="5EB29D9F" w14:textId="77777777" w:rsidR="006738E4" w:rsidRPr="006070EA" w:rsidRDefault="006738E4" w:rsidP="006738E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436" w:type="dxa"/>
          </w:tcPr>
          <w:p w14:paraId="0555BE66" w14:textId="0937D7B8"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komunikačního vedení, lokální biocentrum</w:t>
            </w:r>
          </w:p>
        </w:tc>
      </w:tr>
      <w:tr w:rsidR="006738E4" w:rsidRPr="006070EA" w14:paraId="395DD6CD" w14:textId="77777777" w:rsidTr="00071C0F">
        <w:trPr>
          <w:cantSplit/>
        </w:trPr>
        <w:tc>
          <w:tcPr>
            <w:tcW w:w="2634" w:type="dxa"/>
          </w:tcPr>
          <w:p w14:paraId="5971A26A" w14:textId="5EED0F94" w:rsidR="006738E4" w:rsidRPr="006070EA" w:rsidRDefault="006738E4" w:rsidP="006738E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436" w:type="dxa"/>
          </w:tcPr>
          <w:p w14:paraId="7770B1B1" w14:textId="513029CA"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ÚSES – II BC 10</w:t>
            </w:r>
          </w:p>
        </w:tc>
      </w:tr>
      <w:tr w:rsidR="006738E4" w:rsidRPr="006070EA" w14:paraId="0E183371" w14:textId="77777777" w:rsidTr="00071C0F">
        <w:trPr>
          <w:cantSplit/>
        </w:trPr>
        <w:tc>
          <w:tcPr>
            <w:tcW w:w="2634" w:type="dxa"/>
          </w:tcPr>
          <w:p w14:paraId="25983688" w14:textId="77777777" w:rsidR="006738E4" w:rsidRPr="006070EA" w:rsidRDefault="006738E4" w:rsidP="006738E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436" w:type="dxa"/>
          </w:tcPr>
          <w:p w14:paraId="5B70B68D" w14:textId="3CA66220"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6738E4" w:rsidRPr="006070EA" w14:paraId="1B3E56A6" w14:textId="77777777" w:rsidTr="00071C0F">
        <w:trPr>
          <w:cantSplit/>
        </w:trPr>
        <w:tc>
          <w:tcPr>
            <w:tcW w:w="2634" w:type="dxa"/>
          </w:tcPr>
          <w:p w14:paraId="517A1EF6" w14:textId="77777777" w:rsidR="006738E4" w:rsidRPr="006070EA" w:rsidRDefault="006738E4" w:rsidP="006738E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436" w:type="dxa"/>
          </w:tcPr>
          <w:p w14:paraId="1508B7AC" w14:textId="0BB34753"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Zajištění funkčnosti vymezené skladebné části ÚSES – lokální biocentrum L</w:t>
            </w:r>
            <w:r w:rsidR="00071C0F" w:rsidRPr="006070EA">
              <w:rPr>
                <w:rFonts w:asciiTheme="majorHAnsi" w:eastAsia="Times New Roman" w:hAnsiTheme="majorHAnsi" w:cstheme="majorHAnsi"/>
                <w:bCs/>
                <w:iCs/>
                <w:sz w:val="18"/>
                <w:szCs w:val="20"/>
                <w:lang w:eastAsia="ar-SA"/>
              </w:rPr>
              <w:t>B</w:t>
            </w:r>
            <w:r w:rsidRPr="006070EA">
              <w:rPr>
                <w:rFonts w:asciiTheme="majorHAnsi" w:eastAsia="Times New Roman" w:hAnsiTheme="majorHAnsi" w:cstheme="majorHAnsi"/>
                <w:bCs/>
                <w:iCs/>
                <w:sz w:val="18"/>
                <w:szCs w:val="20"/>
                <w:lang w:eastAsia="ar-SA"/>
              </w:rPr>
              <w:t>C</w:t>
            </w:r>
            <w:r w:rsidR="00071C0F"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1 V Bažantnici. Vymezení ÚSES, resp. zajištění funkčnosti a provázanosti systému v rozsahu nefunkčních úseků je ve veřejném zájmu a zajišťuje rovněž nezbytnou minimální míru ekologické stability území.</w:t>
            </w:r>
          </w:p>
          <w:p w14:paraId="0A7AFA49" w14:textId="77777777"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podél soutoku bezejmenného vodního toku a Hlubokého příkopu. Plocha je vymezena v zemědělsky intenzivně využívané krajině. </w:t>
            </w:r>
          </w:p>
          <w:p w14:paraId="61588049" w14:textId="2AE069DC"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Síť zemědělských účelových komunikací a polních cest není vymezením plochy dotčena. Organizace půdních bloků není narušena, neboť plocha je vymezena podél okrajů stávajících půdních bloků.</w:t>
            </w:r>
          </w:p>
        </w:tc>
      </w:tr>
    </w:tbl>
    <w:p w14:paraId="46A40053" w14:textId="77777777" w:rsidR="00EC1337" w:rsidRPr="006070EA" w:rsidRDefault="00EC1337" w:rsidP="006738E4">
      <w:pPr>
        <w:pStyle w:val="Norml"/>
        <w:spacing w:before="60" w:after="60"/>
        <w:ind w:firstLine="0"/>
        <w:rPr>
          <w:rFonts w:asciiTheme="majorHAnsi" w:hAnsiTheme="majorHAnsi" w:cstheme="majorHAnsi"/>
          <w:color w:val="FF0000"/>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33"/>
        <w:gridCol w:w="6437"/>
      </w:tblGrid>
      <w:tr w:rsidR="00707D34" w:rsidRPr="006070EA" w14:paraId="4F097257" w14:textId="77777777" w:rsidTr="00071C0F">
        <w:trPr>
          <w:cantSplit/>
          <w:tblHeader/>
        </w:trPr>
        <w:tc>
          <w:tcPr>
            <w:tcW w:w="2633" w:type="dxa"/>
            <w:shd w:val="clear" w:color="auto" w:fill="F2F2F2" w:themeFill="background1" w:themeFillShade="F2"/>
          </w:tcPr>
          <w:p w14:paraId="1CAD38D6" w14:textId="77777777" w:rsidR="00EC1337" w:rsidRPr="006070EA" w:rsidRDefault="00EC1337" w:rsidP="00E00A83">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Plocha změn v krajině</w:t>
            </w:r>
          </w:p>
        </w:tc>
        <w:tc>
          <w:tcPr>
            <w:tcW w:w="6437" w:type="dxa"/>
            <w:shd w:val="clear" w:color="auto" w:fill="F2F2F2" w:themeFill="background1" w:themeFillShade="F2"/>
          </w:tcPr>
          <w:p w14:paraId="3C6A2490" w14:textId="77C3E748" w:rsidR="00EC1337" w:rsidRPr="006070EA" w:rsidRDefault="00EC1337" w:rsidP="00E00A83">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K</w:t>
            </w:r>
            <w:r w:rsidR="00071C0F"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04</w:t>
            </w:r>
          </w:p>
        </w:tc>
      </w:tr>
      <w:tr w:rsidR="00071C0F" w:rsidRPr="006070EA" w14:paraId="77F6D827" w14:textId="77777777" w:rsidTr="00071C0F">
        <w:trPr>
          <w:cantSplit/>
        </w:trPr>
        <w:tc>
          <w:tcPr>
            <w:tcW w:w="2633" w:type="dxa"/>
          </w:tcPr>
          <w:p w14:paraId="1C23FF20" w14:textId="77777777" w:rsidR="00071C0F" w:rsidRPr="006070EA" w:rsidRDefault="00071C0F" w:rsidP="00071C0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437" w:type="dxa"/>
          </w:tcPr>
          <w:p w14:paraId="2BFF3090" w14:textId="5CABBACE" w:rsidR="00071C0F" w:rsidRPr="006070EA" w:rsidRDefault="00071C0F" w:rsidP="00071C0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NU – </w:t>
            </w:r>
            <w:r w:rsidRPr="006070EA">
              <w:rPr>
                <w:rFonts w:asciiTheme="majorHAnsi" w:eastAsia="Times New Roman" w:hAnsiTheme="majorHAnsi" w:cstheme="majorHAnsi"/>
                <w:sz w:val="18"/>
                <w:szCs w:val="18"/>
                <w:lang w:eastAsia="cs-CZ"/>
              </w:rPr>
              <w:t>přírodní všeobecné</w:t>
            </w:r>
          </w:p>
        </w:tc>
      </w:tr>
      <w:tr w:rsidR="00707D34" w:rsidRPr="006070EA" w14:paraId="5DA90D76" w14:textId="77777777" w:rsidTr="00071C0F">
        <w:trPr>
          <w:cantSplit/>
        </w:trPr>
        <w:tc>
          <w:tcPr>
            <w:tcW w:w="2633" w:type="dxa"/>
          </w:tcPr>
          <w:p w14:paraId="0443BEAF" w14:textId="77777777" w:rsidR="00EC1337" w:rsidRPr="006070EA" w:rsidRDefault="00EC1337" w:rsidP="00E00A83">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437" w:type="dxa"/>
          </w:tcPr>
          <w:p w14:paraId="35F6F1DA" w14:textId="0A5E1D74" w:rsidR="00EC1337" w:rsidRPr="006070EA" w:rsidRDefault="006738E4" w:rsidP="00E00A83">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komunikačního vedení, investice do půdy – odvodnění, Pásmo 50 m od hranice PUPFL</w:t>
            </w:r>
          </w:p>
        </w:tc>
      </w:tr>
      <w:tr w:rsidR="00707D34" w:rsidRPr="006070EA" w14:paraId="40CD8168" w14:textId="77777777" w:rsidTr="00071C0F">
        <w:trPr>
          <w:cantSplit/>
        </w:trPr>
        <w:tc>
          <w:tcPr>
            <w:tcW w:w="2633" w:type="dxa"/>
          </w:tcPr>
          <w:p w14:paraId="39765CD5" w14:textId="4517392E" w:rsidR="006738E4" w:rsidRPr="006070EA" w:rsidRDefault="006738E4" w:rsidP="006738E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437" w:type="dxa"/>
          </w:tcPr>
          <w:p w14:paraId="0CD41F9D" w14:textId="21E5CB33"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ÚSES – II BC 7</w:t>
            </w:r>
          </w:p>
        </w:tc>
      </w:tr>
      <w:tr w:rsidR="00707D34" w:rsidRPr="006070EA" w14:paraId="0F24C213" w14:textId="77777777" w:rsidTr="00071C0F">
        <w:trPr>
          <w:cantSplit/>
        </w:trPr>
        <w:tc>
          <w:tcPr>
            <w:tcW w:w="2633" w:type="dxa"/>
          </w:tcPr>
          <w:p w14:paraId="48233AD6" w14:textId="77777777" w:rsidR="00707D34" w:rsidRPr="006070EA" w:rsidRDefault="00707D34" w:rsidP="00707D3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437" w:type="dxa"/>
          </w:tcPr>
          <w:p w14:paraId="0A94F26C" w14:textId="67FD6A42" w:rsidR="00707D34" w:rsidRPr="006070EA" w:rsidRDefault="00707D34" w:rsidP="00707D3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707D34" w:rsidRPr="006070EA" w14:paraId="204532E3" w14:textId="77777777" w:rsidTr="00071C0F">
        <w:trPr>
          <w:cantSplit/>
        </w:trPr>
        <w:tc>
          <w:tcPr>
            <w:tcW w:w="2633" w:type="dxa"/>
            <w:tcBorders>
              <w:bottom w:val="single" w:sz="4" w:space="0" w:color="auto"/>
            </w:tcBorders>
          </w:tcPr>
          <w:p w14:paraId="10360628" w14:textId="77777777" w:rsidR="006738E4" w:rsidRPr="006070EA" w:rsidRDefault="006738E4" w:rsidP="006738E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lastRenderedPageBreak/>
              <w:t>hlavní důvody vymezení plochy</w:t>
            </w:r>
          </w:p>
        </w:tc>
        <w:tc>
          <w:tcPr>
            <w:tcW w:w="6437" w:type="dxa"/>
            <w:tcBorders>
              <w:bottom w:val="single" w:sz="4" w:space="0" w:color="auto"/>
            </w:tcBorders>
          </w:tcPr>
          <w:p w14:paraId="7A6D167C" w14:textId="7623B33C"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Zajištění funkčnosti vymezené skladebné části ÚSES – lokální biocentrum L</w:t>
            </w:r>
            <w:r w:rsidR="00071C0F" w:rsidRPr="006070EA">
              <w:rPr>
                <w:rFonts w:asciiTheme="majorHAnsi" w:eastAsia="Times New Roman" w:hAnsiTheme="majorHAnsi" w:cstheme="majorHAnsi"/>
                <w:bCs/>
                <w:iCs/>
                <w:sz w:val="18"/>
                <w:szCs w:val="20"/>
                <w:lang w:eastAsia="ar-SA"/>
              </w:rPr>
              <w:t>B</w:t>
            </w:r>
            <w:r w:rsidRPr="006070EA">
              <w:rPr>
                <w:rFonts w:asciiTheme="majorHAnsi" w:eastAsia="Times New Roman" w:hAnsiTheme="majorHAnsi" w:cstheme="majorHAnsi"/>
                <w:bCs/>
                <w:iCs/>
                <w:sz w:val="18"/>
                <w:szCs w:val="20"/>
                <w:lang w:eastAsia="ar-SA"/>
              </w:rPr>
              <w:t>C</w:t>
            </w:r>
            <w:r w:rsidR="00071C0F"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2 Na spraši. Vymezení ÚSES, resp. zajištění funkčnosti a provázanosti systému v rozsahu nefunkčních úseků je ve veřejném zájmu a zajišťuje rovněž nezbytnou minimální míru ekologické stability území.</w:t>
            </w:r>
          </w:p>
          <w:p w14:paraId="46048D41" w14:textId="77777777"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podél Hronětického náhonu. Plocha je vymezena v zemědělsky intenzivně využívané krajině. </w:t>
            </w:r>
          </w:p>
          <w:p w14:paraId="4F80EE5D" w14:textId="37ABDA58" w:rsidR="006738E4" w:rsidRPr="006070EA" w:rsidRDefault="006738E4" w:rsidP="006738E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Síť zemědělských účelových komunikací a polních cest není vymezením plochy dotčena. Organizace půdních bloků není narušena.</w:t>
            </w:r>
          </w:p>
        </w:tc>
      </w:tr>
    </w:tbl>
    <w:p w14:paraId="32A79B98" w14:textId="77777777" w:rsidR="00EC1337" w:rsidRPr="006070EA" w:rsidRDefault="00EC1337" w:rsidP="00EC1337">
      <w:pPr>
        <w:pStyle w:val="Norml"/>
        <w:spacing w:before="60" w:after="60"/>
        <w:rPr>
          <w:rFonts w:asciiTheme="majorHAnsi" w:hAnsiTheme="majorHAnsi" w:cstheme="majorHAnsi"/>
        </w:rPr>
      </w:pPr>
    </w:p>
    <w:tbl>
      <w:tblPr>
        <w:tblStyle w:val="Mkatabulky2"/>
        <w:tblW w:w="0" w:type="auto"/>
        <w:tblBorders>
          <w:left w:val="none" w:sz="0" w:space="0" w:color="auto"/>
          <w:right w:val="none" w:sz="0" w:space="0" w:color="auto"/>
          <w:insideV w:val="single" w:sz="12" w:space="0" w:color="auto"/>
        </w:tblBorders>
        <w:tblLook w:val="04A0" w:firstRow="1" w:lastRow="0" w:firstColumn="1" w:lastColumn="0" w:noHBand="0" w:noVBand="1"/>
      </w:tblPr>
      <w:tblGrid>
        <w:gridCol w:w="2634"/>
        <w:gridCol w:w="6436"/>
      </w:tblGrid>
      <w:tr w:rsidR="00707D34" w:rsidRPr="006070EA" w14:paraId="75D7F09A" w14:textId="77777777" w:rsidTr="00071C0F">
        <w:trPr>
          <w:cantSplit/>
          <w:tblHeader/>
        </w:trPr>
        <w:tc>
          <w:tcPr>
            <w:tcW w:w="2634" w:type="dxa"/>
            <w:shd w:val="clear" w:color="auto" w:fill="F2F2F2" w:themeFill="background1" w:themeFillShade="F2"/>
          </w:tcPr>
          <w:p w14:paraId="6308EE08" w14:textId="77777777" w:rsidR="00EC1337" w:rsidRPr="006070EA" w:rsidRDefault="00EC1337" w:rsidP="00E00A83">
            <w:pPr>
              <w:keepNext/>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Plocha změn v krajině</w:t>
            </w:r>
          </w:p>
        </w:tc>
        <w:tc>
          <w:tcPr>
            <w:tcW w:w="6436" w:type="dxa"/>
            <w:shd w:val="clear" w:color="auto" w:fill="F2F2F2" w:themeFill="background1" w:themeFillShade="F2"/>
          </w:tcPr>
          <w:p w14:paraId="68A0A49C" w14:textId="529FFF27" w:rsidR="00EC1337" w:rsidRPr="006070EA" w:rsidRDefault="00EC1337" w:rsidP="00E00A83">
            <w:pPr>
              <w:keepNext/>
              <w:tabs>
                <w:tab w:val="center" w:pos="4536"/>
                <w:tab w:val="right" w:pos="9072"/>
              </w:tabs>
              <w:suppressAutoHyphens/>
              <w:spacing w:before="40" w:after="40"/>
              <w:jc w:val="both"/>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K</w:t>
            </w:r>
            <w:r w:rsidR="00071C0F" w:rsidRPr="006070EA">
              <w:rPr>
                <w:rFonts w:asciiTheme="majorHAnsi" w:eastAsia="Times New Roman" w:hAnsiTheme="majorHAnsi" w:cstheme="majorHAnsi"/>
                <w:b/>
                <w:bCs/>
                <w:iCs/>
                <w:sz w:val="18"/>
                <w:szCs w:val="20"/>
                <w:lang w:eastAsia="ar-SA"/>
              </w:rPr>
              <w:t>.</w:t>
            </w:r>
            <w:r w:rsidRPr="006070EA">
              <w:rPr>
                <w:rFonts w:asciiTheme="majorHAnsi" w:eastAsia="Times New Roman" w:hAnsiTheme="majorHAnsi" w:cstheme="majorHAnsi"/>
                <w:b/>
                <w:bCs/>
                <w:iCs/>
                <w:sz w:val="18"/>
                <w:szCs w:val="20"/>
                <w:lang w:eastAsia="ar-SA"/>
              </w:rPr>
              <w:t>05</w:t>
            </w:r>
          </w:p>
        </w:tc>
      </w:tr>
      <w:tr w:rsidR="00071C0F" w:rsidRPr="006070EA" w14:paraId="71DFB9E1" w14:textId="77777777" w:rsidTr="00071C0F">
        <w:trPr>
          <w:cantSplit/>
        </w:trPr>
        <w:tc>
          <w:tcPr>
            <w:tcW w:w="2634" w:type="dxa"/>
          </w:tcPr>
          <w:p w14:paraId="53CF5A2F" w14:textId="77777777" w:rsidR="00071C0F" w:rsidRPr="006070EA" w:rsidRDefault="00071C0F" w:rsidP="00071C0F">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způsob využití</w:t>
            </w:r>
          </w:p>
        </w:tc>
        <w:tc>
          <w:tcPr>
            <w:tcW w:w="6436" w:type="dxa"/>
          </w:tcPr>
          <w:p w14:paraId="54C3AD64" w14:textId="6887CF8C" w:rsidR="00071C0F" w:rsidRPr="006070EA" w:rsidRDefault="00071C0F" w:rsidP="00071C0F">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NU – </w:t>
            </w:r>
            <w:r w:rsidRPr="006070EA">
              <w:rPr>
                <w:rFonts w:asciiTheme="majorHAnsi" w:eastAsia="Times New Roman" w:hAnsiTheme="majorHAnsi" w:cstheme="majorHAnsi"/>
                <w:sz w:val="18"/>
                <w:szCs w:val="18"/>
                <w:lang w:eastAsia="cs-CZ"/>
              </w:rPr>
              <w:t>přírodní všeobecné</w:t>
            </w:r>
          </w:p>
        </w:tc>
      </w:tr>
      <w:tr w:rsidR="00707D34" w:rsidRPr="006070EA" w14:paraId="7F8E50E2" w14:textId="77777777" w:rsidTr="00071C0F">
        <w:trPr>
          <w:cantSplit/>
        </w:trPr>
        <w:tc>
          <w:tcPr>
            <w:tcW w:w="2634" w:type="dxa"/>
          </w:tcPr>
          <w:p w14:paraId="39A2AF4D" w14:textId="77777777" w:rsidR="00707D34" w:rsidRPr="006070EA" w:rsidRDefault="00707D34" w:rsidP="00707D3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limity využití území</w:t>
            </w:r>
          </w:p>
        </w:tc>
        <w:tc>
          <w:tcPr>
            <w:tcW w:w="6436" w:type="dxa"/>
          </w:tcPr>
          <w:p w14:paraId="312BFCCF" w14:textId="053F5570" w:rsidR="00707D34" w:rsidRPr="006070EA" w:rsidRDefault="00707D34" w:rsidP="00707D3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OP komunikačního vedení, investice do půdy – odvodnění, Pásmo 50 m od hranice PUPFL</w:t>
            </w:r>
          </w:p>
        </w:tc>
      </w:tr>
      <w:tr w:rsidR="00707D34" w:rsidRPr="006070EA" w14:paraId="49CCABE6" w14:textId="77777777" w:rsidTr="00071C0F">
        <w:trPr>
          <w:cantSplit/>
        </w:trPr>
        <w:tc>
          <w:tcPr>
            <w:tcW w:w="2634" w:type="dxa"/>
          </w:tcPr>
          <w:p w14:paraId="11C1FD71" w14:textId="2542FAE4" w:rsidR="00707D34" w:rsidRPr="006070EA" w:rsidRDefault="00707D34" w:rsidP="00707D3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vztah k platné ÚPD (ZÚR, ÚPO)</w:t>
            </w:r>
          </w:p>
        </w:tc>
        <w:tc>
          <w:tcPr>
            <w:tcW w:w="6436" w:type="dxa"/>
          </w:tcPr>
          <w:p w14:paraId="5A249DF5" w14:textId="200DCD0B" w:rsidR="00707D34" w:rsidRPr="006070EA" w:rsidRDefault="00707D34" w:rsidP="00707D3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ÚSES – II BC 7</w:t>
            </w:r>
          </w:p>
        </w:tc>
      </w:tr>
      <w:tr w:rsidR="00707D34" w:rsidRPr="006070EA" w14:paraId="098E7391" w14:textId="77777777" w:rsidTr="00071C0F">
        <w:trPr>
          <w:cantSplit/>
        </w:trPr>
        <w:tc>
          <w:tcPr>
            <w:tcW w:w="2634" w:type="dxa"/>
          </w:tcPr>
          <w:p w14:paraId="56AE8FF8" w14:textId="77777777" w:rsidR="00707D34" w:rsidRPr="006070EA" w:rsidRDefault="00707D34" w:rsidP="00707D3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dotčení půdního fondu (ZPF, LPF)</w:t>
            </w:r>
          </w:p>
        </w:tc>
        <w:tc>
          <w:tcPr>
            <w:tcW w:w="6436" w:type="dxa"/>
          </w:tcPr>
          <w:p w14:paraId="01D5FE6E" w14:textId="63E1A244" w:rsidR="00707D34" w:rsidRPr="006070EA" w:rsidRDefault="00707D34" w:rsidP="00707D3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ZPF I. třídy ochrany</w:t>
            </w:r>
          </w:p>
        </w:tc>
      </w:tr>
      <w:tr w:rsidR="00707D34" w:rsidRPr="006070EA" w14:paraId="2FD45228" w14:textId="77777777" w:rsidTr="00071C0F">
        <w:trPr>
          <w:cantSplit/>
        </w:trPr>
        <w:tc>
          <w:tcPr>
            <w:tcW w:w="2634" w:type="dxa"/>
          </w:tcPr>
          <w:p w14:paraId="38F43E98" w14:textId="77777777" w:rsidR="00707D34" w:rsidRPr="006070EA" w:rsidRDefault="00707D34" w:rsidP="00707D34">
            <w:pPr>
              <w:tabs>
                <w:tab w:val="center" w:pos="4536"/>
                <w:tab w:val="right" w:pos="9072"/>
              </w:tabs>
              <w:suppressAutoHyphens/>
              <w:spacing w:before="40" w:after="40"/>
              <w:rPr>
                <w:rFonts w:asciiTheme="majorHAnsi" w:eastAsia="Times New Roman" w:hAnsiTheme="majorHAnsi" w:cstheme="majorHAnsi"/>
                <w:b/>
                <w:bCs/>
                <w:iCs/>
                <w:sz w:val="18"/>
                <w:szCs w:val="20"/>
                <w:lang w:eastAsia="ar-SA"/>
              </w:rPr>
            </w:pPr>
            <w:r w:rsidRPr="006070EA">
              <w:rPr>
                <w:rFonts w:asciiTheme="majorHAnsi" w:eastAsia="Times New Roman" w:hAnsiTheme="majorHAnsi" w:cstheme="majorHAnsi"/>
                <w:b/>
                <w:bCs/>
                <w:iCs/>
                <w:sz w:val="18"/>
                <w:szCs w:val="20"/>
                <w:lang w:eastAsia="ar-SA"/>
              </w:rPr>
              <w:t>hlavní důvody vymezení plochy</w:t>
            </w:r>
          </w:p>
        </w:tc>
        <w:tc>
          <w:tcPr>
            <w:tcW w:w="6436" w:type="dxa"/>
          </w:tcPr>
          <w:p w14:paraId="40A9AD09" w14:textId="6378EE57" w:rsidR="00707D34" w:rsidRPr="006070EA" w:rsidRDefault="00707D34" w:rsidP="00707D3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Zajištění funkčnosti vymezené skladebné části ÚSES – lokální biocentrum L</w:t>
            </w:r>
            <w:r w:rsidR="00071C0F" w:rsidRPr="006070EA">
              <w:rPr>
                <w:rFonts w:asciiTheme="majorHAnsi" w:eastAsia="Times New Roman" w:hAnsiTheme="majorHAnsi" w:cstheme="majorHAnsi"/>
                <w:bCs/>
                <w:iCs/>
                <w:sz w:val="18"/>
                <w:szCs w:val="20"/>
                <w:lang w:eastAsia="ar-SA"/>
              </w:rPr>
              <w:t>B</w:t>
            </w:r>
            <w:r w:rsidRPr="006070EA">
              <w:rPr>
                <w:rFonts w:asciiTheme="majorHAnsi" w:eastAsia="Times New Roman" w:hAnsiTheme="majorHAnsi" w:cstheme="majorHAnsi"/>
                <w:bCs/>
                <w:iCs/>
                <w:sz w:val="18"/>
                <w:szCs w:val="20"/>
                <w:lang w:eastAsia="ar-SA"/>
              </w:rPr>
              <w:t>C</w:t>
            </w:r>
            <w:r w:rsidR="00071C0F" w:rsidRPr="006070EA">
              <w:rPr>
                <w:rFonts w:asciiTheme="majorHAnsi" w:eastAsia="Times New Roman" w:hAnsiTheme="majorHAnsi" w:cstheme="majorHAnsi"/>
                <w:bCs/>
                <w:iCs/>
                <w:sz w:val="18"/>
                <w:szCs w:val="20"/>
                <w:lang w:eastAsia="ar-SA"/>
              </w:rPr>
              <w:t>.</w:t>
            </w:r>
            <w:r w:rsidRPr="006070EA">
              <w:rPr>
                <w:rFonts w:asciiTheme="majorHAnsi" w:eastAsia="Times New Roman" w:hAnsiTheme="majorHAnsi" w:cstheme="majorHAnsi"/>
                <w:bCs/>
                <w:iCs/>
                <w:sz w:val="18"/>
                <w:szCs w:val="20"/>
                <w:lang w:eastAsia="ar-SA"/>
              </w:rPr>
              <w:t>2 Na spraši. Vymezení ÚSES, resp. zajištění funkčnosti a provázanosti systému v rozsahu nefunkčních úseků je ve veřejném zájmu a zajišťuje rovněž nezbytnou minimální míru ekologické stability území.</w:t>
            </w:r>
          </w:p>
          <w:p w14:paraId="485FF8DA" w14:textId="77777777" w:rsidR="00707D34" w:rsidRPr="006070EA" w:rsidRDefault="00707D34" w:rsidP="00707D3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 xml:space="preserve">Plocha je vymezena podél Hronětického náhonu. Plocha je vymezena v zemědělsky intenzivně využívané krajině. </w:t>
            </w:r>
          </w:p>
          <w:p w14:paraId="0E034E02" w14:textId="24DAA115" w:rsidR="00707D34" w:rsidRPr="006070EA" w:rsidRDefault="00707D34" w:rsidP="00707D34">
            <w:pPr>
              <w:tabs>
                <w:tab w:val="center" w:pos="4536"/>
                <w:tab w:val="right" w:pos="9072"/>
              </w:tabs>
              <w:suppressAutoHyphens/>
              <w:spacing w:before="40" w:after="40"/>
              <w:jc w:val="both"/>
              <w:rPr>
                <w:rFonts w:asciiTheme="majorHAnsi" w:eastAsia="Times New Roman" w:hAnsiTheme="majorHAnsi" w:cstheme="majorHAnsi"/>
                <w:bCs/>
                <w:iCs/>
                <w:sz w:val="18"/>
                <w:szCs w:val="20"/>
                <w:lang w:eastAsia="ar-SA"/>
              </w:rPr>
            </w:pPr>
            <w:r w:rsidRPr="006070EA">
              <w:rPr>
                <w:rFonts w:asciiTheme="majorHAnsi" w:eastAsia="Times New Roman" w:hAnsiTheme="majorHAnsi" w:cstheme="majorHAnsi"/>
                <w:bCs/>
                <w:iCs/>
                <w:sz w:val="18"/>
                <w:szCs w:val="20"/>
                <w:lang w:eastAsia="ar-SA"/>
              </w:rPr>
              <w:t>Síť zemědělských účelových komunikací a polních cest není vymezením plochy dotčena. Organizace půdních bloků není narušena.</w:t>
            </w:r>
          </w:p>
        </w:tc>
      </w:tr>
    </w:tbl>
    <w:p w14:paraId="3723511E" w14:textId="77777777" w:rsidR="002E7AA2" w:rsidRPr="006070EA" w:rsidRDefault="00365744"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94" w:name="_Toc204678207"/>
      <w:r w:rsidRPr="006070EA">
        <w:rPr>
          <w:rFonts w:asciiTheme="majorHAnsi" w:hAnsiTheme="majorHAnsi" w:cstheme="majorHAnsi"/>
          <w:b/>
        </w:rPr>
        <w:t>Odůvodnění vymezení ú</w:t>
      </w:r>
      <w:r w:rsidR="002E7AA2" w:rsidRPr="006070EA">
        <w:rPr>
          <w:rFonts w:asciiTheme="majorHAnsi" w:hAnsiTheme="majorHAnsi" w:cstheme="majorHAnsi"/>
          <w:b/>
        </w:rPr>
        <w:t>zemní</w:t>
      </w:r>
      <w:r w:rsidRPr="006070EA">
        <w:rPr>
          <w:rFonts w:asciiTheme="majorHAnsi" w:hAnsiTheme="majorHAnsi" w:cstheme="majorHAnsi"/>
          <w:b/>
        </w:rPr>
        <w:t>ho</w:t>
      </w:r>
      <w:r w:rsidR="002E7AA2" w:rsidRPr="006070EA">
        <w:rPr>
          <w:rFonts w:asciiTheme="majorHAnsi" w:hAnsiTheme="majorHAnsi" w:cstheme="majorHAnsi"/>
          <w:b/>
        </w:rPr>
        <w:t xml:space="preserve"> systém</w:t>
      </w:r>
      <w:r w:rsidRPr="006070EA">
        <w:rPr>
          <w:rFonts w:asciiTheme="majorHAnsi" w:hAnsiTheme="majorHAnsi" w:cstheme="majorHAnsi"/>
          <w:b/>
        </w:rPr>
        <w:t>u</w:t>
      </w:r>
      <w:r w:rsidR="002E7AA2" w:rsidRPr="006070EA">
        <w:rPr>
          <w:rFonts w:asciiTheme="majorHAnsi" w:hAnsiTheme="majorHAnsi" w:cstheme="majorHAnsi"/>
          <w:b/>
        </w:rPr>
        <w:t xml:space="preserve"> ekologické stability</w:t>
      </w:r>
      <w:bookmarkEnd w:id="394"/>
    </w:p>
    <w:p w14:paraId="60EBAFA2" w14:textId="6F8C3907" w:rsidR="005A5525" w:rsidRPr="006070EA" w:rsidRDefault="005A5525"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21590A">
        <w:rPr>
          <w:rFonts w:asciiTheme="majorHAnsi" w:hAnsiTheme="majorHAnsi" w:cstheme="majorHAnsi"/>
          <w:b/>
          <w:i/>
          <w:snapToGrid w:val="0"/>
          <w:u w:val="single"/>
        </w:rPr>
        <w:t>49</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4CBDBB7C" w14:textId="77777777" w:rsidR="005A5525" w:rsidRPr="006070EA" w:rsidRDefault="005A5525" w:rsidP="009E07E1">
      <w:pPr>
        <w:spacing w:before="60" w:after="60" w:line="240" w:lineRule="auto"/>
        <w:ind w:firstLine="709"/>
        <w:jc w:val="both"/>
        <w:rPr>
          <w:rFonts w:asciiTheme="majorHAnsi" w:eastAsia="Calibri" w:hAnsiTheme="majorHAnsi" w:cstheme="majorHAnsi"/>
          <w:sz w:val="18"/>
          <w:szCs w:val="18"/>
        </w:rPr>
      </w:pPr>
      <w:r w:rsidRPr="006070EA">
        <w:rPr>
          <w:rFonts w:asciiTheme="majorHAnsi" w:eastAsia="Calibri" w:hAnsiTheme="majorHAnsi" w:cstheme="majorHAnsi"/>
          <w:sz w:val="18"/>
          <w:szCs w:val="18"/>
        </w:rPr>
        <w:t xml:space="preserve">Podle § 4 zákona o ochraně přírody a krajiny zajišťuje vymezení systému ekologické stability uchování a reprodukci přírodního bohatství, příznivého působení na okolní méně stabilní části krajiny a na vytvoření základů pro mnohostranné využívání krajiny. Ochrana ÚSES je povinností všech vlastníků a uživatelů pozemků tvořících jeho základ. Jeho vytváření je veřejným zájmem, na kterém se podílejí vlastníci pozemků, obce i stát. </w:t>
      </w:r>
    </w:p>
    <w:p w14:paraId="67D383FD" w14:textId="58C4E7DB" w:rsidR="0007201D" w:rsidRPr="006070EA" w:rsidRDefault="0007201D" w:rsidP="0007201D">
      <w:pPr>
        <w:spacing w:before="120" w:after="120" w:line="240" w:lineRule="auto"/>
        <w:ind w:firstLine="708"/>
        <w:jc w:val="both"/>
        <w:rPr>
          <w:rFonts w:asciiTheme="majorHAnsi" w:eastAsia="Calibri" w:hAnsiTheme="majorHAnsi" w:cstheme="majorHAnsi"/>
          <w:sz w:val="18"/>
          <w:szCs w:val="18"/>
        </w:rPr>
      </w:pPr>
      <w:r w:rsidRPr="006070EA">
        <w:rPr>
          <w:rFonts w:asciiTheme="majorHAnsi" w:eastAsia="Calibri" w:hAnsiTheme="majorHAnsi" w:cstheme="majorHAnsi"/>
          <w:sz w:val="18"/>
          <w:szCs w:val="18"/>
        </w:rPr>
        <w:t xml:space="preserve">V ÚP Kostomlaty nad Labem je ÚSES vymezen na základě těchto podkladů: </w:t>
      </w:r>
    </w:p>
    <w:p w14:paraId="387B68B0" w14:textId="77777777" w:rsidR="0007201D" w:rsidRPr="006070EA" w:rsidRDefault="0007201D" w:rsidP="0007201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rPr>
        <w:t>požadavky platných právních předpisů, zejména zákona č. 183/2006 Sb. a č. 114/1992 Sb. (v platném znění)</w:t>
      </w:r>
    </w:p>
    <w:p w14:paraId="716BF15D" w14:textId="11BC38CF" w:rsidR="0007201D" w:rsidRPr="006070EA" w:rsidRDefault="0007201D" w:rsidP="0007201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rPr>
        <w:t xml:space="preserve">požadavky na rozvoj města obsažené v PÚR ČR a v ZÚR SK (v platném znění) a ve schváleném Zadání ÚP </w:t>
      </w:r>
      <w:r w:rsidR="00937BDA" w:rsidRPr="006070EA">
        <w:rPr>
          <w:rFonts w:asciiTheme="majorHAnsi" w:hAnsiTheme="majorHAnsi" w:cstheme="majorHAnsi"/>
          <w:sz w:val="18"/>
        </w:rPr>
        <w:t>Kostomlaty nad Labem</w:t>
      </w:r>
    </w:p>
    <w:p w14:paraId="012E4725" w14:textId="77777777" w:rsidR="0007201D" w:rsidRPr="006070EA" w:rsidRDefault="0007201D" w:rsidP="0007201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szCs w:val="18"/>
        </w:rPr>
        <w:t>územně plánovací dokumentace sousedních obcí pro účely koordinace návrhu ÚSES (viz kapitola 2.4.)</w:t>
      </w:r>
    </w:p>
    <w:p w14:paraId="676BFFF3" w14:textId="77777777" w:rsidR="0007201D" w:rsidRPr="006070EA" w:rsidRDefault="0007201D" w:rsidP="0007201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szCs w:val="18"/>
        </w:rPr>
        <w:t>Metodické postupy projektování lokálního ÚSES, Petr Maděra, Eliška Zimová (eds.); Ústav lesnické botaniky, dendrologie a typologie LDF MZLU v Brně a Löw a spol., Brno</w:t>
      </w:r>
    </w:p>
    <w:p w14:paraId="3546FF3F" w14:textId="77777777" w:rsidR="0007201D" w:rsidRPr="006070EA" w:rsidRDefault="0007201D" w:rsidP="0007201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szCs w:val="18"/>
        </w:rPr>
        <w:t>Rukověť projektanta ÚSES a sdělení Ministerstva pro místní rozvoj ČR č.j. 3044/2013 / 2013-81 (2013)</w:t>
      </w:r>
    </w:p>
    <w:p w14:paraId="7FBADD63" w14:textId="1F3A31CF" w:rsidR="0007201D" w:rsidRPr="006070EA" w:rsidRDefault="0007201D" w:rsidP="0007201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szCs w:val="18"/>
        </w:rPr>
        <w:t>Metodika vymezování územního sytému ekologické stability (L. Bínová, M. Culek, J. Glos, J. Kocián, D. Lacina, M.</w:t>
      </w:r>
      <w:r w:rsidR="005922F8">
        <w:rPr>
          <w:rFonts w:asciiTheme="majorHAnsi" w:hAnsiTheme="majorHAnsi" w:cstheme="majorHAnsi"/>
          <w:sz w:val="18"/>
          <w:szCs w:val="18"/>
        </w:rPr>
        <w:t> </w:t>
      </w:r>
      <w:r w:rsidRPr="006070EA">
        <w:rPr>
          <w:rFonts w:asciiTheme="majorHAnsi" w:hAnsiTheme="majorHAnsi" w:cstheme="majorHAnsi"/>
          <w:sz w:val="18"/>
          <w:szCs w:val="18"/>
        </w:rPr>
        <w:t>Novotný, E. Zimová, 2017)</w:t>
      </w:r>
    </w:p>
    <w:p w14:paraId="3ECC2670" w14:textId="7CDC0D99" w:rsidR="0007201D" w:rsidRPr="006070EA" w:rsidRDefault="0007201D" w:rsidP="0007201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rPr>
        <w:t>terénní průzkum zpracovatele ÚP</w:t>
      </w:r>
    </w:p>
    <w:p w14:paraId="2102B3D3" w14:textId="0833FAEB" w:rsidR="00937BDA" w:rsidRPr="006070EA" w:rsidRDefault="00937BDA" w:rsidP="0007201D">
      <w:pPr>
        <w:pStyle w:val="Odstavecseseznamem"/>
        <w:numPr>
          <w:ilvl w:val="0"/>
          <w:numId w:val="4"/>
        </w:numPr>
        <w:spacing w:before="40" w:after="40" w:line="240" w:lineRule="auto"/>
        <w:contextualSpacing w:val="0"/>
        <w:jc w:val="both"/>
        <w:rPr>
          <w:rFonts w:asciiTheme="majorHAnsi" w:hAnsiTheme="majorHAnsi" w:cstheme="majorHAnsi"/>
          <w:sz w:val="18"/>
        </w:rPr>
      </w:pPr>
      <w:r w:rsidRPr="006070EA">
        <w:rPr>
          <w:rFonts w:asciiTheme="majorHAnsi" w:hAnsiTheme="majorHAnsi" w:cstheme="majorHAnsi"/>
          <w:sz w:val="18"/>
        </w:rPr>
        <w:t>ÚPO Kostomlaty nad Labem (2003)</w:t>
      </w:r>
    </w:p>
    <w:p w14:paraId="406F64CF" w14:textId="55998E1E" w:rsidR="005A5525" w:rsidRPr="006070EA" w:rsidRDefault="005A5525" w:rsidP="00937BDA">
      <w:pPr>
        <w:pStyle w:val="Atext"/>
        <w:rPr>
          <w:rFonts w:asciiTheme="majorHAnsi" w:hAnsiTheme="majorHAnsi" w:cstheme="majorHAnsi"/>
        </w:rPr>
      </w:pPr>
      <w:r w:rsidRPr="006070EA">
        <w:rPr>
          <w:rFonts w:asciiTheme="majorHAnsi" w:hAnsiTheme="majorHAnsi" w:cstheme="majorHAnsi"/>
          <w:lang w:eastAsia="cs-CZ"/>
        </w:rPr>
        <w:t>Jednotlivé skladebné části byly v souladu s principy projektování ÚSES a s ohledem na stav v území upřesněny a</w:t>
      </w:r>
      <w:r w:rsidR="00A705AB" w:rsidRPr="006070EA">
        <w:rPr>
          <w:rFonts w:asciiTheme="majorHAnsi" w:hAnsiTheme="majorHAnsi" w:cstheme="majorHAnsi"/>
          <w:lang w:eastAsia="cs-CZ"/>
        </w:rPr>
        <w:t> </w:t>
      </w:r>
      <w:r w:rsidRPr="006070EA">
        <w:rPr>
          <w:rFonts w:asciiTheme="majorHAnsi" w:hAnsiTheme="majorHAnsi" w:cstheme="majorHAnsi"/>
          <w:lang w:eastAsia="cs-CZ"/>
        </w:rPr>
        <w:t xml:space="preserve">doplněny v měřítku územního plánu tak, aby co nejvíce využívaly stávajících fragmentů ekologicky stabilnějších ploch v krajině. </w:t>
      </w:r>
      <w:r w:rsidRPr="006070EA">
        <w:rPr>
          <w:rFonts w:asciiTheme="majorHAnsi" w:hAnsiTheme="majorHAnsi" w:cstheme="majorHAnsi"/>
        </w:rPr>
        <w:t xml:space="preserve">Většina skladebných částí ÚSES ve stávajícím vymezení má vyhovující prostorové parametry a zajištění jejich funkčnosti spočívá ve vhodném způsobu hospodaření (na zemědělské půdě obnova druhové skladby luk v údolních nivách, obnova a doplnění břehových porostů vodotečí a rozptýlené zeleně). </w:t>
      </w:r>
    </w:p>
    <w:p w14:paraId="0C7B40C1" w14:textId="43E80226" w:rsidR="00850DAC" w:rsidRPr="006070EA" w:rsidRDefault="00850DAC" w:rsidP="00937BDA">
      <w:pPr>
        <w:spacing w:before="120" w:after="120" w:line="240" w:lineRule="auto"/>
        <w:ind w:firstLine="709"/>
        <w:jc w:val="both"/>
        <w:rPr>
          <w:rFonts w:asciiTheme="majorHAnsi" w:hAnsiTheme="majorHAnsi" w:cstheme="majorHAnsi"/>
          <w:sz w:val="18"/>
        </w:rPr>
      </w:pPr>
      <w:r w:rsidRPr="006070EA">
        <w:rPr>
          <w:rFonts w:asciiTheme="majorHAnsi" w:hAnsiTheme="majorHAnsi" w:cstheme="majorHAnsi"/>
          <w:sz w:val="18"/>
        </w:rPr>
        <w:t>Pro zachování vysoké a trvalé ekologické stability je nutné vymezení ekostabilizačních prvků a jejich vzájemné propojení. Kostra ekologické stability je navržena na základě srovnání potenciálního a aktuálního přírodního stavu ekosystémů v krajině. Při návrhu ÚSES jsou důležité směry migračních tras (vodní toky, údolí, hřbety apod.), reprezentativnost stanoviště, zastoupení ekologicky významných prvků, předpokládané antropogenní zásahy do krajiny, návaznost na sousední katastry a</w:t>
      </w:r>
      <w:r w:rsidR="00071C0F" w:rsidRPr="006070EA">
        <w:rPr>
          <w:rFonts w:asciiTheme="majorHAnsi" w:hAnsiTheme="majorHAnsi" w:cstheme="majorHAnsi"/>
          <w:sz w:val="18"/>
        </w:rPr>
        <w:t> </w:t>
      </w:r>
      <w:r w:rsidRPr="006070EA">
        <w:rPr>
          <w:rFonts w:asciiTheme="majorHAnsi" w:hAnsiTheme="majorHAnsi" w:cstheme="majorHAnsi"/>
          <w:sz w:val="18"/>
        </w:rPr>
        <w:t xml:space="preserve">vzájemné provázání návrhů ÚSES. Pro skladebné prvky ÚSES jsou vymezovány zbytky přírodních a přirozených společenstev </w:t>
      </w:r>
      <w:r w:rsidRPr="006070EA">
        <w:rPr>
          <w:rFonts w:asciiTheme="majorHAnsi" w:hAnsiTheme="majorHAnsi" w:cstheme="majorHAnsi"/>
          <w:sz w:val="18"/>
        </w:rPr>
        <w:lastRenderedPageBreak/>
        <w:t>s nejvyšší ekologickou stabilitou. Tyto segmenty mají příznivý vliv na okolní méně stabilní části krajiny a jsou nezbytné pro ochranu druhové a genové diverzity.</w:t>
      </w:r>
    </w:p>
    <w:p w14:paraId="6F6FEC19" w14:textId="3F597211" w:rsidR="00850DAC" w:rsidRPr="006070EA" w:rsidRDefault="00850DAC" w:rsidP="00937BDA">
      <w:pPr>
        <w:spacing w:before="120" w:after="120" w:line="240" w:lineRule="auto"/>
        <w:ind w:firstLine="709"/>
        <w:jc w:val="both"/>
        <w:rPr>
          <w:rFonts w:asciiTheme="majorHAnsi" w:hAnsiTheme="majorHAnsi" w:cstheme="majorHAnsi"/>
          <w:sz w:val="18"/>
        </w:rPr>
      </w:pPr>
      <w:r w:rsidRPr="006070EA">
        <w:rPr>
          <w:rFonts w:asciiTheme="majorHAnsi" w:hAnsiTheme="majorHAnsi" w:cstheme="majorHAnsi"/>
          <w:sz w:val="18"/>
        </w:rPr>
        <w:t>Funkční, částečně funkční i nově založená biocentra jsou v územním plánu vymezena jako plochy přírodní</w:t>
      </w:r>
      <w:r w:rsidR="00071C0F" w:rsidRPr="006070EA">
        <w:rPr>
          <w:rFonts w:asciiTheme="majorHAnsi" w:hAnsiTheme="majorHAnsi" w:cstheme="majorHAnsi"/>
          <w:sz w:val="18"/>
        </w:rPr>
        <w:t xml:space="preserve"> všeobecné</w:t>
      </w:r>
      <w:r w:rsidRPr="006070EA">
        <w:rPr>
          <w:rFonts w:asciiTheme="majorHAnsi" w:hAnsiTheme="majorHAnsi" w:cstheme="majorHAnsi"/>
          <w:sz w:val="18"/>
        </w:rPr>
        <w:t xml:space="preserve"> (N</w:t>
      </w:r>
      <w:r w:rsidR="00071C0F" w:rsidRPr="006070EA">
        <w:rPr>
          <w:rFonts w:asciiTheme="majorHAnsi" w:hAnsiTheme="majorHAnsi" w:cstheme="majorHAnsi"/>
          <w:sz w:val="18"/>
        </w:rPr>
        <w:t>U</w:t>
      </w:r>
      <w:r w:rsidRPr="006070EA">
        <w:rPr>
          <w:rFonts w:asciiTheme="majorHAnsi" w:hAnsiTheme="majorHAnsi" w:cstheme="majorHAnsi"/>
          <w:sz w:val="18"/>
        </w:rPr>
        <w:t xml:space="preserve">) s jednoznačnou převahou funkcí zajišťujících a podporujících uchování a reprodukci přírodního bohatství a příznivé působení na okolní méně stabilní části krajiny. Biokoridory jsou vymezeny tzv. překryvnou funkcí, neboť kromě výše uvedených funkcí plní i množství funkcí ostatních, převážně jsou vymezeny na plochách s rozdílným způsobem využití </w:t>
      </w:r>
      <w:r w:rsidRPr="006070EA">
        <w:rPr>
          <w:rFonts w:asciiTheme="majorHAnsi" w:hAnsiTheme="majorHAnsi" w:cstheme="majorHAnsi"/>
          <w:i/>
          <w:sz w:val="18"/>
        </w:rPr>
        <w:t xml:space="preserve">smíšených nezastavěného území </w:t>
      </w:r>
      <w:r w:rsidR="00071C0F" w:rsidRPr="006070EA">
        <w:rPr>
          <w:rFonts w:asciiTheme="majorHAnsi" w:hAnsiTheme="majorHAnsi" w:cstheme="majorHAnsi"/>
          <w:i/>
          <w:sz w:val="18"/>
        </w:rPr>
        <w:t>–</w:t>
      </w:r>
      <w:r w:rsidRPr="006070EA">
        <w:rPr>
          <w:rFonts w:asciiTheme="majorHAnsi" w:hAnsiTheme="majorHAnsi" w:cstheme="majorHAnsi"/>
          <w:i/>
          <w:sz w:val="18"/>
        </w:rPr>
        <w:t xml:space="preserve"> </w:t>
      </w:r>
      <w:r w:rsidR="00071C0F" w:rsidRPr="006070EA">
        <w:rPr>
          <w:rFonts w:asciiTheme="majorHAnsi" w:hAnsiTheme="majorHAnsi" w:cstheme="majorHAnsi"/>
          <w:i/>
          <w:sz w:val="18"/>
        </w:rPr>
        <w:t>zemědělství extenzivní</w:t>
      </w:r>
      <w:r w:rsidR="00A705AB" w:rsidRPr="006070EA">
        <w:rPr>
          <w:rFonts w:asciiTheme="majorHAnsi" w:hAnsiTheme="majorHAnsi" w:cstheme="majorHAnsi"/>
          <w:i/>
          <w:sz w:val="18"/>
        </w:rPr>
        <w:t>, přírodní</w:t>
      </w:r>
      <w:r w:rsidR="00071C0F" w:rsidRPr="006070EA">
        <w:rPr>
          <w:rFonts w:asciiTheme="majorHAnsi" w:hAnsiTheme="majorHAnsi" w:cstheme="majorHAnsi"/>
          <w:i/>
          <w:sz w:val="18"/>
        </w:rPr>
        <w:t xml:space="preserve"> priority</w:t>
      </w:r>
      <w:r w:rsidR="00A705AB" w:rsidRPr="006070EA">
        <w:rPr>
          <w:rFonts w:asciiTheme="majorHAnsi" w:hAnsiTheme="majorHAnsi" w:cstheme="majorHAnsi"/>
          <w:sz w:val="18"/>
        </w:rPr>
        <w:t xml:space="preserve"> (</w:t>
      </w:r>
      <w:proofErr w:type="gramStart"/>
      <w:r w:rsidR="00071C0F" w:rsidRPr="006070EA">
        <w:rPr>
          <w:rFonts w:asciiTheme="majorHAnsi" w:hAnsiTheme="majorHAnsi" w:cstheme="majorHAnsi"/>
          <w:sz w:val="18"/>
        </w:rPr>
        <w:t>MU.zp</w:t>
      </w:r>
      <w:proofErr w:type="gramEnd"/>
      <w:r w:rsidR="00A705AB" w:rsidRPr="006070EA">
        <w:rPr>
          <w:rFonts w:asciiTheme="majorHAnsi" w:hAnsiTheme="majorHAnsi" w:cstheme="majorHAnsi"/>
          <w:sz w:val="18"/>
        </w:rPr>
        <w:t xml:space="preserve">) a </w:t>
      </w:r>
      <w:r w:rsidR="00A705AB" w:rsidRPr="006070EA">
        <w:rPr>
          <w:rFonts w:asciiTheme="majorHAnsi" w:hAnsiTheme="majorHAnsi" w:cstheme="majorHAnsi"/>
          <w:i/>
          <w:sz w:val="18"/>
        </w:rPr>
        <w:t>lesních</w:t>
      </w:r>
      <w:r w:rsidR="00A705AB" w:rsidRPr="006070EA">
        <w:rPr>
          <w:rFonts w:asciiTheme="majorHAnsi" w:hAnsiTheme="majorHAnsi" w:cstheme="majorHAnsi"/>
          <w:sz w:val="18"/>
        </w:rPr>
        <w:t xml:space="preserve"> </w:t>
      </w:r>
      <w:r w:rsidR="00071C0F" w:rsidRPr="006070EA">
        <w:rPr>
          <w:rFonts w:asciiTheme="majorHAnsi" w:hAnsiTheme="majorHAnsi" w:cstheme="majorHAnsi"/>
          <w:i/>
          <w:iCs/>
          <w:sz w:val="18"/>
        </w:rPr>
        <w:t>všeobecných</w:t>
      </w:r>
      <w:r w:rsidR="00071C0F" w:rsidRPr="006070EA">
        <w:rPr>
          <w:rFonts w:asciiTheme="majorHAnsi" w:hAnsiTheme="majorHAnsi" w:cstheme="majorHAnsi"/>
          <w:sz w:val="18"/>
        </w:rPr>
        <w:t xml:space="preserve"> </w:t>
      </w:r>
      <w:r w:rsidR="00A705AB" w:rsidRPr="006070EA">
        <w:rPr>
          <w:rFonts w:asciiTheme="majorHAnsi" w:hAnsiTheme="majorHAnsi" w:cstheme="majorHAnsi"/>
          <w:sz w:val="18"/>
        </w:rPr>
        <w:t>(</w:t>
      </w:r>
      <w:r w:rsidR="00071C0F" w:rsidRPr="006070EA">
        <w:rPr>
          <w:rFonts w:asciiTheme="majorHAnsi" w:hAnsiTheme="majorHAnsi" w:cstheme="majorHAnsi"/>
          <w:sz w:val="18"/>
        </w:rPr>
        <w:t>LU</w:t>
      </w:r>
      <w:r w:rsidR="00A705AB" w:rsidRPr="006070EA">
        <w:rPr>
          <w:rFonts w:asciiTheme="majorHAnsi" w:hAnsiTheme="majorHAnsi" w:cstheme="majorHAnsi"/>
          <w:sz w:val="18"/>
        </w:rPr>
        <w:t xml:space="preserve">), příp. v zastavěném území na plochách </w:t>
      </w:r>
      <w:r w:rsidR="00A705AB" w:rsidRPr="006070EA">
        <w:rPr>
          <w:rFonts w:asciiTheme="majorHAnsi" w:hAnsiTheme="majorHAnsi" w:cstheme="majorHAnsi"/>
          <w:i/>
          <w:sz w:val="18"/>
        </w:rPr>
        <w:t xml:space="preserve">zeleně </w:t>
      </w:r>
      <w:r w:rsidR="00071C0F" w:rsidRPr="006070EA">
        <w:rPr>
          <w:rFonts w:asciiTheme="majorHAnsi" w:hAnsiTheme="majorHAnsi" w:cstheme="majorHAnsi"/>
          <w:i/>
          <w:sz w:val="18"/>
        </w:rPr>
        <w:t>krajinné</w:t>
      </w:r>
      <w:r w:rsidR="00A705AB" w:rsidRPr="006070EA">
        <w:rPr>
          <w:rFonts w:asciiTheme="majorHAnsi" w:hAnsiTheme="majorHAnsi" w:cstheme="majorHAnsi"/>
          <w:sz w:val="18"/>
        </w:rPr>
        <w:t xml:space="preserve"> (Z</w:t>
      </w:r>
      <w:r w:rsidR="00071C0F" w:rsidRPr="006070EA">
        <w:rPr>
          <w:rFonts w:asciiTheme="majorHAnsi" w:hAnsiTheme="majorHAnsi" w:cstheme="majorHAnsi"/>
          <w:sz w:val="18"/>
        </w:rPr>
        <w:t>K</w:t>
      </w:r>
      <w:r w:rsidR="00A705AB" w:rsidRPr="006070EA">
        <w:rPr>
          <w:rFonts w:asciiTheme="majorHAnsi" w:hAnsiTheme="majorHAnsi" w:cstheme="majorHAnsi"/>
          <w:sz w:val="18"/>
        </w:rPr>
        <w:t>)</w:t>
      </w:r>
      <w:r w:rsidR="00937BDA" w:rsidRPr="006070EA">
        <w:rPr>
          <w:rFonts w:asciiTheme="majorHAnsi" w:hAnsiTheme="majorHAnsi" w:cstheme="majorHAnsi"/>
          <w:sz w:val="18"/>
        </w:rPr>
        <w:t xml:space="preserve"> a </w:t>
      </w:r>
      <w:r w:rsidR="00937BDA" w:rsidRPr="006070EA">
        <w:rPr>
          <w:rFonts w:asciiTheme="majorHAnsi" w:hAnsiTheme="majorHAnsi" w:cstheme="majorHAnsi"/>
          <w:i/>
          <w:iCs/>
          <w:sz w:val="18"/>
        </w:rPr>
        <w:t>zeleně</w:t>
      </w:r>
      <w:r w:rsidR="00071C0F" w:rsidRPr="006070EA">
        <w:rPr>
          <w:rFonts w:asciiTheme="majorHAnsi" w:hAnsiTheme="majorHAnsi" w:cstheme="majorHAnsi"/>
          <w:i/>
          <w:iCs/>
          <w:sz w:val="18"/>
        </w:rPr>
        <w:t xml:space="preserve"> – parky a parkově upravené plochy</w:t>
      </w:r>
      <w:r w:rsidR="00937BDA" w:rsidRPr="006070EA">
        <w:rPr>
          <w:rFonts w:asciiTheme="majorHAnsi" w:hAnsiTheme="majorHAnsi" w:cstheme="majorHAnsi"/>
          <w:sz w:val="18"/>
        </w:rPr>
        <w:t xml:space="preserve"> (Z</w:t>
      </w:r>
      <w:r w:rsidR="00071C0F" w:rsidRPr="006070EA">
        <w:rPr>
          <w:rFonts w:asciiTheme="majorHAnsi" w:hAnsiTheme="majorHAnsi" w:cstheme="majorHAnsi"/>
          <w:sz w:val="18"/>
        </w:rPr>
        <w:t>P</w:t>
      </w:r>
      <w:r w:rsidR="00937BDA" w:rsidRPr="006070EA">
        <w:rPr>
          <w:rFonts w:asciiTheme="majorHAnsi" w:hAnsiTheme="majorHAnsi" w:cstheme="majorHAnsi"/>
          <w:sz w:val="18"/>
        </w:rPr>
        <w:t>)</w:t>
      </w:r>
      <w:r w:rsidR="00A705AB" w:rsidRPr="006070EA">
        <w:rPr>
          <w:rFonts w:asciiTheme="majorHAnsi" w:hAnsiTheme="majorHAnsi" w:cstheme="majorHAnsi"/>
          <w:sz w:val="18"/>
        </w:rPr>
        <w:t>,</w:t>
      </w:r>
      <w:r w:rsidRPr="006070EA">
        <w:rPr>
          <w:rFonts w:asciiTheme="majorHAnsi" w:hAnsiTheme="majorHAnsi" w:cstheme="majorHAnsi"/>
          <w:sz w:val="18"/>
        </w:rPr>
        <w:t xml:space="preserve"> které podporují uchování a reprodukci přírodního bohatství.</w:t>
      </w:r>
    </w:p>
    <w:p w14:paraId="33C17FEE" w14:textId="77777777" w:rsidR="009F196A" w:rsidRPr="006070EA" w:rsidRDefault="009F196A" w:rsidP="009E07E1">
      <w:pPr>
        <w:keepNext/>
        <w:keepLines/>
        <w:spacing w:before="120" w:after="60" w:line="240" w:lineRule="auto"/>
        <w:rPr>
          <w:rFonts w:asciiTheme="majorHAnsi" w:hAnsiTheme="majorHAnsi" w:cstheme="majorHAnsi"/>
          <w:sz w:val="18"/>
          <w:u w:val="single"/>
        </w:rPr>
      </w:pPr>
      <w:r w:rsidRPr="006070EA">
        <w:rPr>
          <w:rFonts w:asciiTheme="majorHAnsi" w:hAnsiTheme="majorHAnsi" w:cstheme="majorHAnsi"/>
          <w:sz w:val="18"/>
          <w:u w:val="single"/>
        </w:rPr>
        <w:t>Přehled skladebných částí ÚSES</w:t>
      </w:r>
    </w:p>
    <w:p w14:paraId="2155A940" w14:textId="6C7C08F4" w:rsidR="002E7AA2" w:rsidRPr="006070EA" w:rsidRDefault="002E7AA2" w:rsidP="009E07E1">
      <w:pPr>
        <w:keepNext/>
        <w:keepLines/>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Na základě mapování krajiny a vytvoření kostry ekologické stability byly v řešeném území aktualizovány a upřesněny v měřítku územního plánu následující skladebné části ÚSES:</w:t>
      </w:r>
    </w:p>
    <w:tbl>
      <w:tblPr>
        <w:tblStyle w:val="Mkatabulky"/>
        <w:tblW w:w="0" w:type="auto"/>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1417"/>
        <w:gridCol w:w="1417"/>
        <w:gridCol w:w="1134"/>
        <w:gridCol w:w="5102"/>
      </w:tblGrid>
      <w:tr w:rsidR="00B933B6" w:rsidRPr="006070EA" w14:paraId="26501118" w14:textId="77777777" w:rsidTr="00467E67">
        <w:trPr>
          <w:cantSplit/>
          <w:tblHeader/>
          <w:jc w:val="center"/>
        </w:trPr>
        <w:tc>
          <w:tcPr>
            <w:tcW w:w="1417" w:type="dxa"/>
            <w:tcBorders>
              <w:top w:val="nil"/>
              <w:bottom w:val="single" w:sz="12" w:space="0" w:color="auto"/>
              <w:right w:val="single" w:sz="12" w:space="0" w:color="auto"/>
            </w:tcBorders>
            <w:vAlign w:val="center"/>
          </w:tcPr>
          <w:p w14:paraId="6E4AC348" w14:textId="77777777" w:rsidR="00B933B6" w:rsidRPr="006070EA" w:rsidRDefault="00B933B6" w:rsidP="00F61BC8">
            <w:pPr>
              <w:keepNext/>
              <w:widowControl w:val="0"/>
              <w:jc w:val="center"/>
              <w:rPr>
                <w:rFonts w:asciiTheme="majorHAnsi" w:hAnsiTheme="majorHAnsi" w:cstheme="majorHAnsi"/>
                <w:b/>
                <w:sz w:val="18"/>
                <w:szCs w:val="18"/>
              </w:rPr>
            </w:pPr>
            <w:r w:rsidRPr="006070EA">
              <w:rPr>
                <w:rFonts w:asciiTheme="majorHAnsi" w:hAnsiTheme="majorHAnsi" w:cstheme="majorHAnsi"/>
                <w:b/>
                <w:sz w:val="18"/>
                <w:szCs w:val="18"/>
              </w:rPr>
              <w:t>ozn. a název skladebné části</w:t>
            </w:r>
          </w:p>
        </w:tc>
        <w:tc>
          <w:tcPr>
            <w:tcW w:w="1417" w:type="dxa"/>
            <w:tcBorders>
              <w:top w:val="nil"/>
              <w:left w:val="single" w:sz="12" w:space="0" w:color="auto"/>
              <w:bottom w:val="single" w:sz="12" w:space="0" w:color="auto"/>
              <w:right w:val="single" w:sz="12" w:space="0" w:color="auto"/>
            </w:tcBorders>
            <w:vAlign w:val="center"/>
          </w:tcPr>
          <w:p w14:paraId="4532827D" w14:textId="77777777" w:rsidR="00B933B6" w:rsidRPr="006070EA" w:rsidRDefault="00B933B6" w:rsidP="00F61BC8">
            <w:pPr>
              <w:keepNext/>
              <w:widowControl w:val="0"/>
              <w:jc w:val="center"/>
              <w:rPr>
                <w:rFonts w:asciiTheme="majorHAnsi" w:hAnsiTheme="majorHAnsi" w:cstheme="majorHAnsi"/>
                <w:b/>
                <w:sz w:val="18"/>
                <w:szCs w:val="18"/>
              </w:rPr>
            </w:pPr>
            <w:r w:rsidRPr="006070EA">
              <w:rPr>
                <w:rFonts w:asciiTheme="majorHAnsi" w:hAnsiTheme="majorHAnsi" w:cstheme="majorHAnsi"/>
                <w:b/>
                <w:sz w:val="18"/>
                <w:szCs w:val="18"/>
              </w:rPr>
              <w:t>parametry</w:t>
            </w:r>
          </w:p>
        </w:tc>
        <w:tc>
          <w:tcPr>
            <w:tcW w:w="1134" w:type="dxa"/>
            <w:tcBorders>
              <w:top w:val="nil"/>
              <w:left w:val="single" w:sz="12" w:space="0" w:color="auto"/>
              <w:bottom w:val="single" w:sz="12" w:space="0" w:color="auto"/>
              <w:right w:val="single" w:sz="12" w:space="0" w:color="auto"/>
            </w:tcBorders>
            <w:vAlign w:val="center"/>
          </w:tcPr>
          <w:p w14:paraId="3DC4CD74" w14:textId="77777777" w:rsidR="00B933B6" w:rsidRPr="006070EA" w:rsidRDefault="00B933B6" w:rsidP="00F61BC8">
            <w:pPr>
              <w:keepNext/>
              <w:widowControl w:val="0"/>
              <w:jc w:val="center"/>
              <w:rPr>
                <w:rFonts w:asciiTheme="majorHAnsi" w:hAnsiTheme="majorHAnsi" w:cstheme="majorHAnsi"/>
                <w:b/>
                <w:sz w:val="18"/>
                <w:szCs w:val="18"/>
              </w:rPr>
            </w:pPr>
            <w:r w:rsidRPr="006070EA">
              <w:rPr>
                <w:rFonts w:asciiTheme="majorHAnsi" w:hAnsiTheme="majorHAnsi" w:cstheme="majorHAnsi"/>
                <w:b/>
                <w:sz w:val="18"/>
                <w:szCs w:val="18"/>
              </w:rPr>
              <w:t>stav</w:t>
            </w:r>
          </w:p>
        </w:tc>
        <w:tc>
          <w:tcPr>
            <w:tcW w:w="5102" w:type="dxa"/>
            <w:tcBorders>
              <w:top w:val="nil"/>
              <w:left w:val="single" w:sz="12" w:space="0" w:color="auto"/>
              <w:bottom w:val="single" w:sz="12" w:space="0" w:color="auto"/>
            </w:tcBorders>
            <w:vAlign w:val="center"/>
          </w:tcPr>
          <w:p w14:paraId="119E6910" w14:textId="77777777" w:rsidR="00B933B6" w:rsidRPr="006070EA" w:rsidRDefault="00B933B6" w:rsidP="00F61BC8">
            <w:pPr>
              <w:keepNext/>
              <w:widowControl w:val="0"/>
              <w:jc w:val="center"/>
              <w:rPr>
                <w:rFonts w:asciiTheme="majorHAnsi" w:hAnsiTheme="majorHAnsi" w:cstheme="majorHAnsi"/>
                <w:b/>
                <w:sz w:val="18"/>
                <w:szCs w:val="18"/>
              </w:rPr>
            </w:pPr>
            <w:r w:rsidRPr="006070EA">
              <w:rPr>
                <w:rFonts w:asciiTheme="majorHAnsi" w:hAnsiTheme="majorHAnsi" w:cstheme="majorHAnsi"/>
                <w:b/>
                <w:sz w:val="18"/>
                <w:szCs w:val="18"/>
              </w:rPr>
              <w:t>popis, geobiocenologická charakteristika</w:t>
            </w:r>
          </w:p>
          <w:p w14:paraId="4F87C2FC" w14:textId="0531414A" w:rsidR="00B933B6" w:rsidRPr="006070EA" w:rsidRDefault="00B933B6" w:rsidP="00F61BC8">
            <w:pPr>
              <w:keepNext/>
              <w:widowControl w:val="0"/>
              <w:jc w:val="center"/>
              <w:rPr>
                <w:rFonts w:asciiTheme="majorHAnsi" w:hAnsiTheme="majorHAnsi" w:cstheme="majorHAnsi"/>
                <w:b/>
                <w:sz w:val="18"/>
                <w:szCs w:val="18"/>
              </w:rPr>
            </w:pPr>
            <w:r w:rsidRPr="006070EA">
              <w:rPr>
                <w:rFonts w:asciiTheme="majorHAnsi" w:hAnsiTheme="majorHAnsi" w:cstheme="majorHAnsi"/>
                <w:b/>
                <w:sz w:val="18"/>
                <w:szCs w:val="18"/>
              </w:rPr>
              <w:t>parametry, cílový stav, opatření</w:t>
            </w:r>
          </w:p>
        </w:tc>
      </w:tr>
      <w:tr w:rsidR="00B158F2" w:rsidRPr="006070EA" w14:paraId="3EBD41CA" w14:textId="77777777" w:rsidTr="00DA21D4">
        <w:trPr>
          <w:cantSplit/>
          <w:trHeight w:val="283"/>
          <w:jc w:val="center"/>
        </w:trPr>
        <w:tc>
          <w:tcPr>
            <w:tcW w:w="9070" w:type="dxa"/>
            <w:gridSpan w:val="4"/>
            <w:tcBorders>
              <w:top w:val="nil"/>
              <w:bottom w:val="single" w:sz="12" w:space="0" w:color="auto"/>
            </w:tcBorders>
            <w:vAlign w:val="center"/>
          </w:tcPr>
          <w:p w14:paraId="68AC8D7F" w14:textId="4119B073" w:rsidR="004F1A10" w:rsidRPr="006070EA" w:rsidRDefault="0007201D" w:rsidP="00F61BC8">
            <w:pPr>
              <w:keepNext/>
              <w:widowControl w:val="0"/>
              <w:jc w:val="center"/>
              <w:rPr>
                <w:rFonts w:asciiTheme="majorHAnsi" w:hAnsiTheme="majorHAnsi" w:cstheme="majorHAnsi"/>
                <w:b/>
                <w:sz w:val="18"/>
                <w:szCs w:val="18"/>
              </w:rPr>
            </w:pPr>
            <w:r w:rsidRPr="006070EA">
              <w:rPr>
                <w:rFonts w:asciiTheme="majorHAnsi" w:hAnsiTheme="majorHAnsi" w:cstheme="majorHAnsi"/>
                <w:b/>
                <w:sz w:val="18"/>
                <w:szCs w:val="18"/>
              </w:rPr>
              <w:t>NAD</w:t>
            </w:r>
            <w:r w:rsidR="004F1A10" w:rsidRPr="006070EA">
              <w:rPr>
                <w:rFonts w:asciiTheme="majorHAnsi" w:hAnsiTheme="majorHAnsi" w:cstheme="majorHAnsi"/>
                <w:b/>
                <w:sz w:val="18"/>
                <w:szCs w:val="18"/>
              </w:rPr>
              <w:t>REGIONÁLNÍ BIOKORIDOR</w:t>
            </w:r>
          </w:p>
        </w:tc>
      </w:tr>
      <w:tr w:rsidR="00C54A4F" w:rsidRPr="006070EA" w14:paraId="339D8A3D" w14:textId="77777777" w:rsidTr="00B47F7B">
        <w:trPr>
          <w:cantSplit/>
          <w:jc w:val="center"/>
        </w:trPr>
        <w:tc>
          <w:tcPr>
            <w:tcW w:w="1417" w:type="dxa"/>
            <w:tcBorders>
              <w:top w:val="single" w:sz="12" w:space="0" w:color="auto"/>
              <w:bottom w:val="single" w:sz="12" w:space="0" w:color="auto"/>
            </w:tcBorders>
            <w:vAlign w:val="center"/>
          </w:tcPr>
          <w:p w14:paraId="7D91B77F" w14:textId="500AAE26" w:rsidR="00C54A4F" w:rsidRPr="006070EA" w:rsidRDefault="00C54A4F" w:rsidP="00616F2B">
            <w:pPr>
              <w:widowControl w:val="0"/>
              <w:jc w:val="center"/>
              <w:rPr>
                <w:rFonts w:asciiTheme="majorHAnsi" w:hAnsiTheme="majorHAnsi" w:cstheme="majorHAnsi"/>
                <w:b/>
                <w:sz w:val="18"/>
                <w:szCs w:val="18"/>
              </w:rPr>
            </w:pPr>
            <w:r w:rsidRPr="006070EA">
              <w:rPr>
                <w:rFonts w:asciiTheme="majorHAnsi" w:hAnsiTheme="majorHAnsi" w:cstheme="majorHAnsi"/>
                <w:b/>
                <w:sz w:val="18"/>
                <w:szCs w:val="18"/>
              </w:rPr>
              <w:t>N</w:t>
            </w:r>
            <w:r w:rsidR="00071C0F" w:rsidRPr="006070EA">
              <w:rPr>
                <w:rFonts w:asciiTheme="majorHAnsi" w:hAnsiTheme="majorHAnsi" w:cstheme="majorHAnsi"/>
                <w:b/>
                <w:sz w:val="18"/>
                <w:szCs w:val="18"/>
              </w:rPr>
              <w:t>RB</w:t>
            </w:r>
            <w:r w:rsidRPr="006070EA">
              <w:rPr>
                <w:rFonts w:asciiTheme="majorHAnsi" w:hAnsiTheme="majorHAnsi" w:cstheme="majorHAnsi"/>
                <w:b/>
                <w:sz w:val="18"/>
                <w:szCs w:val="18"/>
              </w:rPr>
              <w:t>K</w:t>
            </w:r>
            <w:r w:rsidR="00071C0F" w:rsidRPr="006070EA">
              <w:rPr>
                <w:rFonts w:asciiTheme="majorHAnsi" w:hAnsiTheme="majorHAnsi" w:cstheme="majorHAnsi"/>
                <w:b/>
                <w:sz w:val="18"/>
                <w:szCs w:val="18"/>
              </w:rPr>
              <w:t>.</w:t>
            </w:r>
            <w:r w:rsidRPr="006070EA">
              <w:rPr>
                <w:rFonts w:asciiTheme="majorHAnsi" w:hAnsiTheme="majorHAnsi" w:cstheme="majorHAnsi"/>
                <w:b/>
                <w:sz w:val="18"/>
                <w:szCs w:val="18"/>
              </w:rPr>
              <w:t>10 Stříbrný roh – Polabský luh</w:t>
            </w:r>
          </w:p>
        </w:tc>
        <w:tc>
          <w:tcPr>
            <w:tcW w:w="1417" w:type="dxa"/>
            <w:tcBorders>
              <w:top w:val="single" w:sz="12" w:space="0" w:color="auto"/>
              <w:bottom w:val="single" w:sz="12" w:space="0" w:color="auto"/>
            </w:tcBorders>
            <w:vAlign w:val="center"/>
          </w:tcPr>
          <w:p w14:paraId="5A399086" w14:textId="49F1857C" w:rsidR="00C54A4F" w:rsidRPr="006070EA" w:rsidRDefault="00C54A4F" w:rsidP="004F1A10">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 xml:space="preserve">Šířka: </w:t>
            </w:r>
            <w:proofErr w:type="gramStart"/>
            <w:r w:rsidRPr="006070EA">
              <w:rPr>
                <w:rFonts w:asciiTheme="majorHAnsi" w:hAnsiTheme="majorHAnsi" w:cstheme="majorHAnsi"/>
                <w:sz w:val="18"/>
                <w:szCs w:val="18"/>
              </w:rPr>
              <w:t>150 – 300</w:t>
            </w:r>
            <w:proofErr w:type="gramEnd"/>
            <w:r w:rsidRPr="006070EA">
              <w:rPr>
                <w:rFonts w:asciiTheme="majorHAnsi" w:hAnsiTheme="majorHAnsi" w:cstheme="majorHAnsi"/>
                <w:sz w:val="18"/>
                <w:szCs w:val="18"/>
              </w:rPr>
              <w:t> m</w:t>
            </w:r>
          </w:p>
          <w:p w14:paraId="6D6A5B97" w14:textId="4B409E55" w:rsidR="00C54A4F" w:rsidRPr="006070EA" w:rsidRDefault="00C54A4F" w:rsidP="004F1A10">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Délka v řešeném území: 1,5 km</w:t>
            </w:r>
          </w:p>
        </w:tc>
        <w:tc>
          <w:tcPr>
            <w:tcW w:w="1134" w:type="dxa"/>
            <w:tcBorders>
              <w:top w:val="single" w:sz="12" w:space="0" w:color="auto"/>
              <w:bottom w:val="single" w:sz="12" w:space="0" w:color="auto"/>
            </w:tcBorders>
            <w:vAlign w:val="center"/>
          </w:tcPr>
          <w:p w14:paraId="244893D0" w14:textId="77777777" w:rsidR="00C54A4F" w:rsidRPr="006070EA" w:rsidRDefault="00C54A4F" w:rsidP="00616F2B">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Funkční</w:t>
            </w:r>
          </w:p>
        </w:tc>
        <w:tc>
          <w:tcPr>
            <w:tcW w:w="5102" w:type="dxa"/>
            <w:tcBorders>
              <w:top w:val="single" w:sz="12" w:space="0" w:color="auto"/>
              <w:bottom w:val="single" w:sz="12" w:space="0" w:color="auto"/>
            </w:tcBorders>
            <w:vAlign w:val="center"/>
          </w:tcPr>
          <w:p w14:paraId="16296786" w14:textId="65AC6791" w:rsidR="00C54A4F" w:rsidRPr="006070EA" w:rsidRDefault="00B933B6"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xml:space="preserve">: </w:t>
            </w:r>
            <w:r w:rsidR="00C54A4F" w:rsidRPr="006070EA">
              <w:rPr>
                <w:rFonts w:asciiTheme="majorHAnsi" w:hAnsiTheme="majorHAnsi" w:cstheme="majorHAnsi"/>
                <w:sz w:val="18"/>
                <w:szCs w:val="18"/>
              </w:rPr>
              <w:t>Nadregionální biokoridor východně západního směru na toku řeky Labe. Biokoridor je veden podle toku řeky Labe v chudých pobřežních a lučních společenstvech s alejemi nepůvodních ovocných dřevin a křovin. Tok je znečištěn odpadními vodami z obcí a zejména splachy ze zemědělství. Po cca 700 m je biokoridor prokládán lokálními biocentry.</w:t>
            </w:r>
          </w:p>
          <w:p w14:paraId="4D7546C9" w14:textId="77777777" w:rsidR="00C54A4F" w:rsidRPr="006070EA" w:rsidRDefault="00C54A4F"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Dřeviny a křoviny</w:t>
            </w:r>
            <w:r w:rsidRPr="006070EA">
              <w:rPr>
                <w:rFonts w:asciiTheme="majorHAnsi" w:hAnsiTheme="majorHAnsi" w:cstheme="majorHAnsi"/>
                <w:sz w:val="18"/>
                <w:szCs w:val="18"/>
              </w:rPr>
              <w:t>: JAD, SLD, TPH, TRS, TRA, JVK, JVB, TPO, VRK, VRB, BRB, DBL, JSZ, JVM, vrj, hlo, bzč, osk, vrč, ržpo, svk, osm, vru, ptz.</w:t>
            </w:r>
          </w:p>
          <w:p w14:paraId="27297552" w14:textId="77777777" w:rsidR="00C54A4F" w:rsidRPr="006070EA" w:rsidRDefault="00C54A4F"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Byliny</w:t>
            </w:r>
            <w:r w:rsidRPr="006070EA">
              <w:rPr>
                <w:rFonts w:asciiTheme="majorHAnsi" w:hAnsiTheme="majorHAnsi" w:cstheme="majorHAnsi"/>
                <w:sz w:val="18"/>
                <w:szCs w:val="18"/>
              </w:rPr>
              <w:t>: Chmel otáčivý, rákos obecný, kerblík lesní, bršlice kozí noha, kuklík městský, divizna knotovitá, krabilice mámivá, lopuch menší, orobinec širokolistý, kopřiva dvoudomá, jitrocel kopinatý, mochna husí, kostival lékařský.</w:t>
            </w:r>
          </w:p>
          <w:p w14:paraId="7C869EA1" w14:textId="77777777" w:rsidR="00C54A4F" w:rsidRPr="006070EA" w:rsidRDefault="00C54A4F"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Fauna</w:t>
            </w:r>
            <w:r w:rsidRPr="006070EA">
              <w:rPr>
                <w:rFonts w:asciiTheme="majorHAnsi" w:hAnsiTheme="majorHAnsi" w:cstheme="majorHAnsi"/>
                <w:sz w:val="18"/>
                <w:szCs w:val="18"/>
              </w:rPr>
              <w:t>: Racek chechtavý, kachna březňačka, labuť velká, bažant obecný.</w:t>
            </w:r>
          </w:p>
          <w:p w14:paraId="53809081" w14:textId="77777777" w:rsidR="00C54A4F" w:rsidRPr="006070EA" w:rsidRDefault="00C54A4F"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Úpravy toku, další splachy a vypouštění odpadních vod, zpevnění toku</w:t>
            </w:r>
          </w:p>
          <w:p w14:paraId="0634952F" w14:textId="77777777" w:rsidR="00C54A4F" w:rsidRPr="006070EA" w:rsidRDefault="00C54A4F"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Opatření</w:t>
            </w:r>
            <w:r w:rsidRPr="006070EA">
              <w:rPr>
                <w:rFonts w:asciiTheme="majorHAnsi" w:hAnsiTheme="majorHAnsi" w:cstheme="majorHAnsi"/>
                <w:sz w:val="18"/>
                <w:szCs w:val="18"/>
              </w:rPr>
              <w:t>: revitalizace celého toku a okolí a dosadba přirozených dřevin do porostů do zapojených pásů v okolí.</w:t>
            </w:r>
          </w:p>
          <w:p w14:paraId="26AC1B3C" w14:textId="2A4BEA44" w:rsidR="00C54A4F" w:rsidRPr="006070EA" w:rsidRDefault="00C54A4F"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Cílový stav</w:t>
            </w:r>
            <w:r w:rsidRPr="006070EA">
              <w:rPr>
                <w:rFonts w:asciiTheme="majorHAnsi" w:hAnsiTheme="majorHAnsi" w:cstheme="majorHAnsi"/>
                <w:sz w:val="18"/>
                <w:szCs w:val="18"/>
              </w:rPr>
              <w:t>: zapojený porost přirozených dřevin a křovin ve vhodně širokém pásu podle řeky, narušení valů a vývoj okolních přirozených lesů a luk podle toku.</w:t>
            </w:r>
          </w:p>
        </w:tc>
      </w:tr>
      <w:tr w:rsidR="0007201D" w:rsidRPr="006070EA" w14:paraId="6B3709C4" w14:textId="77777777" w:rsidTr="00E00A83">
        <w:trPr>
          <w:cantSplit/>
          <w:trHeight w:val="283"/>
          <w:jc w:val="center"/>
        </w:trPr>
        <w:tc>
          <w:tcPr>
            <w:tcW w:w="9070" w:type="dxa"/>
            <w:gridSpan w:val="4"/>
            <w:tcBorders>
              <w:top w:val="single" w:sz="12" w:space="0" w:color="auto"/>
              <w:bottom w:val="single" w:sz="12" w:space="0" w:color="auto"/>
            </w:tcBorders>
            <w:vAlign w:val="center"/>
          </w:tcPr>
          <w:p w14:paraId="55F9CCEA" w14:textId="4A4A3317" w:rsidR="0007201D" w:rsidRPr="006070EA" w:rsidRDefault="0007201D" w:rsidP="00B933B6">
            <w:pPr>
              <w:keepNext/>
              <w:widowControl w:val="0"/>
              <w:jc w:val="center"/>
              <w:rPr>
                <w:rFonts w:asciiTheme="majorHAnsi" w:hAnsiTheme="majorHAnsi" w:cstheme="majorHAnsi"/>
                <w:b/>
                <w:sz w:val="18"/>
                <w:szCs w:val="18"/>
              </w:rPr>
            </w:pPr>
            <w:r w:rsidRPr="006070EA">
              <w:rPr>
                <w:rFonts w:asciiTheme="majorHAnsi" w:hAnsiTheme="majorHAnsi" w:cstheme="majorHAnsi"/>
                <w:b/>
                <w:sz w:val="18"/>
                <w:szCs w:val="18"/>
              </w:rPr>
              <w:t>REGIONÁLNÍ BIOCENTRUM</w:t>
            </w:r>
          </w:p>
        </w:tc>
      </w:tr>
      <w:tr w:rsidR="00B933B6" w:rsidRPr="006070EA" w14:paraId="34AC5819" w14:textId="77777777" w:rsidTr="000E148F">
        <w:trPr>
          <w:cantSplit/>
          <w:jc w:val="center"/>
        </w:trPr>
        <w:tc>
          <w:tcPr>
            <w:tcW w:w="1417" w:type="dxa"/>
            <w:tcBorders>
              <w:top w:val="single" w:sz="12" w:space="0" w:color="auto"/>
            </w:tcBorders>
            <w:vAlign w:val="center"/>
          </w:tcPr>
          <w:p w14:paraId="49B84410" w14:textId="791031C5" w:rsidR="00B933B6" w:rsidRPr="00A76411" w:rsidRDefault="00B933B6" w:rsidP="00E00A83">
            <w:pPr>
              <w:widowControl w:val="0"/>
              <w:spacing w:after="60"/>
              <w:jc w:val="center"/>
              <w:rPr>
                <w:rFonts w:asciiTheme="majorHAnsi" w:hAnsiTheme="majorHAnsi" w:cstheme="majorHAnsi"/>
                <w:b/>
                <w:sz w:val="18"/>
                <w:szCs w:val="18"/>
              </w:rPr>
            </w:pPr>
            <w:r w:rsidRPr="00A76411">
              <w:rPr>
                <w:rFonts w:asciiTheme="majorHAnsi" w:hAnsiTheme="majorHAnsi" w:cstheme="majorHAnsi"/>
                <w:b/>
                <w:sz w:val="18"/>
                <w:szCs w:val="18"/>
              </w:rPr>
              <w:t>R</w:t>
            </w:r>
            <w:r w:rsidR="00071C0F" w:rsidRPr="00A76411">
              <w:rPr>
                <w:rFonts w:asciiTheme="majorHAnsi" w:hAnsiTheme="majorHAnsi" w:cstheme="majorHAnsi"/>
                <w:b/>
                <w:sz w:val="18"/>
                <w:szCs w:val="18"/>
              </w:rPr>
              <w:t>B</w:t>
            </w:r>
            <w:r w:rsidRPr="00A76411">
              <w:rPr>
                <w:rFonts w:asciiTheme="majorHAnsi" w:hAnsiTheme="majorHAnsi" w:cstheme="majorHAnsi"/>
                <w:b/>
                <w:sz w:val="18"/>
                <w:szCs w:val="18"/>
              </w:rPr>
              <w:t>C</w:t>
            </w:r>
            <w:r w:rsidR="00071C0F" w:rsidRPr="00A76411">
              <w:rPr>
                <w:rFonts w:asciiTheme="majorHAnsi" w:hAnsiTheme="majorHAnsi" w:cstheme="majorHAnsi"/>
                <w:b/>
                <w:sz w:val="18"/>
                <w:szCs w:val="18"/>
              </w:rPr>
              <w:t>.</w:t>
            </w:r>
            <w:r w:rsidRPr="00A76411">
              <w:rPr>
                <w:rFonts w:asciiTheme="majorHAnsi" w:hAnsiTheme="majorHAnsi" w:cstheme="majorHAnsi"/>
                <w:b/>
                <w:sz w:val="18"/>
                <w:szCs w:val="18"/>
              </w:rPr>
              <w:t xml:space="preserve">349 Niva Labe u </w:t>
            </w:r>
            <w:r w:rsidR="004C536A" w:rsidRPr="00A76411">
              <w:rPr>
                <w:rFonts w:asciiTheme="majorHAnsi" w:hAnsiTheme="majorHAnsi" w:cstheme="majorHAnsi"/>
                <w:b/>
                <w:sz w:val="18"/>
                <w:szCs w:val="18"/>
              </w:rPr>
              <w:t>Lysé nad Labem</w:t>
            </w:r>
          </w:p>
        </w:tc>
        <w:tc>
          <w:tcPr>
            <w:tcW w:w="1417" w:type="dxa"/>
            <w:tcBorders>
              <w:top w:val="single" w:sz="12" w:space="0" w:color="auto"/>
            </w:tcBorders>
            <w:vAlign w:val="center"/>
          </w:tcPr>
          <w:p w14:paraId="14F0BCFE" w14:textId="77777777" w:rsidR="00B933B6" w:rsidRPr="006070EA" w:rsidRDefault="00B933B6" w:rsidP="00E00A83">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Rozloha: 813 ha (celkem)</w:t>
            </w:r>
          </w:p>
          <w:p w14:paraId="3D17FD9E" w14:textId="71341292" w:rsidR="00B933B6" w:rsidRPr="006070EA" w:rsidRDefault="00B933B6" w:rsidP="00E00A83">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14,2 ha</w:t>
            </w:r>
            <w:r w:rsidR="008A763D" w:rsidRPr="006070EA">
              <w:rPr>
                <w:rFonts w:asciiTheme="majorHAnsi" w:hAnsiTheme="majorHAnsi" w:cstheme="majorHAnsi"/>
                <w:sz w:val="18"/>
                <w:szCs w:val="18"/>
              </w:rPr>
              <w:t xml:space="preserve"> (v řešeném území)</w:t>
            </w:r>
          </w:p>
        </w:tc>
        <w:tc>
          <w:tcPr>
            <w:tcW w:w="1134" w:type="dxa"/>
            <w:tcBorders>
              <w:top w:val="single" w:sz="12" w:space="0" w:color="auto"/>
            </w:tcBorders>
            <w:vAlign w:val="center"/>
          </w:tcPr>
          <w:p w14:paraId="5C696E23" w14:textId="77777777" w:rsidR="00B933B6" w:rsidRPr="006070EA" w:rsidRDefault="00B933B6" w:rsidP="00E00A83">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Funkční</w:t>
            </w:r>
          </w:p>
        </w:tc>
        <w:tc>
          <w:tcPr>
            <w:tcW w:w="5102" w:type="dxa"/>
            <w:tcBorders>
              <w:top w:val="single" w:sz="12" w:space="0" w:color="auto"/>
            </w:tcBorders>
            <w:vAlign w:val="center"/>
          </w:tcPr>
          <w:p w14:paraId="63E1A89F" w14:textId="4ABC62F6" w:rsidR="00B933B6" w:rsidRPr="006070EA" w:rsidRDefault="00B933B6"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Nivní společenstva po obou březích Labe od okresní hranice Praha-východ – Nymburk až na západní hranici k. ú. Kostomlaty nad Labem. Převážnou část biocentra zaujímají lesy, luční společenstva se vyskytují místy podél Starého Labe a roztroušeně v lesích a při orné půdě. Ve východní části biocentra jsou chatové osady. Chatové osady jižně od Ostré jsou intenzivněji využívány (oplocení, hustá zástavba, introdukované dřeviny).</w:t>
            </w:r>
          </w:p>
          <w:p w14:paraId="630ED24C" w14:textId="77777777" w:rsidR="00B933B6" w:rsidRPr="006070EA" w:rsidRDefault="00B933B6" w:rsidP="00B933B6">
            <w:pPr>
              <w:widowControl w:val="0"/>
              <w:spacing w:after="60"/>
              <w:jc w:val="both"/>
              <w:rPr>
                <w:rFonts w:asciiTheme="majorHAnsi" w:hAnsiTheme="majorHAnsi" w:cstheme="majorHAnsi"/>
                <w:sz w:val="18"/>
                <w:szCs w:val="18"/>
              </w:rPr>
            </w:pPr>
            <w:r w:rsidRPr="006070EA">
              <w:rPr>
                <w:rFonts w:asciiTheme="majorHAnsi" w:hAnsiTheme="majorHAnsi" w:cstheme="majorHAnsi"/>
                <w:sz w:val="18"/>
                <w:szCs w:val="18"/>
              </w:rPr>
              <w:t>Půdy převážně nivní, na nivních uloženinách, s dobrými vláhovými poměry, okrajově pak nivní na pískách, výsušné, nivní na nivních uloženinách se sklonem k převlhčení a glejové středně až velmi těžké, zamokřené, po odvodnění vhodné jen pro louky</w:t>
            </w:r>
          </w:p>
          <w:p w14:paraId="4AA69516" w14:textId="77777777" w:rsidR="00B933B6" w:rsidRPr="006070EA" w:rsidRDefault="00B933B6"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Geobiocenologická typizace</w:t>
            </w:r>
            <w:r w:rsidRPr="006070EA">
              <w:rPr>
                <w:rFonts w:asciiTheme="majorHAnsi" w:hAnsiTheme="majorHAnsi" w:cstheme="majorHAnsi"/>
                <w:sz w:val="18"/>
                <w:szCs w:val="18"/>
              </w:rPr>
              <w:t>: 2B2, 2BC3, 2BC4, 2BC5, 2C5</w:t>
            </w:r>
          </w:p>
          <w:p w14:paraId="73B240E9" w14:textId="77777777" w:rsidR="00B933B6" w:rsidRPr="006070EA" w:rsidRDefault="00B933B6"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Fyziotyp</w:t>
            </w:r>
            <w:r w:rsidRPr="006070EA">
              <w:rPr>
                <w:rFonts w:asciiTheme="majorHAnsi" w:hAnsiTheme="majorHAnsi" w:cstheme="majorHAnsi"/>
                <w:sz w:val="18"/>
                <w:szCs w:val="18"/>
              </w:rPr>
              <w:t>: VO, LO, MT, KR, SE, RU</w:t>
            </w:r>
          </w:p>
          <w:p w14:paraId="18711545" w14:textId="77777777" w:rsidR="00B933B6" w:rsidRPr="006070EA" w:rsidRDefault="00B933B6"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intenzifikace využívání</w:t>
            </w:r>
          </w:p>
          <w:p w14:paraId="2319ED2B" w14:textId="12E3C935" w:rsidR="00B933B6" w:rsidRPr="006070EA" w:rsidRDefault="00B933B6" w:rsidP="00B933B6">
            <w:pPr>
              <w:widowControl w:val="0"/>
              <w:spacing w:after="60"/>
              <w:jc w:val="both"/>
              <w:rPr>
                <w:rFonts w:asciiTheme="majorHAnsi" w:hAnsiTheme="majorHAnsi" w:cstheme="majorHAnsi"/>
                <w:sz w:val="18"/>
                <w:szCs w:val="18"/>
              </w:rPr>
            </w:pPr>
            <w:r w:rsidRPr="006070EA">
              <w:rPr>
                <w:rFonts w:asciiTheme="majorHAnsi" w:hAnsiTheme="majorHAnsi" w:cstheme="majorHAnsi"/>
                <w:i/>
                <w:iCs/>
                <w:sz w:val="18"/>
                <w:szCs w:val="18"/>
              </w:rPr>
              <w:t>Návrh opatření</w:t>
            </w:r>
            <w:r w:rsidRPr="006070EA">
              <w:rPr>
                <w:rFonts w:asciiTheme="majorHAnsi" w:hAnsiTheme="majorHAnsi" w:cstheme="majorHAnsi"/>
                <w:sz w:val="18"/>
                <w:szCs w:val="18"/>
              </w:rPr>
              <w:t>: podél cest a vodotečí dosadba liniové zeleně.</w:t>
            </w:r>
          </w:p>
        </w:tc>
      </w:tr>
      <w:tr w:rsidR="00B158F2" w:rsidRPr="006070EA" w14:paraId="0100F54C" w14:textId="77777777" w:rsidTr="00DA21D4">
        <w:trPr>
          <w:cantSplit/>
          <w:trHeight w:val="283"/>
          <w:jc w:val="center"/>
        </w:trPr>
        <w:tc>
          <w:tcPr>
            <w:tcW w:w="9070" w:type="dxa"/>
            <w:gridSpan w:val="4"/>
            <w:tcBorders>
              <w:top w:val="single" w:sz="12" w:space="0" w:color="auto"/>
              <w:bottom w:val="single" w:sz="12" w:space="0" w:color="auto"/>
            </w:tcBorders>
            <w:vAlign w:val="center"/>
          </w:tcPr>
          <w:p w14:paraId="3DCD1DE7" w14:textId="77777777" w:rsidR="004F1A10" w:rsidRPr="006070EA" w:rsidRDefault="004F1A10" w:rsidP="00937BDA">
            <w:pPr>
              <w:keepNext/>
              <w:widowControl w:val="0"/>
              <w:jc w:val="center"/>
              <w:rPr>
                <w:rFonts w:asciiTheme="majorHAnsi" w:hAnsiTheme="majorHAnsi" w:cstheme="majorHAnsi"/>
                <w:b/>
                <w:sz w:val="18"/>
                <w:szCs w:val="18"/>
              </w:rPr>
            </w:pPr>
            <w:r w:rsidRPr="006070EA">
              <w:rPr>
                <w:rFonts w:asciiTheme="majorHAnsi" w:hAnsiTheme="majorHAnsi" w:cstheme="majorHAnsi"/>
                <w:b/>
                <w:sz w:val="18"/>
                <w:szCs w:val="18"/>
              </w:rPr>
              <w:lastRenderedPageBreak/>
              <w:t>LOKÁLNÍ BIOCENTRA</w:t>
            </w:r>
          </w:p>
        </w:tc>
      </w:tr>
      <w:tr w:rsidR="00B0603E" w:rsidRPr="006070EA" w14:paraId="12AEE7B3" w14:textId="77777777" w:rsidTr="00E07991">
        <w:trPr>
          <w:cantSplit/>
          <w:jc w:val="center"/>
        </w:trPr>
        <w:tc>
          <w:tcPr>
            <w:tcW w:w="1417" w:type="dxa"/>
            <w:tcBorders>
              <w:top w:val="single" w:sz="12" w:space="0" w:color="auto"/>
            </w:tcBorders>
            <w:vAlign w:val="center"/>
          </w:tcPr>
          <w:p w14:paraId="1CCF17F0" w14:textId="46099543" w:rsidR="00B0603E" w:rsidRPr="006070EA" w:rsidRDefault="00B0603E" w:rsidP="00E06BB8">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t>L</w:t>
            </w:r>
            <w:r w:rsidR="00071C0F" w:rsidRPr="006070EA">
              <w:rPr>
                <w:rFonts w:asciiTheme="majorHAnsi" w:hAnsiTheme="majorHAnsi" w:cstheme="majorHAnsi"/>
                <w:b/>
                <w:sz w:val="18"/>
                <w:szCs w:val="18"/>
              </w:rPr>
              <w:t>B</w:t>
            </w:r>
            <w:r w:rsidRPr="006070EA">
              <w:rPr>
                <w:rFonts w:asciiTheme="majorHAnsi" w:hAnsiTheme="majorHAnsi" w:cstheme="majorHAnsi"/>
                <w:b/>
                <w:sz w:val="18"/>
                <w:szCs w:val="18"/>
              </w:rPr>
              <w:t>C</w:t>
            </w:r>
            <w:r w:rsidR="00071C0F" w:rsidRPr="006070EA">
              <w:rPr>
                <w:rFonts w:asciiTheme="majorHAnsi" w:hAnsiTheme="majorHAnsi" w:cstheme="majorHAnsi"/>
                <w:b/>
                <w:sz w:val="18"/>
                <w:szCs w:val="18"/>
              </w:rPr>
              <w:t>.</w:t>
            </w:r>
            <w:r w:rsidRPr="006070EA">
              <w:rPr>
                <w:rFonts w:asciiTheme="majorHAnsi" w:hAnsiTheme="majorHAnsi" w:cstheme="majorHAnsi"/>
                <w:b/>
                <w:sz w:val="18"/>
                <w:szCs w:val="18"/>
              </w:rPr>
              <w:t>1</w:t>
            </w:r>
          </w:p>
          <w:p w14:paraId="4FD615EC" w14:textId="180853F3" w:rsidR="00B0603E" w:rsidRPr="006070EA" w:rsidRDefault="00B0603E" w:rsidP="00E06BB8">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t>V Bažantnici</w:t>
            </w:r>
          </w:p>
        </w:tc>
        <w:tc>
          <w:tcPr>
            <w:tcW w:w="1417" w:type="dxa"/>
            <w:tcBorders>
              <w:top w:val="single" w:sz="12" w:space="0" w:color="auto"/>
            </w:tcBorders>
            <w:vAlign w:val="center"/>
          </w:tcPr>
          <w:p w14:paraId="6313EBDE" w14:textId="1B7467B7" w:rsidR="00B0603E" w:rsidRPr="006070EA" w:rsidRDefault="00B0603E" w:rsidP="00E703D9">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Rozloha: 5,67 ha</w:t>
            </w:r>
          </w:p>
        </w:tc>
        <w:tc>
          <w:tcPr>
            <w:tcW w:w="1134" w:type="dxa"/>
            <w:tcBorders>
              <w:top w:val="single" w:sz="12" w:space="0" w:color="auto"/>
            </w:tcBorders>
            <w:vAlign w:val="center"/>
          </w:tcPr>
          <w:p w14:paraId="0E4C7FD0" w14:textId="1F3F7E93" w:rsidR="00B0603E" w:rsidRPr="006070EA" w:rsidRDefault="00B0603E" w:rsidP="00616F2B">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Částečně funkční</w:t>
            </w:r>
          </w:p>
        </w:tc>
        <w:tc>
          <w:tcPr>
            <w:tcW w:w="5102" w:type="dxa"/>
            <w:tcBorders>
              <w:top w:val="single" w:sz="12" w:space="0" w:color="auto"/>
            </w:tcBorders>
            <w:vAlign w:val="center"/>
          </w:tcPr>
          <w:p w14:paraId="747258F0"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lesní plocha mezi polemi a doprovodný porost Hlubokého příkopu, biocentrum zahrne i část okolních polí, voda ve vodním toku je čistá.</w:t>
            </w:r>
          </w:p>
          <w:p w14:paraId="61CAE233"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sz w:val="18"/>
                <w:szCs w:val="18"/>
              </w:rPr>
              <w:t>Listnatý degradovaný nepůvodní porost, vodní tok s doprovodnými křovinami.</w:t>
            </w:r>
          </w:p>
          <w:p w14:paraId="3F54B7D6"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Geobiocenologická typizace</w:t>
            </w:r>
            <w:r w:rsidRPr="006070EA">
              <w:rPr>
                <w:rFonts w:asciiTheme="majorHAnsi" w:hAnsiTheme="majorHAnsi" w:cstheme="majorHAnsi"/>
                <w:sz w:val="18"/>
                <w:szCs w:val="18"/>
              </w:rPr>
              <w:t>: 1BC3</w:t>
            </w:r>
          </w:p>
          <w:p w14:paraId="301D6981"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Cílový stav</w:t>
            </w:r>
            <w:r w:rsidRPr="006070EA">
              <w:rPr>
                <w:rFonts w:asciiTheme="majorHAnsi" w:hAnsiTheme="majorHAnsi" w:cstheme="majorHAnsi"/>
                <w:sz w:val="18"/>
                <w:szCs w:val="18"/>
              </w:rPr>
              <w:t>: lesní remíz s převahou přirozených dřevin, doprovodný kvalitní porost u toku a malá nárazová louka</w:t>
            </w:r>
          </w:p>
          <w:p w14:paraId="73654EC1"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Dřeviny a křoviny</w:t>
            </w:r>
            <w:r w:rsidRPr="006070EA">
              <w:rPr>
                <w:rFonts w:asciiTheme="majorHAnsi" w:hAnsiTheme="majorHAnsi" w:cstheme="majorHAnsi"/>
                <w:sz w:val="18"/>
                <w:szCs w:val="18"/>
              </w:rPr>
              <w:t>: TPH, BRB, VRK, svk, bzč, bre, tro, ržpo, ptz</w:t>
            </w:r>
          </w:p>
          <w:p w14:paraId="108B3A9A"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Byliny</w:t>
            </w:r>
            <w:r w:rsidRPr="006070EA">
              <w:rPr>
                <w:rFonts w:asciiTheme="majorHAnsi" w:hAnsiTheme="majorHAnsi" w:cstheme="majorHAnsi"/>
                <w:sz w:val="18"/>
                <w:szCs w:val="18"/>
              </w:rPr>
              <w:t>: porost jen podle toku – krabilice mámivá, kopřiva dvoudomá, svízel přítula, bolševník obecný, okřehek vodní, opletník plotní, vrbina obecná</w:t>
            </w:r>
          </w:p>
          <w:p w14:paraId="4853DC6B"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Fauna</w:t>
            </w:r>
            <w:r w:rsidRPr="006070EA">
              <w:rPr>
                <w:rFonts w:asciiTheme="majorHAnsi" w:hAnsiTheme="majorHAnsi" w:cstheme="majorHAnsi"/>
                <w:sz w:val="18"/>
                <w:szCs w:val="18"/>
              </w:rPr>
              <w:t>: poštolka obecná, koroptev polní</w:t>
            </w:r>
          </w:p>
          <w:p w14:paraId="543BD0BB"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Fyziotyp</w:t>
            </w:r>
            <w:r w:rsidRPr="006070EA">
              <w:rPr>
                <w:rFonts w:asciiTheme="majorHAnsi" w:hAnsiTheme="majorHAnsi" w:cstheme="majorHAnsi"/>
                <w:sz w:val="18"/>
                <w:szCs w:val="18"/>
              </w:rPr>
              <w:t>: KU, VO, SE</w:t>
            </w:r>
          </w:p>
          <w:p w14:paraId="15C38A4D"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vymýcení porostu, změna vedení toku</w:t>
            </w:r>
          </w:p>
          <w:p w14:paraId="099D62D3" w14:textId="77777777" w:rsidR="00B0603E" w:rsidRPr="006070EA" w:rsidRDefault="00B0603E" w:rsidP="00E703D9">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Návrh opatření</w:t>
            </w:r>
            <w:r w:rsidRPr="006070EA">
              <w:rPr>
                <w:rFonts w:asciiTheme="majorHAnsi" w:hAnsiTheme="majorHAnsi" w:cstheme="majorHAnsi"/>
                <w:sz w:val="18"/>
                <w:szCs w:val="18"/>
              </w:rPr>
              <w:t>: dosadit do lokality postupně místní dřeviny, provést opatření uvedené v LHP a dodržet je (mýtní doba, obnovní doba, obnovní cíl), pročistit doprovodný porost, vytvořit nárazovou louku mezi polem a lesíkem nebo kanálem</w:t>
            </w:r>
          </w:p>
          <w:p w14:paraId="06DE2144" w14:textId="138FC9B7" w:rsidR="00B0603E" w:rsidRPr="006070EA" w:rsidRDefault="00B0603E" w:rsidP="00616F2B">
            <w:pPr>
              <w:widowControl w:val="0"/>
              <w:spacing w:after="60"/>
              <w:rPr>
                <w:rFonts w:asciiTheme="majorHAnsi" w:hAnsiTheme="majorHAnsi" w:cstheme="majorHAnsi"/>
                <w:sz w:val="18"/>
                <w:szCs w:val="18"/>
              </w:rPr>
            </w:pPr>
            <w:r w:rsidRPr="006070EA">
              <w:rPr>
                <w:rFonts w:asciiTheme="majorHAnsi" w:hAnsiTheme="majorHAnsi" w:cstheme="majorHAnsi"/>
                <w:sz w:val="18"/>
                <w:szCs w:val="18"/>
              </w:rPr>
              <w:t>Pro zajištění funkčnosti biocentra jsou vymezeny plochy změn v krajině K</w:t>
            </w:r>
            <w:r w:rsidR="00071C0F" w:rsidRPr="006070EA">
              <w:rPr>
                <w:rFonts w:asciiTheme="majorHAnsi" w:hAnsiTheme="majorHAnsi" w:cstheme="majorHAnsi"/>
                <w:sz w:val="18"/>
                <w:szCs w:val="18"/>
              </w:rPr>
              <w:t>.</w:t>
            </w:r>
            <w:r w:rsidRPr="006070EA">
              <w:rPr>
                <w:rFonts w:asciiTheme="majorHAnsi" w:hAnsiTheme="majorHAnsi" w:cstheme="majorHAnsi"/>
                <w:sz w:val="18"/>
                <w:szCs w:val="18"/>
              </w:rPr>
              <w:t>02 a K</w:t>
            </w:r>
            <w:r w:rsidR="00071C0F" w:rsidRPr="006070EA">
              <w:rPr>
                <w:rFonts w:asciiTheme="majorHAnsi" w:hAnsiTheme="majorHAnsi" w:cstheme="majorHAnsi"/>
                <w:sz w:val="18"/>
                <w:szCs w:val="18"/>
              </w:rPr>
              <w:t>.</w:t>
            </w:r>
            <w:r w:rsidRPr="006070EA">
              <w:rPr>
                <w:rFonts w:asciiTheme="majorHAnsi" w:hAnsiTheme="majorHAnsi" w:cstheme="majorHAnsi"/>
                <w:sz w:val="18"/>
                <w:szCs w:val="18"/>
              </w:rPr>
              <w:t>03</w:t>
            </w:r>
          </w:p>
        </w:tc>
      </w:tr>
      <w:tr w:rsidR="00126823" w:rsidRPr="006070EA" w14:paraId="5465ECC4" w14:textId="77777777" w:rsidTr="0052660A">
        <w:trPr>
          <w:cantSplit/>
          <w:jc w:val="center"/>
        </w:trPr>
        <w:tc>
          <w:tcPr>
            <w:tcW w:w="1417" w:type="dxa"/>
            <w:vAlign w:val="center"/>
          </w:tcPr>
          <w:p w14:paraId="7EA24C7A" w14:textId="0F8EE69D" w:rsidR="00126823" w:rsidRPr="006070EA" w:rsidRDefault="00126823" w:rsidP="00126823">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t>L</w:t>
            </w:r>
            <w:r w:rsidR="00071C0F" w:rsidRPr="006070EA">
              <w:rPr>
                <w:rFonts w:asciiTheme="majorHAnsi" w:hAnsiTheme="majorHAnsi" w:cstheme="majorHAnsi"/>
                <w:b/>
                <w:sz w:val="18"/>
                <w:szCs w:val="18"/>
              </w:rPr>
              <w:t>B</w:t>
            </w:r>
            <w:r w:rsidRPr="006070EA">
              <w:rPr>
                <w:rFonts w:asciiTheme="majorHAnsi" w:hAnsiTheme="majorHAnsi" w:cstheme="majorHAnsi"/>
                <w:b/>
                <w:sz w:val="18"/>
                <w:szCs w:val="18"/>
              </w:rPr>
              <w:t>C</w:t>
            </w:r>
            <w:r w:rsidR="00071C0F" w:rsidRPr="006070EA">
              <w:rPr>
                <w:rFonts w:asciiTheme="majorHAnsi" w:hAnsiTheme="majorHAnsi" w:cstheme="majorHAnsi"/>
                <w:b/>
                <w:sz w:val="18"/>
                <w:szCs w:val="18"/>
              </w:rPr>
              <w:t>.</w:t>
            </w:r>
            <w:r w:rsidRPr="006070EA">
              <w:rPr>
                <w:rFonts w:asciiTheme="majorHAnsi" w:hAnsiTheme="majorHAnsi" w:cstheme="majorHAnsi"/>
                <w:b/>
                <w:sz w:val="18"/>
                <w:szCs w:val="18"/>
              </w:rPr>
              <w:t>2 Na spraši</w:t>
            </w:r>
          </w:p>
        </w:tc>
        <w:tc>
          <w:tcPr>
            <w:tcW w:w="1417" w:type="dxa"/>
            <w:vAlign w:val="center"/>
          </w:tcPr>
          <w:p w14:paraId="335CD324" w14:textId="0FE4E50E" w:rsidR="00126823" w:rsidRPr="006070EA" w:rsidRDefault="00126823" w:rsidP="00126823">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Rozloha: 6,9 ha</w:t>
            </w:r>
          </w:p>
        </w:tc>
        <w:tc>
          <w:tcPr>
            <w:tcW w:w="1134" w:type="dxa"/>
            <w:vAlign w:val="center"/>
          </w:tcPr>
          <w:p w14:paraId="0B1CD86F" w14:textId="50DEE8D1" w:rsidR="00126823" w:rsidRPr="006070EA" w:rsidRDefault="00126823" w:rsidP="00126823">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Částečně funkční</w:t>
            </w:r>
          </w:p>
        </w:tc>
        <w:tc>
          <w:tcPr>
            <w:tcW w:w="5102" w:type="dxa"/>
            <w:vAlign w:val="center"/>
          </w:tcPr>
          <w:p w14:paraId="58E1CDC3"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dvě plochy lesíka u Hronětického náhonu a lada mezi nimi, západně od sídla Lány.</w:t>
            </w:r>
          </w:p>
          <w:p w14:paraId="699FA766"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sz w:val="18"/>
                <w:szCs w:val="18"/>
              </w:rPr>
              <w:t>2x degradovaný ruderální porost listnatého lesa podle malého pravostranného přítoku a mezi nimi zarostlá postagrární lada.</w:t>
            </w:r>
          </w:p>
          <w:p w14:paraId="2CE5F409"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Cílový stav</w:t>
            </w:r>
            <w:r w:rsidRPr="006070EA">
              <w:rPr>
                <w:rFonts w:asciiTheme="majorHAnsi" w:hAnsiTheme="majorHAnsi" w:cstheme="majorHAnsi"/>
                <w:sz w:val="18"/>
                <w:szCs w:val="18"/>
              </w:rPr>
              <w:t>: listnatý nivní lesík s přirozenými dřevinami a loukou podle břehového porostu.</w:t>
            </w:r>
          </w:p>
          <w:p w14:paraId="0CCFBA0A"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Dřeviny a křoviny</w:t>
            </w:r>
            <w:r w:rsidRPr="006070EA">
              <w:rPr>
                <w:rFonts w:asciiTheme="majorHAnsi" w:hAnsiTheme="majorHAnsi" w:cstheme="majorHAnsi"/>
                <w:sz w:val="18"/>
                <w:szCs w:val="18"/>
              </w:rPr>
              <w:t>: JSZ, TPH, VRK, BRB, OLL, bzč, osk</w:t>
            </w:r>
          </w:p>
          <w:p w14:paraId="1820D106"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Byliny</w:t>
            </w:r>
            <w:r w:rsidRPr="006070EA">
              <w:rPr>
                <w:rFonts w:asciiTheme="majorHAnsi" w:hAnsiTheme="majorHAnsi" w:cstheme="majorHAnsi"/>
                <w:sz w:val="18"/>
                <w:szCs w:val="18"/>
              </w:rPr>
              <w:t>: chmel otáčivý, kopřiva dvoudomá, hluchavka bílá, kostival lékařský, bolševník obecný, pcháč zelinný, kuklík městský, svízel přítula, lopuchu menší</w:t>
            </w:r>
          </w:p>
          <w:p w14:paraId="3DFFA048"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Fyziotyp</w:t>
            </w:r>
            <w:r w:rsidRPr="006070EA">
              <w:rPr>
                <w:rFonts w:asciiTheme="majorHAnsi" w:hAnsiTheme="majorHAnsi" w:cstheme="majorHAnsi"/>
                <w:sz w:val="18"/>
                <w:szCs w:val="18"/>
              </w:rPr>
              <w:t>: VO, RU, LO</w:t>
            </w:r>
          </w:p>
          <w:p w14:paraId="12B4C07A"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smýcení porostů, další sukcese nevhodných rostlin.</w:t>
            </w:r>
          </w:p>
          <w:p w14:paraId="3B48C563"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Návrh opatření</w:t>
            </w:r>
            <w:r w:rsidRPr="006070EA">
              <w:rPr>
                <w:rFonts w:asciiTheme="majorHAnsi" w:hAnsiTheme="majorHAnsi" w:cstheme="majorHAnsi"/>
                <w:sz w:val="18"/>
                <w:szCs w:val="18"/>
              </w:rPr>
              <w:t xml:space="preserve">: provést zásah do lesních porostů, provést opatření shodná s LHP a dodržet je (mýtní doba, obnovní doba, obnovní cíl), upravit přilehlou ladu a louku a dosázet dřeviny a křoviny tak, aby se lokalita uzavřela. </w:t>
            </w:r>
          </w:p>
          <w:p w14:paraId="7D161D10" w14:textId="71C9423A" w:rsidR="00126823" w:rsidRPr="006070EA" w:rsidRDefault="00126823" w:rsidP="00126823">
            <w:pPr>
              <w:widowControl w:val="0"/>
              <w:spacing w:after="60"/>
              <w:rPr>
                <w:rFonts w:asciiTheme="majorHAnsi" w:hAnsiTheme="majorHAnsi" w:cstheme="majorHAnsi"/>
                <w:color w:val="FF0000"/>
                <w:sz w:val="18"/>
                <w:szCs w:val="18"/>
              </w:rPr>
            </w:pPr>
            <w:r w:rsidRPr="006070EA">
              <w:rPr>
                <w:rFonts w:asciiTheme="majorHAnsi" w:hAnsiTheme="majorHAnsi" w:cstheme="majorHAnsi"/>
                <w:sz w:val="18"/>
                <w:szCs w:val="18"/>
              </w:rPr>
              <w:t xml:space="preserve">Pro zajištění funkčnosti biocentra jsou vymezeny plochy změn v krajině K04 a K05. </w:t>
            </w:r>
          </w:p>
        </w:tc>
      </w:tr>
      <w:tr w:rsidR="00126823" w:rsidRPr="006070EA" w14:paraId="08623502" w14:textId="77777777" w:rsidTr="00EE0D40">
        <w:trPr>
          <w:cantSplit/>
          <w:jc w:val="center"/>
        </w:trPr>
        <w:tc>
          <w:tcPr>
            <w:tcW w:w="1417" w:type="dxa"/>
            <w:vAlign w:val="center"/>
          </w:tcPr>
          <w:p w14:paraId="5711A22A" w14:textId="3FDFA3A4" w:rsidR="00126823" w:rsidRPr="006070EA" w:rsidRDefault="00126823" w:rsidP="00126823">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t>L</w:t>
            </w:r>
            <w:r w:rsidR="00071C0F" w:rsidRPr="006070EA">
              <w:rPr>
                <w:rFonts w:asciiTheme="majorHAnsi" w:hAnsiTheme="majorHAnsi" w:cstheme="majorHAnsi"/>
                <w:b/>
                <w:sz w:val="18"/>
                <w:szCs w:val="18"/>
              </w:rPr>
              <w:t>B</w:t>
            </w:r>
            <w:r w:rsidRPr="006070EA">
              <w:rPr>
                <w:rFonts w:asciiTheme="majorHAnsi" w:hAnsiTheme="majorHAnsi" w:cstheme="majorHAnsi"/>
                <w:b/>
                <w:sz w:val="18"/>
                <w:szCs w:val="18"/>
              </w:rPr>
              <w:t>C</w:t>
            </w:r>
            <w:r w:rsidR="00071C0F" w:rsidRPr="006070EA">
              <w:rPr>
                <w:rFonts w:asciiTheme="majorHAnsi" w:hAnsiTheme="majorHAnsi" w:cstheme="majorHAnsi"/>
                <w:b/>
                <w:sz w:val="18"/>
                <w:szCs w:val="18"/>
              </w:rPr>
              <w:t>.</w:t>
            </w:r>
            <w:r w:rsidRPr="006070EA">
              <w:rPr>
                <w:rFonts w:asciiTheme="majorHAnsi" w:hAnsiTheme="majorHAnsi" w:cstheme="majorHAnsi"/>
                <w:b/>
                <w:sz w:val="18"/>
                <w:szCs w:val="18"/>
              </w:rPr>
              <w:t>3 Na bahnech</w:t>
            </w:r>
          </w:p>
        </w:tc>
        <w:tc>
          <w:tcPr>
            <w:tcW w:w="1417" w:type="dxa"/>
            <w:vAlign w:val="center"/>
          </w:tcPr>
          <w:p w14:paraId="5A870A7C" w14:textId="5B340B33" w:rsidR="00126823" w:rsidRPr="006070EA" w:rsidRDefault="00126823" w:rsidP="00126823">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Rozloha v řešeném území: 5,2 ha</w:t>
            </w:r>
          </w:p>
        </w:tc>
        <w:tc>
          <w:tcPr>
            <w:tcW w:w="1134" w:type="dxa"/>
            <w:vAlign w:val="center"/>
          </w:tcPr>
          <w:p w14:paraId="09AA201A" w14:textId="77777777" w:rsidR="00126823" w:rsidRPr="006070EA" w:rsidRDefault="00126823" w:rsidP="00126823">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Funkční</w:t>
            </w:r>
          </w:p>
        </w:tc>
        <w:tc>
          <w:tcPr>
            <w:tcW w:w="5102" w:type="dxa"/>
            <w:vAlign w:val="center"/>
          </w:tcPr>
          <w:p w14:paraId="0457DF1A"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trvalý travní porost, pole a doprovodný porost Vlkavy a Hronětického náhonu, biocentrum zahrne i část okolních polí.</w:t>
            </w:r>
          </w:p>
          <w:p w14:paraId="3A169A93"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sz w:val="18"/>
                <w:szCs w:val="18"/>
              </w:rPr>
              <w:t>Listnatý degradovaný nepůvodní porost, vodní tok s doprovodnými křovinami.</w:t>
            </w:r>
          </w:p>
          <w:p w14:paraId="1034C0BD"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Geobiocenologická typizace</w:t>
            </w:r>
            <w:r w:rsidRPr="006070EA">
              <w:rPr>
                <w:rFonts w:asciiTheme="majorHAnsi" w:hAnsiTheme="majorHAnsi" w:cstheme="majorHAnsi"/>
                <w:sz w:val="18"/>
                <w:szCs w:val="18"/>
              </w:rPr>
              <w:t>: 1BC3</w:t>
            </w:r>
          </w:p>
          <w:p w14:paraId="52D2C323"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Cílový stav</w:t>
            </w:r>
            <w:r w:rsidRPr="006070EA">
              <w:rPr>
                <w:rFonts w:asciiTheme="majorHAnsi" w:hAnsiTheme="majorHAnsi" w:cstheme="majorHAnsi"/>
                <w:sz w:val="18"/>
                <w:szCs w:val="18"/>
              </w:rPr>
              <w:t>: lesní remíz s převahou přirozených dřevin, doprovodný kvalitní porost u vodních toků a malá nárazová louka</w:t>
            </w:r>
          </w:p>
          <w:p w14:paraId="7A95038E" w14:textId="77777777"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vymýcení porostu, změna vedení toků</w:t>
            </w:r>
          </w:p>
          <w:p w14:paraId="104D8133" w14:textId="41B669BA" w:rsidR="00126823" w:rsidRPr="006070EA" w:rsidRDefault="00126823" w:rsidP="00126823">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Návrh opatření</w:t>
            </w:r>
            <w:r w:rsidRPr="006070EA">
              <w:rPr>
                <w:rFonts w:asciiTheme="majorHAnsi" w:hAnsiTheme="majorHAnsi" w:cstheme="majorHAnsi"/>
                <w:sz w:val="18"/>
                <w:szCs w:val="18"/>
              </w:rPr>
              <w:t>: dosadit do lokality postupně místní dřeviny, provést opatření uvedené v LHP a dodržet je (mýtní doba, obnovní doba, obnovní cíl), pročistit doprovodný porost, vytvořit nárazovou louku mezi polem a vodními toky</w:t>
            </w:r>
          </w:p>
        </w:tc>
      </w:tr>
      <w:tr w:rsidR="00342F2C" w:rsidRPr="006070EA" w14:paraId="202C4242" w14:textId="77777777" w:rsidTr="00C66FB4">
        <w:trPr>
          <w:cantSplit/>
          <w:jc w:val="center"/>
        </w:trPr>
        <w:tc>
          <w:tcPr>
            <w:tcW w:w="1417" w:type="dxa"/>
            <w:vAlign w:val="center"/>
          </w:tcPr>
          <w:p w14:paraId="7CD0E7A8" w14:textId="48602CF9" w:rsidR="00342F2C" w:rsidRPr="006070EA" w:rsidRDefault="00342F2C" w:rsidP="008C51C8">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lastRenderedPageBreak/>
              <w:t>LC 4 Vápensko</w:t>
            </w:r>
          </w:p>
        </w:tc>
        <w:tc>
          <w:tcPr>
            <w:tcW w:w="1417" w:type="dxa"/>
            <w:vAlign w:val="center"/>
          </w:tcPr>
          <w:p w14:paraId="75540C9E" w14:textId="22586881" w:rsidR="00342F2C" w:rsidRPr="006070EA" w:rsidRDefault="00342F2C" w:rsidP="008C51C8">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Rozloha v řešeném území: 2,9 ha</w:t>
            </w:r>
          </w:p>
        </w:tc>
        <w:tc>
          <w:tcPr>
            <w:tcW w:w="1134" w:type="dxa"/>
            <w:vAlign w:val="center"/>
          </w:tcPr>
          <w:p w14:paraId="3474FB84" w14:textId="77777777" w:rsidR="00342F2C" w:rsidRPr="006070EA" w:rsidRDefault="00342F2C" w:rsidP="008C51C8">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Funkční</w:t>
            </w:r>
          </w:p>
        </w:tc>
        <w:tc>
          <w:tcPr>
            <w:tcW w:w="5102" w:type="dxa"/>
            <w:vAlign w:val="center"/>
          </w:tcPr>
          <w:p w14:paraId="1DA99DF2" w14:textId="77777777" w:rsidR="00342F2C" w:rsidRPr="006070EA" w:rsidRDefault="00342F2C" w:rsidP="008C51C8">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lužní biocentrum s kombinací mokřadů, rákosin, rybníčků a doprovodných lesních porostů.</w:t>
            </w:r>
          </w:p>
          <w:p w14:paraId="0F1CFBBF" w14:textId="77777777" w:rsidR="00342F2C" w:rsidRPr="006070EA" w:rsidRDefault="00342F2C" w:rsidP="008C51C8">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Cílový stav</w:t>
            </w:r>
            <w:r w:rsidRPr="006070EA">
              <w:rPr>
                <w:rFonts w:asciiTheme="majorHAnsi" w:hAnsiTheme="majorHAnsi" w:cstheme="majorHAnsi"/>
                <w:sz w:val="18"/>
                <w:szCs w:val="18"/>
              </w:rPr>
              <w:t>: odpovídá stávajícímu stavu.</w:t>
            </w:r>
          </w:p>
          <w:p w14:paraId="65F29604" w14:textId="69B7846E" w:rsidR="00342F2C" w:rsidRPr="006070EA" w:rsidRDefault="00342F2C" w:rsidP="008C51C8">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vymýcení porostů, znečištění vodních ploch</w:t>
            </w:r>
          </w:p>
          <w:p w14:paraId="70203F60" w14:textId="26720A2C" w:rsidR="00342F2C" w:rsidRPr="006070EA" w:rsidRDefault="00342F2C" w:rsidP="008C51C8">
            <w:pPr>
              <w:widowControl w:val="0"/>
              <w:autoSpaceDE w:val="0"/>
              <w:autoSpaceDN w:val="0"/>
              <w:adjustRightInd w:val="0"/>
              <w:rPr>
                <w:rFonts w:asciiTheme="majorHAnsi" w:hAnsiTheme="majorHAnsi" w:cstheme="majorHAnsi"/>
                <w:sz w:val="18"/>
                <w:szCs w:val="18"/>
              </w:rPr>
            </w:pPr>
            <w:r w:rsidRPr="006070EA">
              <w:rPr>
                <w:rFonts w:asciiTheme="majorHAnsi" w:hAnsiTheme="majorHAnsi" w:cstheme="majorHAnsi"/>
                <w:i/>
                <w:iCs/>
                <w:sz w:val="18"/>
                <w:szCs w:val="18"/>
              </w:rPr>
              <w:t>Návrh opatření</w:t>
            </w:r>
            <w:r w:rsidRPr="006070EA">
              <w:rPr>
                <w:rFonts w:asciiTheme="majorHAnsi" w:hAnsiTheme="majorHAnsi" w:cstheme="majorHAnsi"/>
                <w:sz w:val="18"/>
                <w:szCs w:val="18"/>
              </w:rPr>
              <w:t>: dosadit do lokality postupně místní dřeviny (luhy a olšiny, borové doubravy, dubo-habrové háje a subxerofilní doubravy). Doprovodné porosty prořezávat a udržet přirozenou dřevinnou skladbu.</w:t>
            </w:r>
          </w:p>
        </w:tc>
      </w:tr>
      <w:tr w:rsidR="00B158F2" w:rsidRPr="006070EA" w14:paraId="5BE2E36A" w14:textId="77777777" w:rsidTr="00DA21D4">
        <w:trPr>
          <w:cantSplit/>
          <w:trHeight w:val="283"/>
          <w:jc w:val="center"/>
        </w:trPr>
        <w:tc>
          <w:tcPr>
            <w:tcW w:w="9070" w:type="dxa"/>
            <w:gridSpan w:val="4"/>
            <w:tcBorders>
              <w:top w:val="single" w:sz="12" w:space="0" w:color="auto"/>
              <w:bottom w:val="single" w:sz="12" w:space="0" w:color="auto"/>
            </w:tcBorders>
            <w:vAlign w:val="center"/>
          </w:tcPr>
          <w:p w14:paraId="2DE5971C" w14:textId="77777777" w:rsidR="00DA21D4" w:rsidRPr="006070EA" w:rsidRDefault="00DA21D4" w:rsidP="00322BBA">
            <w:pPr>
              <w:keepNext/>
              <w:widowControl w:val="0"/>
              <w:autoSpaceDE w:val="0"/>
              <w:autoSpaceDN w:val="0"/>
              <w:adjustRightInd w:val="0"/>
              <w:jc w:val="center"/>
              <w:rPr>
                <w:rFonts w:asciiTheme="majorHAnsi" w:hAnsiTheme="majorHAnsi" w:cstheme="majorHAnsi"/>
                <w:b/>
                <w:sz w:val="18"/>
                <w:szCs w:val="18"/>
              </w:rPr>
            </w:pPr>
            <w:r w:rsidRPr="006070EA">
              <w:rPr>
                <w:rFonts w:asciiTheme="majorHAnsi" w:hAnsiTheme="majorHAnsi" w:cstheme="majorHAnsi"/>
                <w:b/>
                <w:sz w:val="18"/>
                <w:szCs w:val="18"/>
              </w:rPr>
              <w:t>LOKÁLNÍ BIOKORIDOR</w:t>
            </w:r>
            <w:r w:rsidR="00E855CD" w:rsidRPr="006070EA">
              <w:rPr>
                <w:rFonts w:asciiTheme="majorHAnsi" w:hAnsiTheme="majorHAnsi" w:cstheme="majorHAnsi"/>
                <w:b/>
                <w:sz w:val="18"/>
                <w:szCs w:val="18"/>
              </w:rPr>
              <w:t>Y</w:t>
            </w:r>
          </w:p>
        </w:tc>
      </w:tr>
      <w:tr w:rsidR="004F6877" w:rsidRPr="006070EA" w14:paraId="5266A158" w14:textId="77777777" w:rsidTr="000954C4">
        <w:trPr>
          <w:cantSplit/>
          <w:jc w:val="center"/>
        </w:trPr>
        <w:tc>
          <w:tcPr>
            <w:tcW w:w="1417" w:type="dxa"/>
            <w:tcBorders>
              <w:top w:val="single" w:sz="12" w:space="0" w:color="auto"/>
            </w:tcBorders>
            <w:vAlign w:val="center"/>
          </w:tcPr>
          <w:p w14:paraId="2A3B35F9" w14:textId="28C022CD" w:rsidR="004F6877" w:rsidRPr="006070EA" w:rsidRDefault="004F6877" w:rsidP="00677F4B">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t>L</w:t>
            </w:r>
            <w:r w:rsidR="00071C0F" w:rsidRPr="006070EA">
              <w:rPr>
                <w:rFonts w:asciiTheme="majorHAnsi" w:hAnsiTheme="majorHAnsi" w:cstheme="majorHAnsi"/>
                <w:b/>
                <w:sz w:val="18"/>
                <w:szCs w:val="18"/>
              </w:rPr>
              <w:t>B</w:t>
            </w:r>
            <w:r w:rsidRPr="006070EA">
              <w:rPr>
                <w:rFonts w:asciiTheme="majorHAnsi" w:hAnsiTheme="majorHAnsi" w:cstheme="majorHAnsi"/>
                <w:b/>
                <w:sz w:val="18"/>
                <w:szCs w:val="18"/>
              </w:rPr>
              <w:t>K</w:t>
            </w:r>
            <w:r w:rsidR="00071C0F" w:rsidRPr="006070EA">
              <w:rPr>
                <w:rFonts w:asciiTheme="majorHAnsi" w:hAnsiTheme="majorHAnsi" w:cstheme="majorHAnsi"/>
                <w:b/>
                <w:sz w:val="18"/>
                <w:szCs w:val="18"/>
              </w:rPr>
              <w:t>.</w:t>
            </w:r>
            <w:r w:rsidRPr="006070EA">
              <w:rPr>
                <w:rFonts w:asciiTheme="majorHAnsi" w:hAnsiTheme="majorHAnsi" w:cstheme="majorHAnsi"/>
                <w:b/>
                <w:sz w:val="18"/>
                <w:szCs w:val="18"/>
              </w:rPr>
              <w:t>1 Vlkava/Hluboký příkop</w:t>
            </w:r>
          </w:p>
        </w:tc>
        <w:tc>
          <w:tcPr>
            <w:tcW w:w="1417" w:type="dxa"/>
            <w:tcBorders>
              <w:top w:val="single" w:sz="12" w:space="0" w:color="auto"/>
            </w:tcBorders>
            <w:vAlign w:val="center"/>
          </w:tcPr>
          <w:p w14:paraId="3C924A7A" w14:textId="77777777" w:rsidR="004F6877" w:rsidRPr="006070EA" w:rsidRDefault="004F6877" w:rsidP="00616F2B">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Průměrná šířka: 50 m</w:t>
            </w:r>
          </w:p>
          <w:p w14:paraId="53400CED" w14:textId="54851570" w:rsidR="004F6877" w:rsidRPr="006070EA" w:rsidRDefault="004F6877" w:rsidP="00616F2B">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Délka: 4 km</w:t>
            </w:r>
          </w:p>
        </w:tc>
        <w:tc>
          <w:tcPr>
            <w:tcW w:w="1134" w:type="dxa"/>
            <w:tcBorders>
              <w:top w:val="single" w:sz="12" w:space="0" w:color="auto"/>
            </w:tcBorders>
            <w:vAlign w:val="center"/>
          </w:tcPr>
          <w:p w14:paraId="5B3CBB6F" w14:textId="77777777" w:rsidR="004F6877" w:rsidRPr="006070EA" w:rsidRDefault="004F6877" w:rsidP="00616F2B">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funkční</w:t>
            </w:r>
          </w:p>
        </w:tc>
        <w:tc>
          <w:tcPr>
            <w:tcW w:w="5102" w:type="dxa"/>
            <w:tcBorders>
              <w:top w:val="single" w:sz="12" w:space="0" w:color="auto"/>
            </w:tcBorders>
            <w:vAlign w:val="center"/>
          </w:tcPr>
          <w:p w14:paraId="2F830FB0" w14:textId="77777777"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xml:space="preserve">: lokální biokoridor podle toku Hlubokého příkopu (v jižní části podél Vlkavy) v jeho doprovodných společenstvech směrem na SV z Mydlovarského luhu odkud vychází a vede pod Kostomlaty dále (v zastavěném území Kostomlat nad Labem je biokoridor zúžen, místy až na koryto vodního toku). </w:t>
            </w:r>
          </w:p>
          <w:p w14:paraId="51FD94CC" w14:textId="37EA7324"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sz w:val="18"/>
                <w:szCs w:val="18"/>
              </w:rPr>
              <w:t>Spojuje regionální biocentrum R</w:t>
            </w:r>
            <w:r w:rsidR="006C7149" w:rsidRPr="006070EA">
              <w:rPr>
                <w:rFonts w:asciiTheme="majorHAnsi" w:hAnsiTheme="majorHAnsi" w:cstheme="majorHAnsi"/>
                <w:sz w:val="18"/>
                <w:szCs w:val="18"/>
              </w:rPr>
              <w:t>B</w:t>
            </w:r>
            <w:r w:rsidRPr="006070EA">
              <w:rPr>
                <w:rFonts w:asciiTheme="majorHAnsi" w:hAnsiTheme="majorHAnsi" w:cstheme="majorHAnsi"/>
                <w:sz w:val="18"/>
                <w:szCs w:val="18"/>
              </w:rPr>
              <w:t>C</w:t>
            </w:r>
            <w:r w:rsidR="006C7149" w:rsidRPr="006070EA">
              <w:rPr>
                <w:rFonts w:asciiTheme="majorHAnsi" w:hAnsiTheme="majorHAnsi" w:cstheme="majorHAnsi"/>
                <w:sz w:val="18"/>
                <w:szCs w:val="18"/>
              </w:rPr>
              <w:t>.</w:t>
            </w:r>
            <w:r w:rsidRPr="006070EA">
              <w:rPr>
                <w:rFonts w:asciiTheme="majorHAnsi" w:hAnsiTheme="majorHAnsi" w:cstheme="majorHAnsi"/>
                <w:sz w:val="18"/>
                <w:szCs w:val="18"/>
              </w:rPr>
              <w:t>349 a lokální biocentrum L</w:t>
            </w:r>
            <w:r w:rsidR="006C7149" w:rsidRPr="006070EA">
              <w:rPr>
                <w:rFonts w:asciiTheme="majorHAnsi" w:hAnsiTheme="majorHAnsi" w:cstheme="majorHAnsi"/>
                <w:sz w:val="18"/>
                <w:szCs w:val="18"/>
              </w:rPr>
              <w:t>B</w:t>
            </w:r>
            <w:r w:rsidRPr="006070EA">
              <w:rPr>
                <w:rFonts w:asciiTheme="majorHAnsi" w:hAnsiTheme="majorHAnsi" w:cstheme="majorHAnsi"/>
                <w:sz w:val="18"/>
                <w:szCs w:val="18"/>
              </w:rPr>
              <w:t>C</w:t>
            </w:r>
            <w:r w:rsidR="006C7149" w:rsidRPr="006070EA">
              <w:rPr>
                <w:rFonts w:asciiTheme="majorHAnsi" w:hAnsiTheme="majorHAnsi" w:cstheme="majorHAnsi"/>
                <w:sz w:val="18"/>
                <w:szCs w:val="18"/>
              </w:rPr>
              <w:t>.</w:t>
            </w:r>
            <w:r w:rsidRPr="006070EA">
              <w:rPr>
                <w:rFonts w:asciiTheme="majorHAnsi" w:hAnsiTheme="majorHAnsi" w:cstheme="majorHAnsi"/>
                <w:sz w:val="18"/>
                <w:szCs w:val="18"/>
              </w:rPr>
              <w:t>1. K biocentrum L</w:t>
            </w:r>
            <w:r w:rsidR="006C7149" w:rsidRPr="006070EA">
              <w:rPr>
                <w:rFonts w:asciiTheme="majorHAnsi" w:hAnsiTheme="majorHAnsi" w:cstheme="majorHAnsi"/>
                <w:sz w:val="18"/>
                <w:szCs w:val="18"/>
              </w:rPr>
              <w:t>B</w:t>
            </w:r>
            <w:r w:rsidRPr="006070EA">
              <w:rPr>
                <w:rFonts w:asciiTheme="majorHAnsi" w:hAnsiTheme="majorHAnsi" w:cstheme="majorHAnsi"/>
                <w:sz w:val="18"/>
                <w:szCs w:val="18"/>
              </w:rPr>
              <w:t>C</w:t>
            </w:r>
            <w:r w:rsidR="006C7149" w:rsidRPr="006070EA">
              <w:rPr>
                <w:rFonts w:asciiTheme="majorHAnsi" w:hAnsiTheme="majorHAnsi" w:cstheme="majorHAnsi"/>
                <w:sz w:val="18"/>
                <w:szCs w:val="18"/>
              </w:rPr>
              <w:t>.</w:t>
            </w:r>
            <w:r w:rsidRPr="006070EA">
              <w:rPr>
                <w:rFonts w:asciiTheme="majorHAnsi" w:hAnsiTheme="majorHAnsi" w:cstheme="majorHAnsi"/>
                <w:sz w:val="18"/>
                <w:szCs w:val="18"/>
              </w:rPr>
              <w:t>1 přichází mezi poli podle soustavy struh a kanálů pod Kamenným Zbožím, dále směřuje po mezích u Drahelic k Labi do nadregionálního biokoridoru (NRBK).</w:t>
            </w:r>
          </w:p>
          <w:p w14:paraId="0842495A" w14:textId="77777777"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sz w:val="18"/>
                <w:szCs w:val="18"/>
              </w:rPr>
              <w:t>Tok je hustě doprovázen nepoůvodním pobřežním porostem, a to většinou polokulturním. Částečně degradovaný porost zemědělskou činností, kvalita vody je dobrá</w:t>
            </w:r>
          </w:p>
          <w:p w14:paraId="7204C31B" w14:textId="77777777" w:rsidR="004F6877" w:rsidRPr="006070EA" w:rsidRDefault="004F6877" w:rsidP="00600476">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Geobiocenologická typizace</w:t>
            </w:r>
            <w:r w:rsidRPr="006070EA">
              <w:rPr>
                <w:rFonts w:asciiTheme="majorHAnsi" w:hAnsiTheme="majorHAnsi" w:cstheme="majorHAnsi"/>
                <w:sz w:val="18"/>
                <w:szCs w:val="18"/>
              </w:rPr>
              <w:t>: 1BC3, 1B3, 1BD3, 1B2</w:t>
            </w:r>
          </w:p>
          <w:p w14:paraId="3BBDD29A" w14:textId="77777777"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Cílový stav</w:t>
            </w:r>
            <w:r w:rsidRPr="006070EA">
              <w:rPr>
                <w:rFonts w:asciiTheme="majorHAnsi" w:hAnsiTheme="majorHAnsi" w:cstheme="majorHAnsi"/>
                <w:sz w:val="18"/>
                <w:szCs w:val="18"/>
              </w:rPr>
              <w:t>: zapojený přirozený pobřežní porost podle toku v celé délce a dále podle revitalizovaných melioračních struh a kanálů.</w:t>
            </w:r>
          </w:p>
          <w:p w14:paraId="7C453815" w14:textId="77777777"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Dřeviny a křoviny</w:t>
            </w:r>
            <w:r w:rsidRPr="006070EA">
              <w:rPr>
                <w:rFonts w:asciiTheme="majorHAnsi" w:hAnsiTheme="majorHAnsi" w:cstheme="majorHAnsi"/>
                <w:sz w:val="18"/>
                <w:szCs w:val="18"/>
              </w:rPr>
              <w:t>: bzč, ržpo, tro, TRS, JAD, BRB, TPH, vru</w:t>
            </w:r>
          </w:p>
          <w:p w14:paraId="06856B2E" w14:textId="77777777"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Byliny</w:t>
            </w:r>
            <w:r w:rsidRPr="006070EA">
              <w:rPr>
                <w:rFonts w:asciiTheme="majorHAnsi" w:hAnsiTheme="majorHAnsi" w:cstheme="majorHAnsi"/>
                <w:sz w:val="18"/>
                <w:szCs w:val="18"/>
              </w:rPr>
              <w:t>: rákos obecný, bolševník obecný, lopuch menší, více druhů svízele, kopřiva dvoudomá, pcháč zelinný, bršlice kozí noha, kakost smrdutý.</w:t>
            </w:r>
          </w:p>
          <w:p w14:paraId="476D6667" w14:textId="77777777"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Fyziotyp</w:t>
            </w:r>
            <w:r w:rsidRPr="006070EA">
              <w:rPr>
                <w:rFonts w:asciiTheme="majorHAnsi" w:hAnsiTheme="majorHAnsi" w:cstheme="majorHAnsi"/>
                <w:sz w:val="18"/>
                <w:szCs w:val="18"/>
              </w:rPr>
              <w:t>: KR, VO, SE</w:t>
            </w:r>
          </w:p>
          <w:p w14:paraId="4AFE5B14" w14:textId="77777777"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zemědělská činnost, úpravy toku</w:t>
            </w:r>
          </w:p>
          <w:p w14:paraId="55590020" w14:textId="1AF8EA0E" w:rsidR="004F6877" w:rsidRPr="006070EA" w:rsidRDefault="004F6877" w:rsidP="00616F2B">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Návrh opatření</w:t>
            </w:r>
            <w:r w:rsidRPr="006070EA">
              <w:rPr>
                <w:rFonts w:asciiTheme="majorHAnsi" w:hAnsiTheme="majorHAnsi" w:cstheme="majorHAnsi"/>
                <w:sz w:val="18"/>
                <w:szCs w:val="18"/>
              </w:rPr>
              <w:t xml:space="preserve">: dosadba místních přirozených dřevin a křovin, revitalizace toku a okolí, revitalizace a znovu zavedení struh </w:t>
            </w:r>
          </w:p>
        </w:tc>
      </w:tr>
      <w:tr w:rsidR="00A91646" w:rsidRPr="006070EA" w14:paraId="0F9EDD76" w14:textId="77777777" w:rsidTr="003A7D3E">
        <w:trPr>
          <w:cantSplit/>
          <w:jc w:val="center"/>
        </w:trPr>
        <w:tc>
          <w:tcPr>
            <w:tcW w:w="1417" w:type="dxa"/>
            <w:vAlign w:val="center"/>
          </w:tcPr>
          <w:p w14:paraId="46487F04" w14:textId="128C06D5" w:rsidR="00A91646" w:rsidRPr="006070EA" w:rsidRDefault="00A91646" w:rsidP="00616F2B">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lastRenderedPageBreak/>
              <w:t>L</w:t>
            </w:r>
            <w:r w:rsidR="006C7149" w:rsidRPr="006070EA">
              <w:rPr>
                <w:rFonts w:asciiTheme="majorHAnsi" w:hAnsiTheme="majorHAnsi" w:cstheme="majorHAnsi"/>
                <w:b/>
                <w:sz w:val="18"/>
                <w:szCs w:val="18"/>
              </w:rPr>
              <w:t>B</w:t>
            </w:r>
            <w:r w:rsidRPr="006070EA">
              <w:rPr>
                <w:rFonts w:asciiTheme="majorHAnsi" w:hAnsiTheme="majorHAnsi" w:cstheme="majorHAnsi"/>
                <w:b/>
                <w:sz w:val="18"/>
                <w:szCs w:val="18"/>
              </w:rPr>
              <w:t>K</w:t>
            </w:r>
            <w:r w:rsidR="006C7149" w:rsidRPr="006070EA">
              <w:rPr>
                <w:rFonts w:asciiTheme="majorHAnsi" w:hAnsiTheme="majorHAnsi" w:cstheme="majorHAnsi"/>
                <w:b/>
                <w:sz w:val="18"/>
                <w:szCs w:val="18"/>
              </w:rPr>
              <w:t>.</w:t>
            </w:r>
            <w:r w:rsidRPr="006070EA">
              <w:rPr>
                <w:rFonts w:asciiTheme="majorHAnsi" w:hAnsiTheme="majorHAnsi" w:cstheme="majorHAnsi"/>
                <w:b/>
                <w:sz w:val="18"/>
                <w:szCs w:val="18"/>
              </w:rPr>
              <w:t>2 Hronětický náhon</w:t>
            </w:r>
          </w:p>
        </w:tc>
        <w:tc>
          <w:tcPr>
            <w:tcW w:w="1417" w:type="dxa"/>
            <w:vAlign w:val="center"/>
          </w:tcPr>
          <w:p w14:paraId="663D9252" w14:textId="52316A23" w:rsidR="00A91646" w:rsidRPr="006070EA" w:rsidRDefault="00A91646" w:rsidP="00E855CD">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Průměrná šířka: 50 m</w:t>
            </w:r>
          </w:p>
          <w:p w14:paraId="632333C5" w14:textId="47294D9D" w:rsidR="00A91646" w:rsidRPr="006070EA" w:rsidRDefault="00A91646" w:rsidP="00E17D63">
            <w:pPr>
              <w:widowControl w:val="0"/>
              <w:spacing w:after="60"/>
              <w:jc w:val="center"/>
              <w:rPr>
                <w:rFonts w:asciiTheme="majorHAnsi" w:hAnsiTheme="majorHAnsi" w:cstheme="majorHAnsi"/>
                <w:color w:val="FF0000"/>
                <w:sz w:val="18"/>
                <w:szCs w:val="18"/>
              </w:rPr>
            </w:pPr>
            <w:r w:rsidRPr="006070EA">
              <w:rPr>
                <w:rFonts w:asciiTheme="majorHAnsi" w:hAnsiTheme="majorHAnsi" w:cstheme="majorHAnsi"/>
                <w:sz w:val="18"/>
                <w:szCs w:val="18"/>
              </w:rPr>
              <w:t>Délka v řešeném území: 5 km</w:t>
            </w:r>
          </w:p>
        </w:tc>
        <w:tc>
          <w:tcPr>
            <w:tcW w:w="1134" w:type="dxa"/>
            <w:vAlign w:val="center"/>
          </w:tcPr>
          <w:p w14:paraId="5886008E" w14:textId="4188DC35" w:rsidR="00A91646" w:rsidRPr="006070EA" w:rsidRDefault="00A91646" w:rsidP="00616F2B">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funkční</w:t>
            </w:r>
          </w:p>
        </w:tc>
        <w:tc>
          <w:tcPr>
            <w:tcW w:w="5102" w:type="dxa"/>
            <w:vAlign w:val="center"/>
          </w:tcPr>
          <w:p w14:paraId="02838050" w14:textId="10F5722F" w:rsidR="00993035" w:rsidRPr="00A76411" w:rsidRDefault="00A91646" w:rsidP="00993035">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Popis</w:t>
            </w:r>
            <w:r w:rsidRPr="00A76411">
              <w:rPr>
                <w:rFonts w:asciiTheme="majorHAnsi" w:hAnsiTheme="majorHAnsi" w:cstheme="majorHAnsi"/>
                <w:sz w:val="18"/>
                <w:szCs w:val="18"/>
              </w:rPr>
              <w:t xml:space="preserve">: Lokální biokoridor spojující regionální biocentrum Niva Labe u </w:t>
            </w:r>
            <w:r w:rsidR="004C536A" w:rsidRPr="00A76411">
              <w:rPr>
                <w:rFonts w:asciiTheme="majorHAnsi" w:hAnsiTheme="majorHAnsi" w:cstheme="majorHAnsi"/>
                <w:sz w:val="18"/>
                <w:szCs w:val="18"/>
              </w:rPr>
              <w:t>Lysé nad Labem</w:t>
            </w:r>
            <w:r w:rsidRPr="00A76411">
              <w:rPr>
                <w:rFonts w:asciiTheme="majorHAnsi" w:hAnsiTheme="majorHAnsi" w:cstheme="majorHAnsi"/>
                <w:sz w:val="18"/>
                <w:szCs w:val="18"/>
              </w:rPr>
              <w:t xml:space="preserve"> s lokálním biocentrem Vápensko. Páteří biokoridoru je Hronětický potok a jeho doprovodné stromové a luční porosty.</w:t>
            </w:r>
            <w:r w:rsidR="00993035" w:rsidRPr="00A76411">
              <w:rPr>
                <w:rFonts w:asciiTheme="majorHAnsi" w:hAnsiTheme="majorHAnsi" w:cstheme="majorHAnsi"/>
                <w:sz w:val="18"/>
                <w:szCs w:val="18"/>
              </w:rPr>
              <w:t xml:space="preserve"> Doprovodný porost je narušený ikdyž zapojený, kvalita vody je nízká.</w:t>
            </w:r>
          </w:p>
          <w:p w14:paraId="539342FD" w14:textId="123234ED" w:rsidR="00A91646" w:rsidRPr="00A76411" w:rsidRDefault="00A91646" w:rsidP="00616F2B">
            <w:pPr>
              <w:widowControl w:val="0"/>
              <w:spacing w:after="60"/>
              <w:rPr>
                <w:rFonts w:asciiTheme="majorHAnsi" w:hAnsiTheme="majorHAnsi" w:cstheme="majorHAnsi"/>
                <w:sz w:val="18"/>
                <w:szCs w:val="18"/>
              </w:rPr>
            </w:pPr>
            <w:r w:rsidRPr="00A76411">
              <w:rPr>
                <w:rFonts w:asciiTheme="majorHAnsi" w:hAnsiTheme="majorHAnsi" w:cstheme="majorHAnsi"/>
                <w:sz w:val="18"/>
                <w:szCs w:val="18"/>
              </w:rPr>
              <w:t>V řešeném území jsou na biokoridoru vložena dvě lokální biocentra (L</w:t>
            </w:r>
            <w:r w:rsidR="006C7149" w:rsidRPr="00A76411">
              <w:rPr>
                <w:rFonts w:asciiTheme="majorHAnsi" w:hAnsiTheme="majorHAnsi" w:cstheme="majorHAnsi"/>
                <w:sz w:val="18"/>
                <w:szCs w:val="18"/>
              </w:rPr>
              <w:t>B</w:t>
            </w:r>
            <w:r w:rsidRPr="00A76411">
              <w:rPr>
                <w:rFonts w:asciiTheme="majorHAnsi" w:hAnsiTheme="majorHAnsi" w:cstheme="majorHAnsi"/>
                <w:sz w:val="18"/>
                <w:szCs w:val="18"/>
              </w:rPr>
              <w:t>C</w:t>
            </w:r>
            <w:r w:rsidR="006C7149" w:rsidRPr="00A76411">
              <w:rPr>
                <w:rFonts w:asciiTheme="majorHAnsi" w:hAnsiTheme="majorHAnsi" w:cstheme="majorHAnsi"/>
                <w:sz w:val="18"/>
                <w:szCs w:val="18"/>
              </w:rPr>
              <w:t>.</w:t>
            </w:r>
            <w:r w:rsidRPr="00A76411">
              <w:rPr>
                <w:rFonts w:asciiTheme="majorHAnsi" w:hAnsiTheme="majorHAnsi" w:cstheme="majorHAnsi"/>
                <w:sz w:val="18"/>
                <w:szCs w:val="18"/>
              </w:rPr>
              <w:t>2 Na spraši a L</w:t>
            </w:r>
            <w:r w:rsidR="006C7149" w:rsidRPr="00A76411">
              <w:rPr>
                <w:rFonts w:asciiTheme="majorHAnsi" w:hAnsiTheme="majorHAnsi" w:cstheme="majorHAnsi"/>
                <w:sz w:val="18"/>
                <w:szCs w:val="18"/>
              </w:rPr>
              <w:t>B</w:t>
            </w:r>
            <w:r w:rsidRPr="00A76411">
              <w:rPr>
                <w:rFonts w:asciiTheme="majorHAnsi" w:hAnsiTheme="majorHAnsi" w:cstheme="majorHAnsi"/>
                <w:sz w:val="18"/>
                <w:szCs w:val="18"/>
              </w:rPr>
              <w:t>C</w:t>
            </w:r>
            <w:r w:rsidR="006C7149" w:rsidRPr="00A76411">
              <w:rPr>
                <w:rFonts w:asciiTheme="majorHAnsi" w:hAnsiTheme="majorHAnsi" w:cstheme="majorHAnsi"/>
                <w:sz w:val="18"/>
                <w:szCs w:val="18"/>
              </w:rPr>
              <w:t>.</w:t>
            </w:r>
            <w:r w:rsidRPr="00A76411">
              <w:rPr>
                <w:rFonts w:asciiTheme="majorHAnsi" w:hAnsiTheme="majorHAnsi" w:cstheme="majorHAnsi"/>
                <w:sz w:val="18"/>
                <w:szCs w:val="18"/>
              </w:rPr>
              <w:t>3 Na bahnech).</w:t>
            </w:r>
          </w:p>
          <w:p w14:paraId="46ECD7C6" w14:textId="731ACB25" w:rsidR="00993035" w:rsidRPr="00A76411" w:rsidRDefault="00993035" w:rsidP="00616F2B">
            <w:pPr>
              <w:widowControl w:val="0"/>
              <w:spacing w:after="60"/>
              <w:rPr>
                <w:rFonts w:asciiTheme="majorHAnsi" w:hAnsiTheme="majorHAnsi" w:cstheme="majorHAnsi"/>
                <w:sz w:val="18"/>
                <w:szCs w:val="18"/>
              </w:rPr>
            </w:pPr>
            <w:r w:rsidRPr="00A76411">
              <w:rPr>
                <w:rFonts w:asciiTheme="majorHAnsi" w:hAnsiTheme="majorHAnsi" w:cstheme="majorHAnsi"/>
                <w:sz w:val="18"/>
                <w:szCs w:val="18"/>
              </w:rPr>
              <w:t>Tok je doprovázen pobřežním porostem, a to většinou polokulturním až degradovaným, pole jdou často až těsně k porostu.</w:t>
            </w:r>
          </w:p>
          <w:p w14:paraId="537DC611" w14:textId="1C3E846D" w:rsidR="00A91646" w:rsidRPr="00A76411" w:rsidRDefault="00A91646" w:rsidP="00616F2B">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Geobiocenologická typizace</w:t>
            </w:r>
            <w:r w:rsidRPr="00A76411">
              <w:rPr>
                <w:rFonts w:asciiTheme="majorHAnsi" w:hAnsiTheme="majorHAnsi" w:cstheme="majorHAnsi"/>
                <w:sz w:val="18"/>
                <w:szCs w:val="18"/>
              </w:rPr>
              <w:t>: 2 BC 4, 2 BC 5</w:t>
            </w:r>
            <w:r w:rsidR="004F6877" w:rsidRPr="00A76411">
              <w:rPr>
                <w:rFonts w:asciiTheme="majorHAnsi" w:hAnsiTheme="majorHAnsi" w:cstheme="majorHAnsi"/>
                <w:sz w:val="18"/>
                <w:szCs w:val="18"/>
              </w:rPr>
              <w:t>, 1BC3,5, 1B3,2</w:t>
            </w:r>
          </w:p>
          <w:p w14:paraId="20C471E4" w14:textId="77777777" w:rsidR="00993035" w:rsidRPr="00A76411" w:rsidRDefault="00993035" w:rsidP="00993035">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Stupeň ekologické stability</w:t>
            </w:r>
            <w:r w:rsidRPr="00A76411">
              <w:rPr>
                <w:rFonts w:asciiTheme="majorHAnsi" w:hAnsiTheme="majorHAnsi" w:cstheme="majorHAnsi"/>
                <w:sz w:val="18"/>
                <w:szCs w:val="18"/>
              </w:rPr>
              <w:t>: 3, 4, 5</w:t>
            </w:r>
          </w:p>
          <w:p w14:paraId="22360A06" w14:textId="33EC2306" w:rsidR="00993035" w:rsidRPr="00A76411" w:rsidRDefault="00993035" w:rsidP="00616F2B">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Cílový stav</w:t>
            </w:r>
            <w:r w:rsidRPr="00A76411">
              <w:rPr>
                <w:rFonts w:asciiTheme="majorHAnsi" w:hAnsiTheme="majorHAnsi" w:cstheme="majorHAnsi"/>
                <w:sz w:val="18"/>
                <w:szCs w:val="18"/>
              </w:rPr>
              <w:t>: zapojený přirozený pobřežní porost podle toku v celé jeho délce a ochranná ú</w:t>
            </w:r>
            <w:r w:rsidR="0098605A" w:rsidRPr="00A76411">
              <w:rPr>
                <w:rFonts w:asciiTheme="majorHAnsi" w:hAnsiTheme="majorHAnsi" w:cstheme="majorHAnsi"/>
                <w:sz w:val="18"/>
                <w:szCs w:val="18"/>
              </w:rPr>
              <w:t>z</w:t>
            </w:r>
            <w:r w:rsidRPr="00A76411">
              <w:rPr>
                <w:rFonts w:asciiTheme="majorHAnsi" w:hAnsiTheme="majorHAnsi" w:cstheme="majorHAnsi"/>
                <w:sz w:val="18"/>
                <w:szCs w:val="18"/>
              </w:rPr>
              <w:t>ká louka mezi polem a doprovodným porostem.</w:t>
            </w:r>
          </w:p>
          <w:p w14:paraId="019A370E" w14:textId="720AA927" w:rsidR="00993035" w:rsidRPr="00A76411" w:rsidRDefault="00993035" w:rsidP="00E855CD">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Dřeviny a křoviny</w:t>
            </w:r>
            <w:r w:rsidRPr="00A76411">
              <w:rPr>
                <w:rFonts w:asciiTheme="majorHAnsi" w:hAnsiTheme="majorHAnsi" w:cstheme="majorHAnsi"/>
                <w:sz w:val="18"/>
                <w:szCs w:val="18"/>
              </w:rPr>
              <w:t>: bzč, ržpo, bre, svk, BRB, OLL, JSZ, vru, hlo, VRK</w:t>
            </w:r>
          </w:p>
          <w:p w14:paraId="1E0826BF" w14:textId="0F5C5A97" w:rsidR="00993035" w:rsidRPr="00A76411" w:rsidRDefault="00993035" w:rsidP="00E855CD">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Byliny</w:t>
            </w:r>
            <w:r w:rsidRPr="00A76411">
              <w:rPr>
                <w:rFonts w:asciiTheme="majorHAnsi" w:hAnsiTheme="majorHAnsi" w:cstheme="majorHAnsi"/>
                <w:sz w:val="18"/>
                <w:szCs w:val="18"/>
              </w:rPr>
              <w:t>: rákos obecný, bolševník obecný, lopuch menší, více druhů svízele, kopřiva dvoudomá, pcháč zelinný, pelyněk černobýl</w:t>
            </w:r>
          </w:p>
          <w:p w14:paraId="650C141E" w14:textId="226C916D" w:rsidR="00993035" w:rsidRPr="00A76411" w:rsidRDefault="00993035" w:rsidP="00E855CD">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Fyziotyp</w:t>
            </w:r>
            <w:r w:rsidRPr="00A76411">
              <w:rPr>
                <w:rFonts w:asciiTheme="majorHAnsi" w:hAnsiTheme="majorHAnsi" w:cstheme="majorHAnsi"/>
                <w:sz w:val="18"/>
                <w:szCs w:val="18"/>
              </w:rPr>
              <w:t>: RU, VO, LO</w:t>
            </w:r>
          </w:p>
          <w:p w14:paraId="5B6D327C" w14:textId="5DC9ACAD" w:rsidR="00A91646" w:rsidRPr="00A76411" w:rsidRDefault="00A91646" w:rsidP="00E855CD">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Možné znehodnocení</w:t>
            </w:r>
            <w:r w:rsidRPr="00A76411">
              <w:rPr>
                <w:rFonts w:asciiTheme="majorHAnsi" w:hAnsiTheme="majorHAnsi" w:cstheme="majorHAnsi"/>
                <w:sz w:val="18"/>
                <w:szCs w:val="18"/>
              </w:rPr>
              <w:t>: intenzifikace využívání, šíření geograficky nepůvodních druhů</w:t>
            </w:r>
            <w:r w:rsidR="00993035" w:rsidRPr="00A76411">
              <w:rPr>
                <w:rFonts w:asciiTheme="majorHAnsi" w:hAnsiTheme="majorHAnsi" w:cstheme="majorHAnsi"/>
                <w:sz w:val="18"/>
                <w:szCs w:val="18"/>
              </w:rPr>
              <w:t>, zemědělská činnost, úpravy toku, kácení dřevin</w:t>
            </w:r>
          </w:p>
          <w:p w14:paraId="738D5265" w14:textId="54CC129B" w:rsidR="00A91646" w:rsidRPr="00A76411" w:rsidRDefault="00A91646" w:rsidP="00E855CD">
            <w:pPr>
              <w:widowControl w:val="0"/>
              <w:spacing w:after="60"/>
              <w:rPr>
                <w:rFonts w:asciiTheme="majorHAnsi" w:hAnsiTheme="majorHAnsi" w:cstheme="majorHAnsi"/>
                <w:sz w:val="18"/>
                <w:szCs w:val="18"/>
              </w:rPr>
            </w:pPr>
            <w:r w:rsidRPr="00A76411">
              <w:rPr>
                <w:rFonts w:asciiTheme="majorHAnsi" w:hAnsiTheme="majorHAnsi" w:cstheme="majorHAnsi"/>
                <w:i/>
                <w:iCs/>
                <w:sz w:val="18"/>
                <w:szCs w:val="18"/>
              </w:rPr>
              <w:t>Návrh opatření</w:t>
            </w:r>
            <w:r w:rsidRPr="00A76411">
              <w:rPr>
                <w:rFonts w:asciiTheme="majorHAnsi" w:hAnsiTheme="majorHAnsi" w:cstheme="majorHAnsi"/>
                <w:sz w:val="18"/>
                <w:szCs w:val="18"/>
              </w:rPr>
              <w:t>: podpora stromové vegetace podél toku, zejména vrb; podpora drobných vodních ploch a tůní</w:t>
            </w:r>
            <w:r w:rsidR="00993035" w:rsidRPr="00A76411">
              <w:rPr>
                <w:rFonts w:asciiTheme="majorHAnsi" w:hAnsiTheme="majorHAnsi" w:cstheme="majorHAnsi"/>
                <w:sz w:val="18"/>
                <w:szCs w:val="18"/>
              </w:rPr>
              <w:t>; dosadba místních přirozených dřevin a křovin v pásu, revitalizace vodního toku</w:t>
            </w:r>
            <w:r w:rsidR="00C73AA6" w:rsidRPr="00A76411">
              <w:rPr>
                <w:rFonts w:asciiTheme="majorHAnsi" w:hAnsiTheme="majorHAnsi" w:cstheme="majorHAnsi"/>
                <w:sz w:val="18"/>
                <w:szCs w:val="18"/>
              </w:rPr>
              <w:t>, vytvoření ochranné zóny</w:t>
            </w:r>
          </w:p>
        </w:tc>
      </w:tr>
      <w:tr w:rsidR="0098605A" w:rsidRPr="006070EA" w14:paraId="610BE12F" w14:textId="77777777" w:rsidTr="00DD20C1">
        <w:trPr>
          <w:cantSplit/>
          <w:jc w:val="center"/>
        </w:trPr>
        <w:tc>
          <w:tcPr>
            <w:tcW w:w="1417" w:type="dxa"/>
            <w:vAlign w:val="center"/>
          </w:tcPr>
          <w:p w14:paraId="5CA2B994" w14:textId="734D3C9A" w:rsidR="0098605A" w:rsidRPr="006070EA" w:rsidRDefault="0098605A" w:rsidP="0098605A">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t>L</w:t>
            </w:r>
            <w:r w:rsidR="006C7149" w:rsidRPr="006070EA">
              <w:rPr>
                <w:rFonts w:asciiTheme="majorHAnsi" w:hAnsiTheme="majorHAnsi" w:cstheme="majorHAnsi"/>
                <w:b/>
                <w:sz w:val="18"/>
                <w:szCs w:val="18"/>
              </w:rPr>
              <w:t>B</w:t>
            </w:r>
            <w:r w:rsidRPr="006070EA">
              <w:rPr>
                <w:rFonts w:asciiTheme="majorHAnsi" w:hAnsiTheme="majorHAnsi" w:cstheme="majorHAnsi"/>
                <w:b/>
                <w:sz w:val="18"/>
                <w:szCs w:val="18"/>
              </w:rPr>
              <w:t>K</w:t>
            </w:r>
            <w:r w:rsidR="006C7149" w:rsidRPr="006070EA">
              <w:rPr>
                <w:rFonts w:asciiTheme="majorHAnsi" w:hAnsiTheme="majorHAnsi" w:cstheme="majorHAnsi"/>
                <w:b/>
                <w:sz w:val="18"/>
                <w:szCs w:val="18"/>
              </w:rPr>
              <w:t>.</w:t>
            </w:r>
            <w:r w:rsidRPr="006070EA">
              <w:rPr>
                <w:rFonts w:asciiTheme="majorHAnsi" w:hAnsiTheme="majorHAnsi" w:cstheme="majorHAnsi"/>
                <w:b/>
                <w:sz w:val="18"/>
                <w:szCs w:val="18"/>
              </w:rPr>
              <w:t>3 Mlynařice</w:t>
            </w:r>
          </w:p>
        </w:tc>
        <w:tc>
          <w:tcPr>
            <w:tcW w:w="1417" w:type="dxa"/>
            <w:vAlign w:val="center"/>
          </w:tcPr>
          <w:p w14:paraId="69B64811" w14:textId="77777777" w:rsidR="0098605A" w:rsidRPr="006070EA" w:rsidRDefault="0098605A" w:rsidP="0098605A">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Průměrná šířka: 20 m</w:t>
            </w:r>
          </w:p>
          <w:p w14:paraId="10F7A432" w14:textId="4423FD59" w:rsidR="0098605A" w:rsidRPr="006070EA" w:rsidRDefault="0098605A" w:rsidP="0098605A">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Délka v řešeném území: 1,5 km</w:t>
            </w:r>
          </w:p>
        </w:tc>
        <w:tc>
          <w:tcPr>
            <w:tcW w:w="1134" w:type="dxa"/>
            <w:vAlign w:val="center"/>
          </w:tcPr>
          <w:p w14:paraId="0762DAD9" w14:textId="4567753D" w:rsidR="0098605A" w:rsidRPr="006070EA" w:rsidRDefault="0098605A" w:rsidP="0098605A">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 xml:space="preserve">částečně funkční </w:t>
            </w:r>
          </w:p>
        </w:tc>
        <w:tc>
          <w:tcPr>
            <w:tcW w:w="5102" w:type="dxa"/>
            <w:vAlign w:val="center"/>
          </w:tcPr>
          <w:p w14:paraId="48C0EECA" w14:textId="54A6074E" w:rsidR="0098605A" w:rsidRPr="006070EA" w:rsidRDefault="0098605A" w:rsidP="0098605A">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vodní tok Mlynařice a její břehové porosty. Koridor přichází do řešeného území z Milovic a prochází jižně od Hronětic, kde se napojuje na L</w:t>
            </w:r>
            <w:r w:rsidR="006C7149" w:rsidRPr="006070EA">
              <w:rPr>
                <w:rFonts w:asciiTheme="majorHAnsi" w:hAnsiTheme="majorHAnsi" w:cstheme="majorHAnsi"/>
                <w:sz w:val="18"/>
                <w:szCs w:val="18"/>
              </w:rPr>
              <w:t>B</w:t>
            </w:r>
            <w:r w:rsidRPr="006070EA">
              <w:rPr>
                <w:rFonts w:asciiTheme="majorHAnsi" w:hAnsiTheme="majorHAnsi" w:cstheme="majorHAnsi"/>
                <w:sz w:val="18"/>
                <w:szCs w:val="18"/>
              </w:rPr>
              <w:t>K</w:t>
            </w:r>
            <w:r w:rsidR="006C7149" w:rsidRPr="006070EA">
              <w:rPr>
                <w:rFonts w:asciiTheme="majorHAnsi" w:hAnsiTheme="majorHAnsi" w:cstheme="majorHAnsi"/>
                <w:sz w:val="18"/>
                <w:szCs w:val="18"/>
              </w:rPr>
              <w:t>.</w:t>
            </w:r>
            <w:r w:rsidRPr="006070EA">
              <w:rPr>
                <w:rFonts w:asciiTheme="majorHAnsi" w:hAnsiTheme="majorHAnsi" w:cstheme="majorHAnsi"/>
                <w:sz w:val="18"/>
                <w:szCs w:val="18"/>
              </w:rPr>
              <w:t>2 Hronětický náhon. Doprovodný porost je narušený ikdyž zapojený a neúplný. Ve východní části biokoridoru je trasován po poli (orná půda)</w:t>
            </w:r>
          </w:p>
          <w:p w14:paraId="03EEC1D6" w14:textId="6D538EB8" w:rsidR="0098605A" w:rsidRPr="006070EA" w:rsidRDefault="0098605A" w:rsidP="0098605A">
            <w:pPr>
              <w:widowControl w:val="0"/>
              <w:spacing w:after="60"/>
              <w:rPr>
                <w:rFonts w:asciiTheme="majorHAnsi" w:hAnsiTheme="majorHAnsi" w:cstheme="majorHAnsi"/>
                <w:sz w:val="18"/>
                <w:szCs w:val="18"/>
              </w:rPr>
            </w:pPr>
            <w:r w:rsidRPr="006070EA">
              <w:rPr>
                <w:rFonts w:asciiTheme="majorHAnsi" w:hAnsiTheme="majorHAnsi" w:cstheme="majorHAnsi"/>
                <w:sz w:val="18"/>
                <w:szCs w:val="18"/>
              </w:rPr>
              <w:t>Tok je doprovázen pobřežním porostem, a to většinou polokulturním až degradovaným, pole jdou často až těsně k porostu, ve východní části je biokoridor součástí lánu orné půdy.</w:t>
            </w:r>
          </w:p>
          <w:p w14:paraId="54F042E7" w14:textId="3080D2C3" w:rsidR="0098605A" w:rsidRPr="006070EA" w:rsidRDefault="0098605A" w:rsidP="0098605A">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Cílový stav</w:t>
            </w:r>
            <w:r w:rsidRPr="006070EA">
              <w:rPr>
                <w:rFonts w:asciiTheme="majorHAnsi" w:hAnsiTheme="majorHAnsi" w:cstheme="majorHAnsi"/>
                <w:sz w:val="18"/>
                <w:szCs w:val="18"/>
              </w:rPr>
              <w:t>: zapojený přirozený pobřežní porost podle toku v celé jeho délce a ochranná úzká louka členící pole s doprovodným porostem.</w:t>
            </w:r>
          </w:p>
          <w:p w14:paraId="450F0FC8" w14:textId="3DB78842" w:rsidR="0098605A" w:rsidRPr="006070EA" w:rsidRDefault="0098605A" w:rsidP="0098605A">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xml:space="preserve">: intenzifikace využívání, šíření geograficky nepůvodních druhů, </w:t>
            </w:r>
            <w:r w:rsidR="00F52F4A" w:rsidRPr="006070EA">
              <w:rPr>
                <w:rFonts w:asciiTheme="majorHAnsi" w:hAnsiTheme="majorHAnsi" w:cstheme="majorHAnsi"/>
                <w:sz w:val="18"/>
                <w:szCs w:val="18"/>
              </w:rPr>
              <w:t xml:space="preserve">pokračující </w:t>
            </w:r>
            <w:r w:rsidRPr="006070EA">
              <w:rPr>
                <w:rFonts w:asciiTheme="majorHAnsi" w:hAnsiTheme="majorHAnsi" w:cstheme="majorHAnsi"/>
                <w:sz w:val="18"/>
                <w:szCs w:val="18"/>
              </w:rPr>
              <w:t>zemědělská činnost</w:t>
            </w:r>
            <w:r w:rsidR="00F52F4A" w:rsidRPr="006070EA">
              <w:rPr>
                <w:rFonts w:asciiTheme="majorHAnsi" w:hAnsiTheme="majorHAnsi" w:cstheme="majorHAnsi"/>
                <w:sz w:val="18"/>
                <w:szCs w:val="18"/>
              </w:rPr>
              <w:t xml:space="preserve"> ve východní části biokoridoru</w:t>
            </w:r>
            <w:r w:rsidRPr="006070EA">
              <w:rPr>
                <w:rFonts w:asciiTheme="majorHAnsi" w:hAnsiTheme="majorHAnsi" w:cstheme="majorHAnsi"/>
                <w:sz w:val="18"/>
                <w:szCs w:val="18"/>
              </w:rPr>
              <w:t xml:space="preserve">, kácení </w:t>
            </w:r>
            <w:r w:rsidR="00F52F4A" w:rsidRPr="006070EA">
              <w:rPr>
                <w:rFonts w:asciiTheme="majorHAnsi" w:hAnsiTheme="majorHAnsi" w:cstheme="majorHAnsi"/>
                <w:sz w:val="18"/>
                <w:szCs w:val="18"/>
              </w:rPr>
              <w:t xml:space="preserve">doprovodných </w:t>
            </w:r>
            <w:r w:rsidRPr="006070EA">
              <w:rPr>
                <w:rFonts w:asciiTheme="majorHAnsi" w:hAnsiTheme="majorHAnsi" w:cstheme="majorHAnsi"/>
                <w:sz w:val="18"/>
                <w:szCs w:val="18"/>
              </w:rPr>
              <w:t>dřevin</w:t>
            </w:r>
          </w:p>
          <w:p w14:paraId="1F7EDDB3" w14:textId="5953B5E6" w:rsidR="0098605A" w:rsidRPr="006070EA" w:rsidRDefault="0098605A" w:rsidP="0098605A">
            <w:pPr>
              <w:widowControl w:val="0"/>
              <w:spacing w:after="60"/>
              <w:rPr>
                <w:rFonts w:asciiTheme="majorHAnsi" w:hAnsiTheme="majorHAnsi" w:cstheme="majorHAnsi"/>
                <w:color w:val="FF0000"/>
                <w:sz w:val="18"/>
                <w:szCs w:val="18"/>
              </w:rPr>
            </w:pPr>
            <w:r w:rsidRPr="006070EA">
              <w:rPr>
                <w:rFonts w:asciiTheme="majorHAnsi" w:hAnsiTheme="majorHAnsi" w:cstheme="majorHAnsi"/>
                <w:i/>
                <w:iCs/>
                <w:sz w:val="18"/>
                <w:szCs w:val="18"/>
              </w:rPr>
              <w:t>Návrh opatření</w:t>
            </w:r>
            <w:r w:rsidRPr="006070EA">
              <w:rPr>
                <w:rFonts w:asciiTheme="majorHAnsi" w:hAnsiTheme="majorHAnsi" w:cstheme="majorHAnsi"/>
                <w:sz w:val="18"/>
                <w:szCs w:val="18"/>
              </w:rPr>
              <w:t>: podpora stromové vegetace podél toku; dosadba místních přirozených dřevin a křovin v </w:t>
            </w:r>
            <w:r w:rsidR="00F52F4A" w:rsidRPr="006070EA">
              <w:rPr>
                <w:rFonts w:asciiTheme="majorHAnsi" w:hAnsiTheme="majorHAnsi" w:cstheme="majorHAnsi"/>
                <w:sz w:val="18"/>
                <w:szCs w:val="18"/>
              </w:rPr>
              <w:t>biokoridoru</w:t>
            </w:r>
            <w:r w:rsidRPr="006070EA">
              <w:rPr>
                <w:rFonts w:asciiTheme="majorHAnsi" w:hAnsiTheme="majorHAnsi" w:cstheme="majorHAnsi"/>
                <w:sz w:val="18"/>
                <w:szCs w:val="18"/>
              </w:rPr>
              <w:t>, revitalizace vodního toku, vytvoření ochranné zóny</w:t>
            </w:r>
            <w:r w:rsidR="00F52F4A" w:rsidRPr="006070EA">
              <w:rPr>
                <w:rFonts w:asciiTheme="majorHAnsi" w:hAnsiTheme="majorHAnsi" w:cstheme="majorHAnsi"/>
                <w:sz w:val="18"/>
                <w:szCs w:val="18"/>
              </w:rPr>
              <w:t>, dotvoření biokoridoru v jeho východní části</w:t>
            </w:r>
          </w:p>
        </w:tc>
      </w:tr>
      <w:tr w:rsidR="00543E96" w:rsidRPr="006070EA" w14:paraId="42B3E05D" w14:textId="77777777" w:rsidTr="006061B2">
        <w:trPr>
          <w:cantSplit/>
          <w:jc w:val="center"/>
        </w:trPr>
        <w:tc>
          <w:tcPr>
            <w:tcW w:w="1417" w:type="dxa"/>
            <w:vAlign w:val="center"/>
          </w:tcPr>
          <w:p w14:paraId="2B3D9BD8" w14:textId="38EB2191" w:rsidR="00543E96" w:rsidRPr="006070EA" w:rsidRDefault="00543E96" w:rsidP="006C7149">
            <w:pPr>
              <w:widowControl w:val="0"/>
              <w:spacing w:after="60"/>
              <w:jc w:val="center"/>
              <w:rPr>
                <w:rFonts w:asciiTheme="majorHAnsi" w:hAnsiTheme="majorHAnsi" w:cstheme="majorHAnsi"/>
                <w:b/>
                <w:sz w:val="18"/>
                <w:szCs w:val="18"/>
              </w:rPr>
            </w:pPr>
            <w:r w:rsidRPr="006070EA">
              <w:rPr>
                <w:rFonts w:asciiTheme="majorHAnsi" w:hAnsiTheme="majorHAnsi" w:cstheme="majorHAnsi"/>
                <w:b/>
                <w:sz w:val="18"/>
                <w:szCs w:val="18"/>
              </w:rPr>
              <w:t>L</w:t>
            </w:r>
            <w:r w:rsidR="006C7149" w:rsidRPr="006070EA">
              <w:rPr>
                <w:rFonts w:asciiTheme="majorHAnsi" w:hAnsiTheme="majorHAnsi" w:cstheme="majorHAnsi"/>
                <w:b/>
                <w:sz w:val="18"/>
                <w:szCs w:val="18"/>
              </w:rPr>
              <w:t>B</w:t>
            </w:r>
            <w:r w:rsidRPr="006070EA">
              <w:rPr>
                <w:rFonts w:asciiTheme="majorHAnsi" w:hAnsiTheme="majorHAnsi" w:cstheme="majorHAnsi"/>
                <w:b/>
                <w:sz w:val="18"/>
                <w:szCs w:val="18"/>
              </w:rPr>
              <w:t>K</w:t>
            </w:r>
            <w:r w:rsidR="006C7149" w:rsidRPr="006070EA">
              <w:rPr>
                <w:rFonts w:asciiTheme="majorHAnsi" w:hAnsiTheme="majorHAnsi" w:cstheme="majorHAnsi"/>
                <w:b/>
                <w:sz w:val="18"/>
                <w:szCs w:val="18"/>
              </w:rPr>
              <w:t>.</w:t>
            </w:r>
            <w:r w:rsidRPr="006070EA">
              <w:rPr>
                <w:rFonts w:asciiTheme="majorHAnsi" w:hAnsiTheme="majorHAnsi" w:cstheme="majorHAnsi"/>
                <w:b/>
                <w:sz w:val="18"/>
                <w:szCs w:val="18"/>
              </w:rPr>
              <w:t>4 Ke Stratovu</w:t>
            </w:r>
          </w:p>
        </w:tc>
        <w:tc>
          <w:tcPr>
            <w:tcW w:w="1417" w:type="dxa"/>
            <w:vAlign w:val="center"/>
          </w:tcPr>
          <w:p w14:paraId="7F058BBD" w14:textId="77777777" w:rsidR="00543E96" w:rsidRPr="006070EA" w:rsidRDefault="00543E96" w:rsidP="00543E96">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Průměrná šířka: 20 m</w:t>
            </w:r>
          </w:p>
          <w:p w14:paraId="75907C37" w14:textId="3E568191" w:rsidR="00543E96" w:rsidRPr="006070EA" w:rsidRDefault="00543E96" w:rsidP="00543E96">
            <w:pPr>
              <w:widowControl w:val="0"/>
              <w:spacing w:after="60"/>
              <w:jc w:val="center"/>
              <w:rPr>
                <w:rFonts w:asciiTheme="majorHAnsi" w:hAnsiTheme="majorHAnsi" w:cstheme="majorHAnsi"/>
                <w:color w:val="FF0000"/>
                <w:sz w:val="18"/>
                <w:szCs w:val="18"/>
              </w:rPr>
            </w:pPr>
            <w:r w:rsidRPr="006070EA">
              <w:rPr>
                <w:rFonts w:asciiTheme="majorHAnsi" w:hAnsiTheme="majorHAnsi" w:cstheme="majorHAnsi"/>
                <w:sz w:val="18"/>
                <w:szCs w:val="18"/>
              </w:rPr>
              <w:t>Délka v řešeném území: 1,1 km</w:t>
            </w:r>
          </w:p>
        </w:tc>
        <w:tc>
          <w:tcPr>
            <w:tcW w:w="1134" w:type="dxa"/>
            <w:vAlign w:val="center"/>
          </w:tcPr>
          <w:p w14:paraId="42FA4683" w14:textId="7C38A20F" w:rsidR="00543E96" w:rsidRPr="006070EA" w:rsidRDefault="00543E96" w:rsidP="00543E96">
            <w:pPr>
              <w:widowControl w:val="0"/>
              <w:spacing w:after="60"/>
              <w:jc w:val="center"/>
              <w:rPr>
                <w:rFonts w:asciiTheme="majorHAnsi" w:hAnsiTheme="majorHAnsi" w:cstheme="majorHAnsi"/>
                <w:sz w:val="18"/>
                <w:szCs w:val="18"/>
              </w:rPr>
            </w:pPr>
            <w:r w:rsidRPr="006070EA">
              <w:rPr>
                <w:rFonts w:asciiTheme="majorHAnsi" w:hAnsiTheme="majorHAnsi" w:cstheme="majorHAnsi"/>
                <w:sz w:val="18"/>
                <w:szCs w:val="18"/>
              </w:rPr>
              <w:t>nefunkční</w:t>
            </w:r>
          </w:p>
        </w:tc>
        <w:tc>
          <w:tcPr>
            <w:tcW w:w="5102" w:type="dxa"/>
            <w:vAlign w:val="center"/>
          </w:tcPr>
          <w:p w14:paraId="46DD0DAB" w14:textId="29F7A7C0" w:rsidR="00543E96" w:rsidRPr="006070EA" w:rsidRDefault="00543E96" w:rsidP="00543E96">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Popis</w:t>
            </w:r>
            <w:r w:rsidRPr="006070EA">
              <w:rPr>
                <w:rFonts w:asciiTheme="majorHAnsi" w:hAnsiTheme="majorHAnsi" w:cstheme="majorHAnsi"/>
                <w:sz w:val="18"/>
                <w:szCs w:val="18"/>
              </w:rPr>
              <w:t>: biokoridor na orné půdě. Propojuje lokální biocentrum L</w:t>
            </w:r>
            <w:r w:rsidR="006C7149" w:rsidRPr="006070EA">
              <w:rPr>
                <w:rFonts w:asciiTheme="majorHAnsi" w:hAnsiTheme="majorHAnsi" w:cstheme="majorHAnsi"/>
                <w:sz w:val="18"/>
                <w:szCs w:val="18"/>
              </w:rPr>
              <w:t>B</w:t>
            </w:r>
            <w:r w:rsidRPr="006070EA">
              <w:rPr>
                <w:rFonts w:asciiTheme="majorHAnsi" w:hAnsiTheme="majorHAnsi" w:cstheme="majorHAnsi"/>
                <w:sz w:val="18"/>
                <w:szCs w:val="18"/>
              </w:rPr>
              <w:t>C</w:t>
            </w:r>
            <w:r w:rsidR="006C7149" w:rsidRPr="006070EA">
              <w:rPr>
                <w:rFonts w:asciiTheme="majorHAnsi" w:hAnsiTheme="majorHAnsi" w:cstheme="majorHAnsi"/>
                <w:sz w:val="18"/>
                <w:szCs w:val="18"/>
              </w:rPr>
              <w:t>.</w:t>
            </w:r>
            <w:r w:rsidRPr="006070EA">
              <w:rPr>
                <w:rFonts w:asciiTheme="majorHAnsi" w:hAnsiTheme="majorHAnsi" w:cstheme="majorHAnsi"/>
                <w:sz w:val="18"/>
                <w:szCs w:val="18"/>
              </w:rPr>
              <w:t>1 Nad Lyskem v území sousední obce Stratov s lokálním biocentrem L</w:t>
            </w:r>
            <w:r w:rsidR="006C7149" w:rsidRPr="006070EA">
              <w:rPr>
                <w:rFonts w:asciiTheme="majorHAnsi" w:hAnsiTheme="majorHAnsi" w:cstheme="majorHAnsi"/>
                <w:sz w:val="18"/>
                <w:szCs w:val="18"/>
              </w:rPr>
              <w:t>B</w:t>
            </w:r>
            <w:r w:rsidRPr="006070EA">
              <w:rPr>
                <w:rFonts w:asciiTheme="majorHAnsi" w:hAnsiTheme="majorHAnsi" w:cstheme="majorHAnsi"/>
                <w:sz w:val="18"/>
                <w:szCs w:val="18"/>
              </w:rPr>
              <w:t>C</w:t>
            </w:r>
            <w:r w:rsidR="006C7149" w:rsidRPr="006070EA">
              <w:rPr>
                <w:rFonts w:asciiTheme="majorHAnsi" w:hAnsiTheme="majorHAnsi" w:cstheme="majorHAnsi"/>
                <w:sz w:val="18"/>
                <w:szCs w:val="18"/>
              </w:rPr>
              <w:t>.</w:t>
            </w:r>
            <w:r w:rsidRPr="006070EA">
              <w:rPr>
                <w:rFonts w:asciiTheme="majorHAnsi" w:hAnsiTheme="majorHAnsi" w:cstheme="majorHAnsi"/>
                <w:sz w:val="18"/>
                <w:szCs w:val="18"/>
              </w:rPr>
              <w:t>3 Na bahnech.</w:t>
            </w:r>
          </w:p>
          <w:p w14:paraId="6DEE8BB7" w14:textId="0FB7242A" w:rsidR="00543E96" w:rsidRPr="006070EA" w:rsidRDefault="00543E96" w:rsidP="00543E96">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Geobiocenologická typizace</w:t>
            </w:r>
            <w:r w:rsidRPr="006070EA">
              <w:rPr>
                <w:rFonts w:asciiTheme="majorHAnsi" w:hAnsiTheme="majorHAnsi" w:cstheme="majorHAnsi"/>
                <w:sz w:val="18"/>
                <w:szCs w:val="18"/>
              </w:rPr>
              <w:t>: 2 BD 3</w:t>
            </w:r>
          </w:p>
          <w:p w14:paraId="16647CD1" w14:textId="1805EDB2" w:rsidR="00543E96" w:rsidRPr="006070EA" w:rsidRDefault="00543E96" w:rsidP="00543E96">
            <w:pPr>
              <w:widowControl w:val="0"/>
              <w:spacing w:after="60"/>
              <w:rPr>
                <w:rFonts w:asciiTheme="majorHAnsi" w:hAnsiTheme="majorHAnsi" w:cstheme="majorHAnsi"/>
                <w:sz w:val="18"/>
                <w:szCs w:val="18"/>
              </w:rPr>
            </w:pPr>
            <w:r w:rsidRPr="006070EA">
              <w:rPr>
                <w:rFonts w:asciiTheme="majorHAnsi" w:hAnsiTheme="majorHAnsi" w:cstheme="majorHAnsi"/>
                <w:i/>
                <w:iCs/>
                <w:sz w:val="18"/>
                <w:szCs w:val="18"/>
              </w:rPr>
              <w:t>Cílový stav</w:t>
            </w:r>
            <w:r w:rsidRPr="006070EA">
              <w:rPr>
                <w:rFonts w:asciiTheme="majorHAnsi" w:hAnsiTheme="majorHAnsi" w:cstheme="majorHAnsi"/>
                <w:sz w:val="18"/>
                <w:szCs w:val="18"/>
              </w:rPr>
              <w:t xml:space="preserve">: </w:t>
            </w:r>
            <w:r w:rsidR="00322BBA" w:rsidRPr="006070EA">
              <w:rPr>
                <w:rFonts w:asciiTheme="majorHAnsi" w:hAnsiTheme="majorHAnsi" w:cstheme="majorHAnsi"/>
                <w:sz w:val="18"/>
                <w:szCs w:val="18"/>
              </w:rPr>
              <w:t>ochranná úzká louka členící pole s doprovodným porostem</w:t>
            </w:r>
            <w:r w:rsidRPr="006070EA">
              <w:rPr>
                <w:rFonts w:asciiTheme="majorHAnsi" w:hAnsiTheme="majorHAnsi" w:cstheme="majorHAnsi"/>
                <w:sz w:val="18"/>
                <w:szCs w:val="18"/>
              </w:rPr>
              <w:t>.</w:t>
            </w:r>
          </w:p>
          <w:p w14:paraId="6E9896FB" w14:textId="365A10FE" w:rsidR="00322BBA" w:rsidRPr="006070EA" w:rsidRDefault="00543E96" w:rsidP="00543E96">
            <w:pPr>
              <w:widowControl w:val="0"/>
              <w:spacing w:after="60"/>
              <w:rPr>
                <w:rFonts w:asciiTheme="majorHAnsi" w:hAnsiTheme="majorHAnsi" w:cstheme="majorHAnsi"/>
                <w:i/>
                <w:iCs/>
                <w:sz w:val="18"/>
                <w:szCs w:val="18"/>
              </w:rPr>
            </w:pPr>
            <w:r w:rsidRPr="006070EA">
              <w:rPr>
                <w:rFonts w:asciiTheme="majorHAnsi" w:hAnsiTheme="majorHAnsi" w:cstheme="majorHAnsi"/>
                <w:i/>
                <w:iCs/>
                <w:sz w:val="18"/>
                <w:szCs w:val="18"/>
              </w:rPr>
              <w:t>Možné znehodnocení</w:t>
            </w:r>
            <w:r w:rsidRPr="006070EA">
              <w:rPr>
                <w:rFonts w:asciiTheme="majorHAnsi" w:hAnsiTheme="majorHAnsi" w:cstheme="majorHAnsi"/>
                <w:sz w:val="18"/>
                <w:szCs w:val="18"/>
              </w:rPr>
              <w:t xml:space="preserve">: </w:t>
            </w:r>
            <w:r w:rsidR="00322BBA" w:rsidRPr="006070EA">
              <w:rPr>
                <w:rFonts w:asciiTheme="majorHAnsi" w:hAnsiTheme="majorHAnsi" w:cstheme="majorHAnsi"/>
                <w:sz w:val="18"/>
                <w:szCs w:val="18"/>
              </w:rPr>
              <w:t>intenzifikace využívání, pokračující zemědělská činnost</w:t>
            </w:r>
            <w:r w:rsidR="00322BBA" w:rsidRPr="006070EA">
              <w:rPr>
                <w:rFonts w:asciiTheme="majorHAnsi" w:hAnsiTheme="majorHAnsi" w:cstheme="majorHAnsi"/>
                <w:i/>
                <w:iCs/>
                <w:sz w:val="18"/>
                <w:szCs w:val="18"/>
              </w:rPr>
              <w:t xml:space="preserve"> </w:t>
            </w:r>
          </w:p>
          <w:p w14:paraId="5DB9F9E0" w14:textId="659AE12A" w:rsidR="00543E96" w:rsidRPr="006070EA" w:rsidRDefault="00543E96" w:rsidP="00543E96">
            <w:pPr>
              <w:widowControl w:val="0"/>
              <w:spacing w:after="60"/>
              <w:rPr>
                <w:rFonts w:asciiTheme="majorHAnsi" w:hAnsiTheme="majorHAnsi" w:cstheme="majorHAnsi"/>
                <w:color w:val="FF0000"/>
                <w:sz w:val="18"/>
                <w:szCs w:val="18"/>
              </w:rPr>
            </w:pPr>
            <w:r w:rsidRPr="006070EA">
              <w:rPr>
                <w:rFonts w:asciiTheme="majorHAnsi" w:hAnsiTheme="majorHAnsi" w:cstheme="majorHAnsi"/>
                <w:i/>
                <w:iCs/>
                <w:sz w:val="18"/>
                <w:szCs w:val="18"/>
              </w:rPr>
              <w:t>Návrh opatření</w:t>
            </w:r>
            <w:r w:rsidRPr="006070EA">
              <w:rPr>
                <w:rFonts w:asciiTheme="majorHAnsi" w:hAnsiTheme="majorHAnsi" w:cstheme="majorHAnsi"/>
                <w:sz w:val="18"/>
                <w:szCs w:val="18"/>
              </w:rPr>
              <w:t xml:space="preserve">: </w:t>
            </w:r>
            <w:r w:rsidR="00322BBA" w:rsidRPr="006070EA">
              <w:rPr>
                <w:rFonts w:asciiTheme="majorHAnsi" w:hAnsiTheme="majorHAnsi" w:cstheme="majorHAnsi"/>
                <w:sz w:val="18"/>
                <w:szCs w:val="18"/>
              </w:rPr>
              <w:t>vymezení trasy biokoridoru v rámci pozemkových úprav a stanovení konkrétních opatření. Při založení zavedení listnaté složky do porostů v trase biokoridoru</w:t>
            </w:r>
          </w:p>
        </w:tc>
      </w:tr>
    </w:tbl>
    <w:p w14:paraId="3F75545B" w14:textId="45761936" w:rsidR="00BB456A" w:rsidRPr="006070EA" w:rsidRDefault="00BB456A" w:rsidP="009E07E1">
      <w:pPr>
        <w:spacing w:before="120" w:after="120" w:line="240" w:lineRule="auto"/>
        <w:jc w:val="both"/>
        <w:rPr>
          <w:rFonts w:asciiTheme="majorHAnsi" w:hAnsiTheme="majorHAnsi" w:cstheme="majorHAnsi"/>
          <w:sz w:val="18"/>
        </w:rPr>
      </w:pPr>
      <w:r w:rsidRPr="006070EA">
        <w:rPr>
          <w:rFonts w:asciiTheme="majorHAnsi" w:hAnsiTheme="majorHAnsi" w:cstheme="majorHAnsi"/>
          <w:sz w:val="18"/>
        </w:rPr>
        <w:lastRenderedPageBreak/>
        <w:tab/>
        <w:t xml:space="preserve">Na hranicích správního území obce </w:t>
      </w:r>
      <w:r w:rsidR="00322BBA" w:rsidRPr="006070EA">
        <w:rPr>
          <w:rFonts w:asciiTheme="majorHAnsi" w:hAnsiTheme="majorHAnsi" w:cstheme="majorHAnsi"/>
          <w:sz w:val="18"/>
        </w:rPr>
        <w:t xml:space="preserve">Kostomlaty nad Labem </w:t>
      </w:r>
      <w:r w:rsidRPr="006070EA">
        <w:rPr>
          <w:rFonts w:asciiTheme="majorHAnsi" w:hAnsiTheme="majorHAnsi" w:cstheme="majorHAnsi"/>
          <w:sz w:val="18"/>
        </w:rPr>
        <w:t xml:space="preserve">bylo nutné koordinovat vymezené skladebné části ÚSES, které přesahují do území sousedních obcí. Způsob zajištění koordinace, případně odůvodnění navrženého řešení, </w:t>
      </w:r>
      <w:r w:rsidR="00322BBA" w:rsidRPr="006070EA">
        <w:rPr>
          <w:rFonts w:asciiTheme="majorHAnsi" w:hAnsiTheme="majorHAnsi" w:cstheme="majorHAnsi"/>
          <w:sz w:val="18"/>
        </w:rPr>
        <w:t>je uveden v kapitole 2.2 tohoto odůvodnění</w:t>
      </w:r>
      <w:r w:rsidRPr="006070EA">
        <w:rPr>
          <w:rFonts w:asciiTheme="majorHAnsi" w:hAnsiTheme="majorHAnsi" w:cstheme="majorHAnsi"/>
          <w:sz w:val="18"/>
        </w:rPr>
        <w:t>.</w:t>
      </w:r>
    </w:p>
    <w:p w14:paraId="173F3CDD" w14:textId="259BA0C2" w:rsidR="005A5525" w:rsidRPr="006070EA" w:rsidRDefault="005A5525"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322BBA" w:rsidRPr="006070EA">
        <w:rPr>
          <w:rFonts w:asciiTheme="majorHAnsi" w:hAnsiTheme="majorHAnsi" w:cstheme="majorHAnsi"/>
          <w:b/>
          <w:i/>
          <w:snapToGrid w:val="0"/>
          <w:u w:val="single"/>
        </w:rPr>
        <w:t>5</w:t>
      </w:r>
      <w:r w:rsidR="0021590A">
        <w:rPr>
          <w:rFonts w:asciiTheme="majorHAnsi" w:hAnsiTheme="majorHAnsi" w:cstheme="majorHAnsi"/>
          <w:b/>
          <w:i/>
          <w:snapToGrid w:val="0"/>
          <w:u w:val="single"/>
        </w:rPr>
        <w:t>0</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700E99DD" w14:textId="77777777" w:rsidR="005A5525" w:rsidRPr="006070EA" w:rsidRDefault="005A5525" w:rsidP="009E07E1">
      <w:pPr>
        <w:pStyle w:val="Atext"/>
        <w:spacing w:before="60" w:after="60"/>
        <w:rPr>
          <w:rFonts w:asciiTheme="majorHAnsi" w:hAnsiTheme="majorHAnsi" w:cstheme="majorHAnsi"/>
          <w:snapToGrid w:val="0"/>
        </w:rPr>
      </w:pPr>
      <w:r w:rsidRPr="006070EA">
        <w:rPr>
          <w:rFonts w:asciiTheme="majorHAnsi" w:hAnsiTheme="majorHAnsi" w:cstheme="majorHAnsi"/>
          <w:snapToGrid w:val="0"/>
        </w:rPr>
        <w:t xml:space="preserve">Stanovení obecných zásad pro rozhodování ve vymezených skladebných částech ÚSES vychází z výše uvedených podkladů, a dále ze znalosti území, přírodních a krajinných charakteristik území. Na jejich základě byly aplikovány obecné zásady směřující ke zvyšování ekologické stability krajiny i jejích dílčích součástí. </w:t>
      </w:r>
    </w:p>
    <w:p w14:paraId="7B319A3C" w14:textId="08CA5DD8" w:rsidR="005A5525" w:rsidRPr="006070EA" w:rsidRDefault="005A5525" w:rsidP="009E07E1">
      <w:pPr>
        <w:pStyle w:val="Atext"/>
        <w:spacing w:before="60" w:after="60"/>
        <w:rPr>
          <w:rFonts w:asciiTheme="majorHAnsi" w:hAnsiTheme="majorHAnsi" w:cstheme="majorHAnsi"/>
          <w:snapToGrid w:val="0"/>
        </w:rPr>
      </w:pPr>
      <w:r w:rsidRPr="006070EA">
        <w:rPr>
          <w:rFonts w:asciiTheme="majorHAnsi" w:hAnsiTheme="majorHAnsi" w:cstheme="majorHAnsi"/>
          <w:snapToGrid w:val="0"/>
        </w:rPr>
        <w:t xml:space="preserve">Pro zachování vysoké a trvalé ekologické stability je nutné vymezení ekostabilizačních prvků a jejich vzájemné </w:t>
      </w:r>
      <w:r w:rsidRPr="006070EA">
        <w:rPr>
          <w:rFonts w:asciiTheme="majorHAnsi" w:hAnsiTheme="majorHAnsi" w:cstheme="majorHAnsi"/>
        </w:rPr>
        <w:t>propojení</w:t>
      </w:r>
      <w:r w:rsidRPr="006070EA">
        <w:rPr>
          <w:rFonts w:asciiTheme="majorHAnsi" w:hAnsiTheme="majorHAnsi" w:cstheme="majorHAnsi"/>
          <w:snapToGrid w:val="0"/>
        </w:rPr>
        <w:t xml:space="preserve">. Kostra ekologické stability je navržena na základě srovnání potenciálního a aktuálního přírodního stavu ekosystémů v krajině. </w:t>
      </w:r>
      <w:r w:rsidRPr="006070EA">
        <w:rPr>
          <w:rFonts w:asciiTheme="majorHAnsi" w:hAnsiTheme="majorHAnsi" w:cstheme="majorHAnsi"/>
        </w:rPr>
        <w:t>Při návrhu ÚSES jsou důležité směry migračních tras (vodní toky, údolí, hřbety apod.), reprezentativnost stanoviště, zastoupení ekologicky významných prvků, předpokládané antropogenní zásahy do krajiny, návaznost na sousední katastry a</w:t>
      </w:r>
      <w:r w:rsidR="006C7149" w:rsidRPr="006070EA">
        <w:rPr>
          <w:rFonts w:asciiTheme="majorHAnsi" w:hAnsiTheme="majorHAnsi" w:cstheme="majorHAnsi"/>
        </w:rPr>
        <w:t> </w:t>
      </w:r>
      <w:r w:rsidRPr="006070EA">
        <w:rPr>
          <w:rFonts w:asciiTheme="majorHAnsi" w:hAnsiTheme="majorHAnsi" w:cstheme="majorHAnsi"/>
        </w:rPr>
        <w:t xml:space="preserve">vzájemné provázání návrhů ÚSES. </w:t>
      </w:r>
      <w:r w:rsidRPr="006070EA">
        <w:rPr>
          <w:rFonts w:asciiTheme="majorHAnsi" w:hAnsiTheme="majorHAnsi" w:cstheme="majorHAnsi"/>
          <w:snapToGrid w:val="0"/>
        </w:rPr>
        <w:t>Pro skladebné prvky ÚSES jsou vymezovány zbytky přírodních a přirozených společenstev s nejvyšší ekologickou stabilitou. Tyto segmenty krajiny mají příznivý vliv na okolní méně stabilní části krajiny a</w:t>
      </w:r>
      <w:r w:rsidR="00BC0CD5" w:rsidRPr="006070EA">
        <w:rPr>
          <w:rFonts w:asciiTheme="majorHAnsi" w:hAnsiTheme="majorHAnsi" w:cstheme="majorHAnsi"/>
          <w:snapToGrid w:val="0"/>
        </w:rPr>
        <w:t> </w:t>
      </w:r>
      <w:r w:rsidRPr="006070EA">
        <w:rPr>
          <w:rFonts w:asciiTheme="majorHAnsi" w:hAnsiTheme="majorHAnsi" w:cstheme="majorHAnsi"/>
          <w:snapToGrid w:val="0"/>
        </w:rPr>
        <w:t>jsou nezbytné pro ochranu druhové a genové diverzity.</w:t>
      </w:r>
    </w:p>
    <w:p w14:paraId="71F51DAE" w14:textId="77777777" w:rsidR="003B52D1" w:rsidRPr="006070EA" w:rsidRDefault="003B52D1" w:rsidP="003B52D1">
      <w:pPr>
        <w:spacing w:before="120" w:after="120" w:line="240" w:lineRule="auto"/>
        <w:jc w:val="both"/>
        <w:rPr>
          <w:rFonts w:asciiTheme="majorHAnsi" w:hAnsiTheme="majorHAnsi" w:cstheme="majorHAnsi"/>
          <w:b/>
          <w:sz w:val="18"/>
        </w:rPr>
      </w:pPr>
      <w:r w:rsidRPr="006070EA">
        <w:rPr>
          <w:rFonts w:asciiTheme="majorHAnsi" w:hAnsiTheme="majorHAnsi" w:cstheme="majorHAnsi"/>
          <w:b/>
          <w:sz w:val="18"/>
        </w:rPr>
        <w:t>Doplňková opatření ÚSES (plochy významné zeleně plnící funkci interakčních prvků)</w:t>
      </w:r>
    </w:p>
    <w:p w14:paraId="6380845C" w14:textId="5A0A19F3" w:rsidR="003B52D1" w:rsidRPr="006070EA" w:rsidRDefault="003B52D1" w:rsidP="003B52D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V řešeném území je systém ÚSES doplněn plochami významné zeleně. Těmi jsou nepostradatelné krajinné segmenty obvykle ekotonového charakteru, které zprostředkovávají na lokální úrovni příznivé působení ostatních ekologicky významných krajinných segmentů. Jedná se o liniové prvky (stávající, k doplnění, nově navržené), zejména zalesnění v pruzích stromovým a</w:t>
      </w:r>
      <w:r w:rsidR="006C7149" w:rsidRPr="006070EA">
        <w:rPr>
          <w:rFonts w:asciiTheme="majorHAnsi" w:hAnsiTheme="majorHAnsi" w:cstheme="majorHAnsi"/>
          <w:sz w:val="18"/>
        </w:rPr>
        <w:t> </w:t>
      </w:r>
      <w:r w:rsidRPr="006070EA">
        <w:rPr>
          <w:rFonts w:asciiTheme="majorHAnsi" w:hAnsiTheme="majorHAnsi" w:cstheme="majorHAnsi"/>
          <w:sz w:val="18"/>
        </w:rPr>
        <w:t>keřovým patrem, obnova krajinných formací podél zachovalých lánů, doplnění a obnovení stromořadí podél cest, břehových porostů, ozelenění a udržování tůní a podpora skupin stromů ve volné krajině. Důležité jsou též travnaté pruhy po vrstevnici, které mají protierozní charakter a jsou významné pro živočišnou faunu.</w:t>
      </w:r>
    </w:p>
    <w:p w14:paraId="5462A9D8" w14:textId="4BF48F3F" w:rsidR="003B52D1" w:rsidRPr="006070EA" w:rsidRDefault="003B52D1" w:rsidP="003B52D1">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Významné plochy zeleně jsou vymezeny </w:t>
      </w:r>
      <w:r w:rsidR="00322BBA" w:rsidRPr="006070EA">
        <w:rPr>
          <w:rFonts w:asciiTheme="majorHAnsi" w:hAnsiTheme="majorHAnsi" w:cstheme="majorHAnsi"/>
          <w:sz w:val="18"/>
        </w:rPr>
        <w:t xml:space="preserve">zejména </w:t>
      </w:r>
      <w:r w:rsidRPr="006070EA">
        <w:rPr>
          <w:rFonts w:asciiTheme="majorHAnsi" w:hAnsiTheme="majorHAnsi" w:cstheme="majorHAnsi"/>
          <w:sz w:val="18"/>
        </w:rPr>
        <w:t xml:space="preserve">jako součást ploch smíšených nezastavěného území – </w:t>
      </w:r>
      <w:r w:rsidR="006C7149" w:rsidRPr="006070EA">
        <w:rPr>
          <w:rFonts w:asciiTheme="majorHAnsi" w:hAnsiTheme="majorHAnsi" w:cstheme="majorHAnsi"/>
          <w:sz w:val="18"/>
        </w:rPr>
        <w:t>zemědělství extenzivní</w:t>
      </w:r>
      <w:r w:rsidRPr="006070EA">
        <w:rPr>
          <w:rFonts w:asciiTheme="majorHAnsi" w:hAnsiTheme="majorHAnsi" w:cstheme="majorHAnsi"/>
          <w:sz w:val="18"/>
        </w:rPr>
        <w:t>, přírodní</w:t>
      </w:r>
      <w:r w:rsidR="006C7149" w:rsidRPr="006070EA">
        <w:rPr>
          <w:rFonts w:asciiTheme="majorHAnsi" w:hAnsiTheme="majorHAnsi" w:cstheme="majorHAnsi"/>
          <w:sz w:val="18"/>
        </w:rPr>
        <w:t xml:space="preserve"> priority</w:t>
      </w:r>
      <w:r w:rsidRPr="006070EA">
        <w:rPr>
          <w:rFonts w:asciiTheme="majorHAnsi" w:hAnsiTheme="majorHAnsi" w:cstheme="majorHAnsi"/>
          <w:sz w:val="18"/>
        </w:rPr>
        <w:t xml:space="preserve"> (</w:t>
      </w:r>
      <w:proofErr w:type="gramStart"/>
      <w:r w:rsidR="006C7149" w:rsidRPr="006070EA">
        <w:rPr>
          <w:rFonts w:asciiTheme="majorHAnsi" w:hAnsiTheme="majorHAnsi" w:cstheme="majorHAnsi"/>
          <w:sz w:val="18"/>
        </w:rPr>
        <w:t>MU.zp</w:t>
      </w:r>
      <w:proofErr w:type="gramEnd"/>
      <w:r w:rsidRPr="006070EA">
        <w:rPr>
          <w:rFonts w:asciiTheme="majorHAnsi" w:hAnsiTheme="majorHAnsi" w:cstheme="majorHAnsi"/>
          <w:sz w:val="18"/>
        </w:rPr>
        <w:t>), lesních</w:t>
      </w:r>
      <w:r w:rsidR="006C7149" w:rsidRPr="006070EA">
        <w:rPr>
          <w:rFonts w:asciiTheme="majorHAnsi" w:hAnsiTheme="majorHAnsi" w:cstheme="majorHAnsi"/>
          <w:sz w:val="18"/>
        </w:rPr>
        <w:t xml:space="preserve"> všeobecných</w:t>
      </w:r>
      <w:r w:rsidRPr="006070EA">
        <w:rPr>
          <w:rFonts w:asciiTheme="majorHAnsi" w:hAnsiTheme="majorHAnsi" w:cstheme="majorHAnsi"/>
          <w:sz w:val="18"/>
        </w:rPr>
        <w:t xml:space="preserve"> (</w:t>
      </w:r>
      <w:r w:rsidR="006C7149" w:rsidRPr="006070EA">
        <w:rPr>
          <w:rFonts w:asciiTheme="majorHAnsi" w:hAnsiTheme="majorHAnsi" w:cstheme="majorHAnsi"/>
          <w:sz w:val="18"/>
        </w:rPr>
        <w:t>LU</w:t>
      </w:r>
      <w:r w:rsidRPr="006070EA">
        <w:rPr>
          <w:rFonts w:asciiTheme="majorHAnsi" w:hAnsiTheme="majorHAnsi" w:cstheme="majorHAnsi"/>
          <w:sz w:val="18"/>
        </w:rPr>
        <w:t>) a ploch dopravních (DS, DZ</w:t>
      </w:r>
      <w:r w:rsidR="006C7149" w:rsidRPr="006070EA">
        <w:rPr>
          <w:rFonts w:asciiTheme="majorHAnsi" w:hAnsiTheme="majorHAnsi" w:cstheme="majorHAnsi"/>
          <w:sz w:val="18"/>
        </w:rPr>
        <w:t>, DV</w:t>
      </w:r>
      <w:r w:rsidRPr="006070EA">
        <w:rPr>
          <w:rFonts w:asciiTheme="majorHAnsi" w:hAnsiTheme="majorHAnsi" w:cstheme="majorHAnsi"/>
          <w:sz w:val="18"/>
        </w:rPr>
        <w:t>)</w:t>
      </w:r>
      <w:r w:rsidR="00322BBA" w:rsidRPr="006070EA">
        <w:rPr>
          <w:rFonts w:asciiTheme="majorHAnsi" w:hAnsiTheme="majorHAnsi" w:cstheme="majorHAnsi"/>
          <w:sz w:val="18"/>
        </w:rPr>
        <w:t>, ale mohou být zahrnuty také v ostatních plochách s rozdílným způsobem využití</w:t>
      </w:r>
      <w:r w:rsidRPr="006070EA">
        <w:rPr>
          <w:rFonts w:asciiTheme="majorHAnsi" w:hAnsiTheme="majorHAnsi" w:cstheme="majorHAnsi"/>
          <w:sz w:val="18"/>
        </w:rPr>
        <w:t>. Jejich obnova a funkčnost souvisí především s realizací komplexních pozemkových úprav v území.</w:t>
      </w:r>
    </w:p>
    <w:p w14:paraId="046D3A33" w14:textId="77777777" w:rsidR="00AB1F4C" w:rsidRPr="006070EA" w:rsidRDefault="00887C54"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95" w:name="_Toc204678208"/>
      <w:r w:rsidRPr="006070EA">
        <w:rPr>
          <w:rFonts w:asciiTheme="majorHAnsi" w:hAnsiTheme="majorHAnsi" w:cstheme="majorHAnsi"/>
          <w:b/>
        </w:rPr>
        <w:t>Odůvodnění zásad zajištění p</w:t>
      </w:r>
      <w:r w:rsidR="00AB1F4C" w:rsidRPr="006070EA">
        <w:rPr>
          <w:rFonts w:asciiTheme="majorHAnsi" w:hAnsiTheme="majorHAnsi" w:cstheme="majorHAnsi"/>
          <w:b/>
        </w:rPr>
        <w:t>rostupnost</w:t>
      </w:r>
      <w:r w:rsidRPr="006070EA">
        <w:rPr>
          <w:rFonts w:asciiTheme="majorHAnsi" w:hAnsiTheme="majorHAnsi" w:cstheme="majorHAnsi"/>
          <w:b/>
        </w:rPr>
        <w:t>i</w:t>
      </w:r>
      <w:r w:rsidR="00AB1F4C" w:rsidRPr="006070EA">
        <w:rPr>
          <w:rFonts w:asciiTheme="majorHAnsi" w:hAnsiTheme="majorHAnsi" w:cstheme="majorHAnsi"/>
          <w:b/>
        </w:rPr>
        <w:t xml:space="preserve"> krajiny</w:t>
      </w:r>
      <w:bookmarkEnd w:id="395"/>
    </w:p>
    <w:p w14:paraId="6D5E64E8" w14:textId="23F51BF3" w:rsidR="00887C54" w:rsidRPr="006070EA" w:rsidRDefault="00887C54"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32469D" w:rsidRPr="006070EA">
        <w:rPr>
          <w:rFonts w:asciiTheme="majorHAnsi" w:hAnsiTheme="majorHAnsi" w:cstheme="majorHAnsi"/>
          <w:b/>
          <w:i/>
          <w:snapToGrid w:val="0"/>
          <w:u w:val="single"/>
        </w:rPr>
        <w:t>5</w:t>
      </w:r>
      <w:r w:rsidR="0021590A">
        <w:rPr>
          <w:rFonts w:asciiTheme="majorHAnsi" w:hAnsiTheme="majorHAnsi" w:cstheme="majorHAnsi"/>
          <w:b/>
          <w:i/>
          <w:snapToGrid w:val="0"/>
          <w:u w:val="single"/>
        </w:rPr>
        <w:t>1</w:t>
      </w:r>
      <w:r w:rsidRPr="006070EA">
        <w:rPr>
          <w:rFonts w:asciiTheme="majorHAnsi" w:hAnsiTheme="majorHAnsi" w:cstheme="majorHAnsi"/>
          <w:b/>
          <w:i/>
          <w:snapToGrid w:val="0"/>
          <w:u w:val="single"/>
        </w:rPr>
        <w:t>)</w:t>
      </w:r>
      <w:r w:rsidR="0032469D" w:rsidRPr="006070EA">
        <w:rPr>
          <w:rFonts w:asciiTheme="majorHAnsi" w:hAnsiTheme="majorHAnsi" w:cstheme="majorHAnsi"/>
          <w:b/>
          <w:i/>
          <w:snapToGrid w:val="0"/>
          <w:u w:val="single"/>
        </w:rPr>
        <w:t xml:space="preserve"> </w:t>
      </w:r>
      <w:r w:rsidR="0032469D" w:rsidRPr="006070EA">
        <w:rPr>
          <w:rFonts w:asciiTheme="majorHAnsi" w:hAnsiTheme="majorHAnsi" w:cstheme="majorHAnsi"/>
          <w:bCs w:val="0"/>
          <w:i/>
          <w:snapToGrid w:val="0"/>
          <w:u w:val="single"/>
        </w:rPr>
        <w:t>a</w:t>
      </w:r>
      <w:r w:rsidR="0032469D" w:rsidRPr="006070EA">
        <w:rPr>
          <w:rFonts w:asciiTheme="majorHAnsi" w:hAnsiTheme="majorHAnsi" w:cstheme="majorHAnsi"/>
          <w:b/>
          <w:i/>
          <w:snapToGrid w:val="0"/>
          <w:u w:val="single"/>
        </w:rPr>
        <w:t xml:space="preserve"> (5</w:t>
      </w:r>
      <w:r w:rsidR="0021590A">
        <w:rPr>
          <w:rFonts w:asciiTheme="majorHAnsi" w:hAnsiTheme="majorHAnsi" w:cstheme="majorHAnsi"/>
          <w:b/>
          <w:i/>
          <w:snapToGrid w:val="0"/>
          <w:u w:val="single"/>
        </w:rPr>
        <w:t>2</w:t>
      </w:r>
      <w:r w:rsidR="0032469D" w:rsidRPr="006070EA">
        <w:rPr>
          <w:rFonts w:asciiTheme="majorHAnsi" w:hAnsiTheme="majorHAnsi" w:cstheme="majorHAnsi"/>
          <w:b/>
          <w:i/>
          <w:snapToGrid w:val="0"/>
          <w:u w:val="single"/>
        </w:rPr>
        <w:t>)</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595202D4" w14:textId="77777777" w:rsidR="00AB1F4C" w:rsidRPr="006070EA" w:rsidRDefault="00AB1F4C" w:rsidP="009E07E1">
      <w:pPr>
        <w:spacing w:before="60" w:after="0" w:line="240" w:lineRule="auto"/>
        <w:ind w:firstLine="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Jedním z cílů územního plánu je zachovat prostupnost krajiny jak pro člověka, tak i pro volně žijící živočichy. Prostupnost krajiny zajišťuje migraci a vzájemnou komunikaci populací, přímé komunikační propojení sídel v krajině a je také nutná pro zajištění hospodárného využívání krajiny. Pro člověka je prostupnost krajiny zajištěna zejména cestní sítí, přičemž snahou je obnovovat logická spojení nejdůležitějších bodů v krajině pěšími či cyklistickými cestami. Pro ostatní organismy je prostupnost zajištěna zejména územním systémem ekologické stability.</w:t>
      </w:r>
    </w:p>
    <w:p w14:paraId="11F80EAB" w14:textId="77777777" w:rsidR="0032469D" w:rsidRPr="006070EA" w:rsidRDefault="0032469D" w:rsidP="0032469D">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Prostupnost krajiny je řešena vymezením základní sítě veřejných prostranství zajišťujících prostupnost území v nezbytné minimální míře a dále stanovením zásad prostu zajištění prostupnosti krajiny v kapitole 5.5 výrokové části ÚP Kostomlaty nad Labem. Zajištění prostupnosti krajiny v plochách veřejných prostranství vyplývá z § 3 odst. 5 vyhlášky č. 501/2006 Sb., ve znění pozdějších předpisů. Vymezení stávajících cest umožňujících bezpečný průchod krajinou vychází ze stávajících komunikací dle evidence katastru nemovitostí, prokazatelně využívaných cest v krajině na základě terénního průzkumu území, a dále z vymezení stabilizovaných turistických tras a cyklistických tras v řešeném území. </w:t>
      </w:r>
    </w:p>
    <w:p w14:paraId="6533352B" w14:textId="1B8D2CB0" w:rsidR="0032469D" w:rsidRPr="006070EA" w:rsidRDefault="0032469D" w:rsidP="0032469D">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Podrobné řešení prostupnosti krajiny je tedy řešeno v rámci systému veřejných prostranství, pro nějž je v ÚP obsažena samostatná kapitola 4.2 textové části výroku a odpovídající odůvodnění v kapitole 11.4.2.</w:t>
      </w:r>
    </w:p>
    <w:p w14:paraId="46698793" w14:textId="62016E2C" w:rsidR="00887C54" w:rsidRPr="006070EA" w:rsidRDefault="00887C54" w:rsidP="009E07E1">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ÚP vymezuje základní síť veřejných prostranství zajišťující prostupnost území v nezbytné minimální míře.</w:t>
      </w:r>
      <w:r w:rsidR="00F87824" w:rsidRPr="006070EA">
        <w:rPr>
          <w:rFonts w:asciiTheme="majorHAnsi" w:hAnsiTheme="majorHAnsi" w:cstheme="majorHAnsi"/>
          <w:sz w:val="18"/>
        </w:rPr>
        <w:t xml:space="preserve"> </w:t>
      </w:r>
      <w:r w:rsidRPr="006070EA">
        <w:rPr>
          <w:rFonts w:asciiTheme="majorHAnsi" w:hAnsiTheme="majorHAnsi" w:cstheme="majorHAnsi"/>
          <w:sz w:val="18"/>
        </w:rPr>
        <w:t>Rozvoj dalších veřejných prostranství je vhodné prověřit v podrobnější dokumentaci a</w:t>
      </w:r>
      <w:r w:rsidR="00616F2B" w:rsidRPr="006070EA">
        <w:rPr>
          <w:rFonts w:asciiTheme="majorHAnsi" w:hAnsiTheme="majorHAnsi" w:cstheme="majorHAnsi"/>
          <w:sz w:val="18"/>
        </w:rPr>
        <w:t> </w:t>
      </w:r>
      <w:r w:rsidRPr="006070EA">
        <w:rPr>
          <w:rFonts w:asciiTheme="majorHAnsi" w:hAnsiTheme="majorHAnsi" w:cstheme="majorHAnsi"/>
          <w:sz w:val="18"/>
        </w:rPr>
        <w:t>na základě dohody s vlastníky pozemků. ÚP</w:t>
      </w:r>
      <w:r w:rsidR="00A72821" w:rsidRPr="006070EA">
        <w:rPr>
          <w:rFonts w:asciiTheme="majorHAnsi" w:hAnsiTheme="majorHAnsi" w:cstheme="majorHAnsi"/>
          <w:sz w:val="18"/>
        </w:rPr>
        <w:t> </w:t>
      </w:r>
      <w:r w:rsidRPr="006070EA">
        <w:rPr>
          <w:rFonts w:asciiTheme="majorHAnsi" w:hAnsiTheme="majorHAnsi" w:cstheme="majorHAnsi"/>
          <w:sz w:val="18"/>
        </w:rPr>
        <w:t>proto umožňuje umisťovat veřejná prostranství také v dalších plochách s rozdílným způsobem využití. Důvodem je zejména ochrana stávajících veřejných prostranství a umožnění jejich rozvoje pro účely zajištění prostupnosti území a</w:t>
      </w:r>
      <w:r w:rsidR="00A72821" w:rsidRPr="006070EA">
        <w:rPr>
          <w:rFonts w:asciiTheme="majorHAnsi" w:hAnsiTheme="majorHAnsi" w:cstheme="majorHAnsi"/>
          <w:sz w:val="18"/>
        </w:rPr>
        <w:t> </w:t>
      </w:r>
      <w:r w:rsidRPr="006070EA">
        <w:rPr>
          <w:rFonts w:asciiTheme="majorHAnsi" w:hAnsiTheme="majorHAnsi" w:cstheme="majorHAnsi"/>
          <w:sz w:val="18"/>
        </w:rPr>
        <w:t>dobrých podmínek pro rekreaci a turistiku, včetně každodenní rekreace obyvatel</w:t>
      </w:r>
      <w:r w:rsidR="0042458A" w:rsidRPr="006070EA">
        <w:rPr>
          <w:rFonts w:asciiTheme="majorHAnsi" w:hAnsiTheme="majorHAnsi" w:cstheme="majorHAnsi"/>
          <w:sz w:val="18"/>
        </w:rPr>
        <w:t xml:space="preserve"> a vytvoření podmínek pro realizaci opatření, navržených v plánu společných zařízení ukončených komplexních pozemkových úprav</w:t>
      </w:r>
      <w:r w:rsidRPr="006070EA">
        <w:rPr>
          <w:rFonts w:asciiTheme="majorHAnsi" w:hAnsiTheme="majorHAnsi" w:cstheme="majorHAnsi"/>
          <w:sz w:val="18"/>
        </w:rPr>
        <w:t>.</w:t>
      </w:r>
      <w:r w:rsidR="0042458A" w:rsidRPr="006070EA">
        <w:rPr>
          <w:rFonts w:asciiTheme="majorHAnsi" w:hAnsiTheme="majorHAnsi" w:cstheme="majorHAnsi"/>
          <w:sz w:val="18"/>
        </w:rPr>
        <w:t xml:space="preserve"> </w:t>
      </w:r>
    </w:p>
    <w:p w14:paraId="5982DF34" w14:textId="77777777" w:rsidR="00887C54" w:rsidRPr="006070EA" w:rsidRDefault="00887C54"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96" w:name="_Toc204678209"/>
      <w:r w:rsidRPr="006070EA">
        <w:rPr>
          <w:rFonts w:asciiTheme="majorHAnsi" w:hAnsiTheme="majorHAnsi" w:cstheme="majorHAnsi"/>
          <w:b/>
        </w:rPr>
        <w:t>Odůvodnění p</w:t>
      </w:r>
      <w:r w:rsidR="00AB1F4C" w:rsidRPr="006070EA">
        <w:rPr>
          <w:rFonts w:asciiTheme="majorHAnsi" w:hAnsiTheme="majorHAnsi" w:cstheme="majorHAnsi"/>
          <w:b/>
        </w:rPr>
        <w:t>rotierozní</w:t>
      </w:r>
      <w:r w:rsidRPr="006070EA">
        <w:rPr>
          <w:rFonts w:asciiTheme="majorHAnsi" w:hAnsiTheme="majorHAnsi" w:cstheme="majorHAnsi"/>
          <w:b/>
        </w:rPr>
        <w:t>ch</w:t>
      </w:r>
      <w:r w:rsidR="00AB1F4C" w:rsidRPr="006070EA">
        <w:rPr>
          <w:rFonts w:asciiTheme="majorHAnsi" w:hAnsiTheme="majorHAnsi" w:cstheme="majorHAnsi"/>
          <w:b/>
        </w:rPr>
        <w:t xml:space="preserve"> a revitalizační</w:t>
      </w:r>
      <w:r w:rsidRPr="006070EA">
        <w:rPr>
          <w:rFonts w:asciiTheme="majorHAnsi" w:hAnsiTheme="majorHAnsi" w:cstheme="majorHAnsi"/>
          <w:b/>
        </w:rPr>
        <w:t>ch opatření v krajině</w:t>
      </w:r>
      <w:bookmarkEnd w:id="396"/>
    </w:p>
    <w:p w14:paraId="0CB9AEB4" w14:textId="52560CC5" w:rsidR="00013569" w:rsidRPr="006070EA" w:rsidRDefault="00013569"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A72821" w:rsidRPr="006070EA">
        <w:rPr>
          <w:rFonts w:asciiTheme="majorHAnsi" w:hAnsiTheme="majorHAnsi" w:cstheme="majorHAnsi"/>
          <w:b/>
          <w:i/>
          <w:snapToGrid w:val="0"/>
          <w:u w:val="single"/>
        </w:rPr>
        <w:t>5</w:t>
      </w:r>
      <w:r w:rsidR="0021590A">
        <w:rPr>
          <w:rFonts w:asciiTheme="majorHAnsi" w:hAnsiTheme="majorHAnsi" w:cstheme="majorHAnsi"/>
          <w:b/>
          <w:i/>
          <w:snapToGrid w:val="0"/>
          <w:u w:val="single"/>
        </w:rPr>
        <w:t>3</w:t>
      </w:r>
      <w:r w:rsidRPr="006070EA">
        <w:rPr>
          <w:rFonts w:asciiTheme="majorHAnsi" w:hAnsiTheme="majorHAnsi" w:cstheme="majorHAnsi"/>
          <w:b/>
          <w:i/>
          <w:snapToGrid w:val="0"/>
          <w:u w:val="single"/>
        </w:rPr>
        <w:t>)</w:t>
      </w:r>
      <w:r w:rsidR="00A72821" w:rsidRPr="006070EA">
        <w:rPr>
          <w:rFonts w:asciiTheme="majorHAnsi" w:hAnsiTheme="majorHAnsi" w:cstheme="majorHAnsi"/>
          <w:b/>
          <w:i/>
          <w:snapToGrid w:val="0"/>
          <w:u w:val="single"/>
        </w:rPr>
        <w:t xml:space="preserve"> a (5</w:t>
      </w:r>
      <w:r w:rsidR="0021590A">
        <w:rPr>
          <w:rFonts w:asciiTheme="majorHAnsi" w:hAnsiTheme="majorHAnsi" w:cstheme="majorHAnsi"/>
          <w:b/>
          <w:i/>
          <w:snapToGrid w:val="0"/>
          <w:u w:val="single"/>
        </w:rPr>
        <w:t>4</w:t>
      </w:r>
      <w:r w:rsidR="00A72821" w:rsidRPr="006070EA">
        <w:rPr>
          <w:rFonts w:asciiTheme="majorHAnsi" w:hAnsiTheme="majorHAnsi" w:cstheme="majorHAnsi"/>
          <w:b/>
          <w:i/>
          <w:snapToGrid w:val="0"/>
          <w:u w:val="single"/>
        </w:rPr>
        <w:t>)</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4A6FD694" w14:textId="2EDEB125" w:rsidR="00664147" w:rsidRPr="006070EA" w:rsidRDefault="00887C54" w:rsidP="009E07E1">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Protierozní a revitalizační opatření v krajině explicitně umožňují stanovené podmínky </w:t>
      </w:r>
      <w:r w:rsidR="00013569" w:rsidRPr="006070EA">
        <w:rPr>
          <w:rFonts w:asciiTheme="majorHAnsi" w:hAnsiTheme="majorHAnsi" w:cstheme="majorHAnsi"/>
          <w:sz w:val="18"/>
        </w:rPr>
        <w:t xml:space="preserve">využití ploch s rozdílným způsobem využití, zejm. </w:t>
      </w:r>
      <w:r w:rsidR="00664147" w:rsidRPr="006070EA">
        <w:rPr>
          <w:rFonts w:asciiTheme="majorHAnsi" w:hAnsiTheme="majorHAnsi" w:cstheme="majorHAnsi"/>
          <w:iCs/>
          <w:sz w:val="18"/>
        </w:rPr>
        <w:t>plochy</w:t>
      </w:r>
      <w:r w:rsidR="00664147" w:rsidRPr="006070EA">
        <w:rPr>
          <w:rFonts w:asciiTheme="majorHAnsi" w:hAnsiTheme="majorHAnsi" w:cstheme="majorHAnsi"/>
          <w:i/>
          <w:sz w:val="18"/>
        </w:rPr>
        <w:t xml:space="preserve"> vodní a vodohospodářské</w:t>
      </w:r>
      <w:r w:rsidR="006C7149" w:rsidRPr="006070EA">
        <w:rPr>
          <w:rFonts w:asciiTheme="majorHAnsi" w:hAnsiTheme="majorHAnsi" w:cstheme="majorHAnsi"/>
          <w:i/>
          <w:sz w:val="18"/>
        </w:rPr>
        <w:t xml:space="preserve"> všeobecné</w:t>
      </w:r>
      <w:r w:rsidR="00664147" w:rsidRPr="006070EA">
        <w:rPr>
          <w:rFonts w:asciiTheme="majorHAnsi" w:hAnsiTheme="majorHAnsi" w:cstheme="majorHAnsi"/>
          <w:sz w:val="18"/>
        </w:rPr>
        <w:t xml:space="preserve"> (W</w:t>
      </w:r>
      <w:r w:rsidR="006C7149" w:rsidRPr="006070EA">
        <w:rPr>
          <w:rFonts w:asciiTheme="majorHAnsi" w:hAnsiTheme="majorHAnsi" w:cstheme="majorHAnsi"/>
          <w:sz w:val="18"/>
        </w:rPr>
        <w:t>U</w:t>
      </w:r>
      <w:r w:rsidR="00664147" w:rsidRPr="006070EA">
        <w:rPr>
          <w:rFonts w:asciiTheme="majorHAnsi" w:hAnsiTheme="majorHAnsi" w:cstheme="majorHAnsi"/>
          <w:sz w:val="18"/>
        </w:rPr>
        <w:t>)</w:t>
      </w:r>
      <w:r w:rsidR="006C7149" w:rsidRPr="006070EA">
        <w:rPr>
          <w:rFonts w:asciiTheme="majorHAnsi" w:hAnsiTheme="majorHAnsi" w:cstheme="majorHAnsi"/>
          <w:sz w:val="18"/>
        </w:rPr>
        <w:t>,</w:t>
      </w:r>
      <w:r w:rsidR="00664147" w:rsidRPr="006070EA">
        <w:rPr>
          <w:rFonts w:asciiTheme="majorHAnsi" w:hAnsiTheme="majorHAnsi" w:cstheme="majorHAnsi"/>
          <w:sz w:val="18"/>
        </w:rPr>
        <w:t xml:space="preserve"> </w:t>
      </w:r>
      <w:r w:rsidR="00664147" w:rsidRPr="006070EA">
        <w:rPr>
          <w:rFonts w:asciiTheme="majorHAnsi" w:hAnsiTheme="majorHAnsi" w:cstheme="majorHAnsi"/>
          <w:i/>
          <w:sz w:val="18"/>
        </w:rPr>
        <w:t>zemědělské</w:t>
      </w:r>
      <w:r w:rsidR="006C7149" w:rsidRPr="006070EA">
        <w:rPr>
          <w:rFonts w:asciiTheme="majorHAnsi" w:hAnsiTheme="majorHAnsi" w:cstheme="majorHAnsi"/>
          <w:i/>
          <w:sz w:val="18"/>
        </w:rPr>
        <w:t xml:space="preserve"> všeobecné</w:t>
      </w:r>
      <w:r w:rsidR="00664147" w:rsidRPr="006070EA">
        <w:rPr>
          <w:rFonts w:asciiTheme="majorHAnsi" w:hAnsiTheme="majorHAnsi" w:cstheme="majorHAnsi"/>
          <w:sz w:val="18"/>
        </w:rPr>
        <w:t xml:space="preserve"> (</w:t>
      </w:r>
      <w:r w:rsidR="006C7149" w:rsidRPr="006070EA">
        <w:rPr>
          <w:rFonts w:asciiTheme="majorHAnsi" w:hAnsiTheme="majorHAnsi" w:cstheme="majorHAnsi"/>
          <w:sz w:val="18"/>
        </w:rPr>
        <w:t>AU</w:t>
      </w:r>
      <w:r w:rsidR="00664147" w:rsidRPr="006070EA">
        <w:rPr>
          <w:rFonts w:asciiTheme="majorHAnsi" w:hAnsiTheme="majorHAnsi" w:cstheme="majorHAnsi"/>
          <w:sz w:val="18"/>
        </w:rPr>
        <w:t xml:space="preserve">) a </w:t>
      </w:r>
      <w:r w:rsidR="00013569" w:rsidRPr="006070EA">
        <w:rPr>
          <w:rFonts w:asciiTheme="majorHAnsi" w:hAnsiTheme="majorHAnsi" w:cstheme="majorHAnsi"/>
          <w:i/>
          <w:sz w:val="18"/>
        </w:rPr>
        <w:t>smíšené nezastavěného území</w:t>
      </w:r>
      <w:r w:rsidR="006C7149" w:rsidRPr="006070EA">
        <w:rPr>
          <w:rFonts w:asciiTheme="majorHAnsi" w:hAnsiTheme="majorHAnsi" w:cstheme="majorHAnsi"/>
          <w:i/>
          <w:sz w:val="18"/>
        </w:rPr>
        <w:t xml:space="preserve"> – zemědělství extenzivní, přírodní priority</w:t>
      </w:r>
      <w:r w:rsidR="00013569" w:rsidRPr="006070EA">
        <w:rPr>
          <w:rFonts w:asciiTheme="majorHAnsi" w:hAnsiTheme="majorHAnsi" w:cstheme="majorHAnsi"/>
          <w:sz w:val="18"/>
        </w:rPr>
        <w:t xml:space="preserve"> (</w:t>
      </w:r>
      <w:proofErr w:type="gramStart"/>
      <w:r w:rsidR="006C7149" w:rsidRPr="006070EA">
        <w:rPr>
          <w:rFonts w:asciiTheme="majorHAnsi" w:hAnsiTheme="majorHAnsi" w:cstheme="majorHAnsi"/>
          <w:sz w:val="18"/>
        </w:rPr>
        <w:t>MU.zp</w:t>
      </w:r>
      <w:proofErr w:type="gramEnd"/>
      <w:r w:rsidR="00013569" w:rsidRPr="006070EA">
        <w:rPr>
          <w:rFonts w:asciiTheme="majorHAnsi" w:hAnsiTheme="majorHAnsi" w:cstheme="majorHAnsi"/>
          <w:sz w:val="18"/>
        </w:rPr>
        <w:t>)</w:t>
      </w:r>
      <w:r w:rsidR="00664147" w:rsidRPr="006070EA">
        <w:rPr>
          <w:rFonts w:asciiTheme="majorHAnsi" w:hAnsiTheme="majorHAnsi" w:cstheme="majorHAnsi"/>
          <w:sz w:val="18"/>
        </w:rPr>
        <w:t>, tvořící majoritní podíl volné krajiny</w:t>
      </w:r>
      <w:r w:rsidRPr="006070EA">
        <w:rPr>
          <w:rFonts w:asciiTheme="majorHAnsi" w:hAnsiTheme="majorHAnsi" w:cstheme="majorHAnsi"/>
          <w:sz w:val="18"/>
        </w:rPr>
        <w:t xml:space="preserve">. </w:t>
      </w:r>
    </w:p>
    <w:p w14:paraId="70ABDB93" w14:textId="77777777" w:rsidR="00A72821" w:rsidRPr="006070EA" w:rsidRDefault="00A72821" w:rsidP="00A72821">
      <w:pPr>
        <w:pStyle w:val="Atext"/>
        <w:rPr>
          <w:rFonts w:asciiTheme="majorHAnsi" w:hAnsiTheme="majorHAnsi" w:cstheme="majorHAnsi"/>
        </w:rPr>
      </w:pPr>
      <w:r w:rsidRPr="006070EA">
        <w:rPr>
          <w:rFonts w:asciiTheme="majorHAnsi" w:hAnsiTheme="majorHAnsi" w:cstheme="majorHAnsi"/>
        </w:rPr>
        <w:t xml:space="preserve">Ochrana vodních toků je zakotvena v zákoně č. 254/2001 Sb., ve znění pozdějších předpisů (vodní zákon). Vodní toky a plochy tvoří významnou část ekologicky stabilních systémů a krajinných os, které je nezbytné chránit a posilovat zejména s ohledem na ochranu přírody a krajiny, zachování hydrologických charakteristik území a zajištění jejich zachování. Vodní prvky </w:t>
      </w:r>
      <w:r w:rsidRPr="006070EA">
        <w:rPr>
          <w:rFonts w:asciiTheme="majorHAnsi" w:hAnsiTheme="majorHAnsi" w:cstheme="majorHAnsi"/>
        </w:rPr>
        <w:lastRenderedPageBreak/>
        <w:t>jsou významnou atraktivitou každého území, představují obvykle nejvýraznější krajinné osy území a vážou na sebe kromě rozmanitých prvků krajinné zeleně také nejrůznější aktivity lidí (rekreaci a turistiku).</w:t>
      </w:r>
    </w:p>
    <w:p w14:paraId="0C1385D3" w14:textId="4E3B8A00" w:rsidR="00A72821" w:rsidRPr="006070EA" w:rsidRDefault="00A72821" w:rsidP="00A72821">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Stanovení podmínek využití pro všechny plochy vymezené v nezastavěném území je dostatečně široké, aby umožnilo realizaci dalších opatření v krajině (zakládání pásů zeleně, průlehů, mezí, remízů apod.). ÚP tímto vytváří podmínky pro realizaci protierozních a revitalizačních opatření, jejichž konkrétní řešení je mimo měřítko ÚP a je nezbytné je upřesnit v rámci navazujících řízení a v podrobnějších dokumentacích či podkladech (revitalizační studie, studie odtokových poměrů apod.) s ohledem na podrobné podmínky a požadavky v území. </w:t>
      </w:r>
    </w:p>
    <w:p w14:paraId="6401A706" w14:textId="77777777" w:rsidR="00A72821" w:rsidRPr="006070EA" w:rsidRDefault="00A72821" w:rsidP="00A72821">
      <w:pPr>
        <w:pStyle w:val="Anadpistun"/>
        <w:rPr>
          <w:rFonts w:asciiTheme="majorHAnsi" w:hAnsiTheme="majorHAnsi" w:cstheme="majorHAnsi"/>
        </w:rPr>
      </w:pPr>
      <w:r w:rsidRPr="006070EA">
        <w:rPr>
          <w:rFonts w:asciiTheme="majorHAnsi" w:hAnsiTheme="majorHAnsi" w:cstheme="majorHAnsi"/>
        </w:rPr>
        <w:t>Ochranná pásma vodních toků</w:t>
      </w:r>
    </w:p>
    <w:p w14:paraId="2E7173F0" w14:textId="77777777" w:rsidR="00A72821" w:rsidRPr="006070EA" w:rsidRDefault="00A72821" w:rsidP="00D34A16">
      <w:pPr>
        <w:pStyle w:val="Atext"/>
        <w:keepNext/>
        <w:rPr>
          <w:rFonts w:asciiTheme="majorHAnsi" w:hAnsiTheme="majorHAnsi" w:cstheme="majorHAnsi"/>
        </w:rPr>
      </w:pPr>
      <w:r w:rsidRPr="006070EA">
        <w:rPr>
          <w:rFonts w:asciiTheme="majorHAnsi" w:hAnsiTheme="majorHAnsi" w:cstheme="majorHAnsi"/>
        </w:rPr>
        <w:t>Pro potřeby správy a údržby vodních toků je nutné zachovávat po obou stranách toku pro možnost užívání volný nezastavěný manipulační pruh o šířce 6 m od břehové čáry dle ustanovení § 49 zákona č. 254/2001 Sb., o vodách a o znění některých zákonů (vodní zákon), ve znění pozdějších předpisů, a vyhlášky č. 470/2001 Sb., kterou se stanoví seznam významných vodních toků a způsob provádění činností souvisejících se správou vodních toků.</w:t>
      </w:r>
    </w:p>
    <w:p w14:paraId="56B1BD1C" w14:textId="2027F0B9" w:rsidR="00AB1F4C" w:rsidRPr="006070EA" w:rsidRDefault="00887C54"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97" w:name="_Toc204678210"/>
      <w:r w:rsidRPr="006070EA">
        <w:rPr>
          <w:rFonts w:asciiTheme="majorHAnsi" w:hAnsiTheme="majorHAnsi" w:cstheme="majorHAnsi"/>
          <w:b/>
        </w:rPr>
        <w:t xml:space="preserve">Odůvodnění stanovené </w:t>
      </w:r>
      <w:r w:rsidR="00AB1F4C" w:rsidRPr="006070EA">
        <w:rPr>
          <w:rFonts w:asciiTheme="majorHAnsi" w:hAnsiTheme="majorHAnsi" w:cstheme="majorHAnsi"/>
          <w:b/>
        </w:rPr>
        <w:t>ochran</w:t>
      </w:r>
      <w:r w:rsidRPr="006070EA">
        <w:rPr>
          <w:rFonts w:asciiTheme="majorHAnsi" w:hAnsiTheme="majorHAnsi" w:cstheme="majorHAnsi"/>
          <w:b/>
        </w:rPr>
        <w:t>y</w:t>
      </w:r>
      <w:r w:rsidR="00AB1F4C" w:rsidRPr="006070EA">
        <w:rPr>
          <w:rFonts w:asciiTheme="majorHAnsi" w:hAnsiTheme="majorHAnsi" w:cstheme="majorHAnsi"/>
          <w:b/>
        </w:rPr>
        <w:t xml:space="preserve"> před povodněmi</w:t>
      </w:r>
      <w:bookmarkEnd w:id="397"/>
    </w:p>
    <w:p w14:paraId="24F6F3ED" w14:textId="6B901C46" w:rsidR="00B646BB" w:rsidRPr="006070EA" w:rsidRDefault="00B646BB" w:rsidP="00B646BB">
      <w:pPr>
        <w:pStyle w:val="Atext"/>
        <w:rPr>
          <w:rFonts w:asciiTheme="majorHAnsi" w:hAnsiTheme="majorHAnsi" w:cstheme="majorHAnsi"/>
          <w:color w:val="000000"/>
        </w:rPr>
      </w:pPr>
      <w:r w:rsidRPr="006070EA">
        <w:rPr>
          <w:rFonts w:asciiTheme="majorHAnsi" w:hAnsiTheme="majorHAnsi" w:cstheme="majorHAnsi"/>
          <w:color w:val="000000"/>
        </w:rPr>
        <w:t>Dle zákona č. 254/2001 Sb., o vodách a o změně některých zákonů (vodní zákon), ve znění pozdějších předpisů, byla v řešeném území stanovena záplavová území Q</w:t>
      </w:r>
      <w:r w:rsidRPr="006070EA">
        <w:rPr>
          <w:rFonts w:asciiTheme="majorHAnsi" w:hAnsiTheme="majorHAnsi" w:cstheme="majorHAnsi"/>
          <w:color w:val="000000"/>
          <w:vertAlign w:val="subscript"/>
        </w:rPr>
        <w:t>5</w:t>
      </w:r>
      <w:r w:rsidRPr="006070EA">
        <w:rPr>
          <w:rFonts w:asciiTheme="majorHAnsi" w:hAnsiTheme="majorHAnsi" w:cstheme="majorHAnsi"/>
          <w:color w:val="000000"/>
        </w:rPr>
        <w:t>, Q</w:t>
      </w:r>
      <w:r w:rsidRPr="006070EA">
        <w:rPr>
          <w:rFonts w:asciiTheme="majorHAnsi" w:hAnsiTheme="majorHAnsi" w:cstheme="majorHAnsi"/>
          <w:color w:val="000000"/>
          <w:vertAlign w:val="subscript"/>
        </w:rPr>
        <w:t>20</w:t>
      </w:r>
      <w:r w:rsidRPr="006070EA">
        <w:rPr>
          <w:rFonts w:asciiTheme="majorHAnsi" w:hAnsiTheme="majorHAnsi" w:cstheme="majorHAnsi"/>
          <w:color w:val="000000"/>
        </w:rPr>
        <w:t>,</w:t>
      </w:r>
      <w:r w:rsidRPr="006070EA">
        <w:rPr>
          <w:rFonts w:asciiTheme="majorHAnsi" w:hAnsiTheme="majorHAnsi" w:cstheme="majorHAnsi"/>
          <w:color w:val="000000"/>
          <w:vertAlign w:val="subscript"/>
        </w:rPr>
        <w:t xml:space="preserve"> </w:t>
      </w:r>
      <w:r w:rsidRPr="006070EA">
        <w:rPr>
          <w:rFonts w:asciiTheme="majorHAnsi" w:hAnsiTheme="majorHAnsi" w:cstheme="majorHAnsi"/>
          <w:color w:val="000000"/>
        </w:rPr>
        <w:t>Q</w:t>
      </w:r>
      <w:r w:rsidRPr="006070EA">
        <w:rPr>
          <w:rFonts w:asciiTheme="majorHAnsi" w:hAnsiTheme="majorHAnsi" w:cstheme="majorHAnsi"/>
          <w:color w:val="000000"/>
          <w:vertAlign w:val="subscript"/>
        </w:rPr>
        <w:t>100</w:t>
      </w:r>
      <w:r w:rsidRPr="006070EA">
        <w:rPr>
          <w:rFonts w:asciiTheme="majorHAnsi" w:hAnsiTheme="majorHAnsi" w:cstheme="majorHAnsi"/>
          <w:color w:val="000000"/>
        </w:rPr>
        <w:t xml:space="preserve"> a aktivní zón</w:t>
      </w:r>
      <w:r w:rsidR="006C7149" w:rsidRPr="006070EA">
        <w:rPr>
          <w:rFonts w:asciiTheme="majorHAnsi" w:hAnsiTheme="majorHAnsi" w:cstheme="majorHAnsi"/>
          <w:color w:val="000000"/>
        </w:rPr>
        <w:t>y</w:t>
      </w:r>
      <w:r w:rsidRPr="006070EA">
        <w:rPr>
          <w:rFonts w:asciiTheme="majorHAnsi" w:hAnsiTheme="majorHAnsi" w:cstheme="majorHAnsi"/>
          <w:color w:val="000000"/>
        </w:rPr>
        <w:t xml:space="preserve"> záplavového území:</w:t>
      </w:r>
    </w:p>
    <w:tbl>
      <w:tblPr>
        <w:tblW w:w="0" w:type="auto"/>
        <w:tblBorders>
          <w:insideH w:val="single" w:sz="4" w:space="0" w:color="auto"/>
          <w:insideV w:val="single" w:sz="4" w:space="0" w:color="auto"/>
        </w:tblBorders>
        <w:tblLayout w:type="fixed"/>
        <w:tblLook w:val="04A0" w:firstRow="1" w:lastRow="0" w:firstColumn="1" w:lastColumn="0" w:noHBand="0" w:noVBand="1"/>
      </w:tblPr>
      <w:tblGrid>
        <w:gridCol w:w="1242"/>
        <w:gridCol w:w="1560"/>
        <w:gridCol w:w="992"/>
        <w:gridCol w:w="1134"/>
        <w:gridCol w:w="1134"/>
        <w:gridCol w:w="850"/>
        <w:gridCol w:w="1134"/>
        <w:gridCol w:w="1242"/>
      </w:tblGrid>
      <w:tr w:rsidR="00B646BB" w:rsidRPr="006070EA" w14:paraId="33AE7D99" w14:textId="77777777" w:rsidTr="00780ACE">
        <w:trPr>
          <w:cantSplit/>
          <w:trHeight w:val="283"/>
          <w:tblHeader/>
        </w:trPr>
        <w:tc>
          <w:tcPr>
            <w:tcW w:w="1242" w:type="dxa"/>
            <w:tcBorders>
              <w:top w:val="nil"/>
              <w:left w:val="nil"/>
              <w:bottom w:val="single" w:sz="12" w:space="0" w:color="auto"/>
              <w:right w:val="single" w:sz="12" w:space="0" w:color="auto"/>
            </w:tcBorders>
            <w:vAlign w:val="center"/>
            <w:hideMark/>
          </w:tcPr>
          <w:p w14:paraId="30F8914F" w14:textId="77777777"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ID záplavového území</w:t>
            </w:r>
          </w:p>
        </w:tc>
        <w:tc>
          <w:tcPr>
            <w:tcW w:w="1560" w:type="dxa"/>
            <w:tcBorders>
              <w:top w:val="nil"/>
              <w:left w:val="single" w:sz="12" w:space="0" w:color="auto"/>
              <w:bottom w:val="single" w:sz="12" w:space="0" w:color="auto"/>
              <w:right w:val="single" w:sz="12" w:space="0" w:color="auto"/>
            </w:tcBorders>
            <w:vAlign w:val="center"/>
            <w:hideMark/>
          </w:tcPr>
          <w:p w14:paraId="4AEB3EBE" w14:textId="77777777"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správce vodního toku</w:t>
            </w:r>
          </w:p>
        </w:tc>
        <w:tc>
          <w:tcPr>
            <w:tcW w:w="992" w:type="dxa"/>
            <w:tcBorders>
              <w:top w:val="nil"/>
              <w:left w:val="single" w:sz="12" w:space="0" w:color="auto"/>
              <w:bottom w:val="single" w:sz="12" w:space="0" w:color="auto"/>
              <w:right w:val="single" w:sz="12" w:space="0" w:color="auto"/>
            </w:tcBorders>
            <w:vAlign w:val="center"/>
            <w:hideMark/>
          </w:tcPr>
          <w:p w14:paraId="3DD2DDF5" w14:textId="77777777"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vodní tok</w:t>
            </w:r>
          </w:p>
        </w:tc>
        <w:tc>
          <w:tcPr>
            <w:tcW w:w="1134" w:type="dxa"/>
            <w:tcBorders>
              <w:top w:val="nil"/>
              <w:left w:val="single" w:sz="12" w:space="0" w:color="auto"/>
              <w:bottom w:val="single" w:sz="12" w:space="0" w:color="auto"/>
              <w:right w:val="single" w:sz="12" w:space="0" w:color="auto"/>
            </w:tcBorders>
            <w:vAlign w:val="center"/>
            <w:hideMark/>
          </w:tcPr>
          <w:p w14:paraId="5D99DF29" w14:textId="77777777"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úsek</w:t>
            </w:r>
          </w:p>
          <w:p w14:paraId="73131BF5" w14:textId="355259F1"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od – do</w:t>
            </w:r>
          </w:p>
        </w:tc>
        <w:tc>
          <w:tcPr>
            <w:tcW w:w="1134" w:type="dxa"/>
            <w:tcBorders>
              <w:top w:val="nil"/>
              <w:left w:val="single" w:sz="12" w:space="0" w:color="auto"/>
              <w:bottom w:val="single" w:sz="12" w:space="0" w:color="auto"/>
              <w:right w:val="single" w:sz="12" w:space="0" w:color="auto"/>
            </w:tcBorders>
            <w:vAlign w:val="center"/>
            <w:hideMark/>
          </w:tcPr>
          <w:p w14:paraId="3F246DB4" w14:textId="33513E01"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říční km</w:t>
            </w:r>
          </w:p>
          <w:p w14:paraId="73917B36" w14:textId="77777777"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od – do</w:t>
            </w:r>
          </w:p>
        </w:tc>
        <w:tc>
          <w:tcPr>
            <w:tcW w:w="850" w:type="dxa"/>
            <w:tcBorders>
              <w:top w:val="nil"/>
              <w:left w:val="single" w:sz="12" w:space="0" w:color="auto"/>
              <w:bottom w:val="single" w:sz="12" w:space="0" w:color="auto"/>
              <w:right w:val="single" w:sz="12" w:space="0" w:color="auto"/>
            </w:tcBorders>
            <w:vAlign w:val="center"/>
            <w:hideMark/>
          </w:tcPr>
          <w:p w14:paraId="2F30CB3E" w14:textId="77777777"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délka zápl. území</w:t>
            </w:r>
          </w:p>
        </w:tc>
        <w:tc>
          <w:tcPr>
            <w:tcW w:w="1134" w:type="dxa"/>
            <w:tcBorders>
              <w:top w:val="nil"/>
              <w:left w:val="single" w:sz="12" w:space="0" w:color="auto"/>
              <w:bottom w:val="single" w:sz="12" w:space="0" w:color="auto"/>
              <w:right w:val="single" w:sz="12" w:space="0" w:color="auto"/>
            </w:tcBorders>
            <w:vAlign w:val="center"/>
            <w:hideMark/>
          </w:tcPr>
          <w:p w14:paraId="7DF1D07A" w14:textId="77777777"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datum stanovení</w:t>
            </w:r>
          </w:p>
        </w:tc>
        <w:tc>
          <w:tcPr>
            <w:tcW w:w="1242" w:type="dxa"/>
            <w:tcBorders>
              <w:top w:val="nil"/>
              <w:left w:val="single" w:sz="12" w:space="0" w:color="auto"/>
              <w:bottom w:val="single" w:sz="12" w:space="0" w:color="auto"/>
              <w:right w:val="nil"/>
            </w:tcBorders>
            <w:vAlign w:val="center"/>
            <w:hideMark/>
          </w:tcPr>
          <w:p w14:paraId="40D7D90C" w14:textId="77777777" w:rsidR="00B646BB" w:rsidRPr="006070EA" w:rsidRDefault="00B646BB" w:rsidP="00780ACE">
            <w:pPr>
              <w:pStyle w:val="Bezmezer"/>
              <w:keepNext/>
              <w:jc w:val="center"/>
              <w:rPr>
                <w:rFonts w:asciiTheme="majorHAnsi" w:hAnsiTheme="majorHAnsi" w:cstheme="majorHAnsi"/>
                <w:b/>
                <w:color w:val="000000"/>
                <w:lang w:val="cs-CZ"/>
              </w:rPr>
            </w:pPr>
            <w:r w:rsidRPr="006070EA">
              <w:rPr>
                <w:rFonts w:asciiTheme="majorHAnsi" w:hAnsiTheme="majorHAnsi" w:cstheme="majorHAnsi"/>
                <w:b/>
                <w:color w:val="000000"/>
                <w:lang w:val="cs-CZ"/>
              </w:rPr>
              <w:t>č. jednací</w:t>
            </w:r>
          </w:p>
        </w:tc>
      </w:tr>
      <w:tr w:rsidR="00B646BB" w:rsidRPr="006070EA" w14:paraId="039C1315" w14:textId="77777777" w:rsidTr="00780ACE">
        <w:trPr>
          <w:trHeight w:val="283"/>
        </w:trPr>
        <w:tc>
          <w:tcPr>
            <w:tcW w:w="1242" w:type="dxa"/>
            <w:tcBorders>
              <w:top w:val="single" w:sz="12" w:space="0" w:color="auto"/>
              <w:left w:val="nil"/>
              <w:bottom w:val="single" w:sz="12" w:space="0" w:color="auto"/>
              <w:right w:val="single" w:sz="4" w:space="0" w:color="auto"/>
            </w:tcBorders>
            <w:vAlign w:val="center"/>
            <w:hideMark/>
          </w:tcPr>
          <w:p w14:paraId="48152110"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100000534</w:t>
            </w:r>
          </w:p>
        </w:tc>
        <w:tc>
          <w:tcPr>
            <w:tcW w:w="1560" w:type="dxa"/>
            <w:tcBorders>
              <w:top w:val="single" w:sz="12" w:space="0" w:color="auto"/>
              <w:left w:val="single" w:sz="4" w:space="0" w:color="auto"/>
              <w:bottom w:val="single" w:sz="12" w:space="0" w:color="auto"/>
              <w:right w:val="single" w:sz="4" w:space="0" w:color="auto"/>
            </w:tcBorders>
            <w:vAlign w:val="center"/>
            <w:hideMark/>
          </w:tcPr>
          <w:p w14:paraId="6DA22B6A"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Povodí Labe, s. p.</w:t>
            </w:r>
          </w:p>
        </w:tc>
        <w:tc>
          <w:tcPr>
            <w:tcW w:w="992" w:type="dxa"/>
            <w:tcBorders>
              <w:top w:val="single" w:sz="12" w:space="0" w:color="auto"/>
              <w:left w:val="single" w:sz="4" w:space="0" w:color="auto"/>
              <w:bottom w:val="single" w:sz="12" w:space="0" w:color="auto"/>
              <w:right w:val="single" w:sz="4" w:space="0" w:color="auto"/>
            </w:tcBorders>
            <w:vAlign w:val="center"/>
            <w:hideMark/>
          </w:tcPr>
          <w:p w14:paraId="01688217"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Vlkava</w:t>
            </w:r>
          </w:p>
        </w:tc>
        <w:tc>
          <w:tcPr>
            <w:tcW w:w="1134" w:type="dxa"/>
            <w:tcBorders>
              <w:top w:val="single" w:sz="12" w:space="0" w:color="auto"/>
              <w:left w:val="single" w:sz="4" w:space="0" w:color="auto"/>
              <w:bottom w:val="single" w:sz="12" w:space="0" w:color="auto"/>
              <w:right w:val="single" w:sz="4" w:space="0" w:color="auto"/>
            </w:tcBorders>
            <w:vAlign w:val="center"/>
            <w:hideMark/>
          </w:tcPr>
          <w:p w14:paraId="21535425"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ústí –</w:t>
            </w:r>
          </w:p>
          <w:p w14:paraId="14CFD43B"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Kosořice</w:t>
            </w:r>
          </w:p>
        </w:tc>
        <w:tc>
          <w:tcPr>
            <w:tcW w:w="1134" w:type="dxa"/>
            <w:tcBorders>
              <w:top w:val="single" w:sz="12" w:space="0" w:color="auto"/>
              <w:left w:val="single" w:sz="4" w:space="0" w:color="auto"/>
              <w:bottom w:val="single" w:sz="12" w:space="0" w:color="auto"/>
              <w:right w:val="single" w:sz="4" w:space="0" w:color="auto"/>
            </w:tcBorders>
            <w:vAlign w:val="center"/>
            <w:hideMark/>
          </w:tcPr>
          <w:p w14:paraId="040D90AD" w14:textId="77777777" w:rsidR="00B646BB" w:rsidRPr="006070EA" w:rsidRDefault="00B646BB" w:rsidP="00780ACE">
            <w:pPr>
              <w:pStyle w:val="Bezmezer"/>
              <w:jc w:val="center"/>
              <w:rPr>
                <w:rFonts w:asciiTheme="majorHAnsi" w:hAnsiTheme="majorHAnsi" w:cstheme="majorHAnsi"/>
                <w:color w:val="000000"/>
                <w:szCs w:val="18"/>
                <w:shd w:val="clear" w:color="auto" w:fill="FFFFFF"/>
                <w:lang w:val="cs-CZ"/>
              </w:rPr>
            </w:pPr>
            <w:r w:rsidRPr="006070EA">
              <w:rPr>
                <w:rFonts w:asciiTheme="majorHAnsi" w:hAnsiTheme="majorHAnsi" w:cstheme="majorHAnsi"/>
                <w:color w:val="000000"/>
                <w:szCs w:val="18"/>
                <w:shd w:val="clear" w:color="auto" w:fill="FFFFFF"/>
                <w:lang w:val="cs-CZ"/>
              </w:rPr>
              <w:t>0.0 říční km</w:t>
            </w:r>
          </w:p>
          <w:p w14:paraId="1773DF48"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- 28.14 říční km</w:t>
            </w:r>
          </w:p>
        </w:tc>
        <w:tc>
          <w:tcPr>
            <w:tcW w:w="850" w:type="dxa"/>
            <w:tcBorders>
              <w:top w:val="single" w:sz="12" w:space="0" w:color="auto"/>
              <w:left w:val="single" w:sz="4" w:space="0" w:color="auto"/>
              <w:bottom w:val="single" w:sz="12" w:space="0" w:color="auto"/>
              <w:right w:val="single" w:sz="4" w:space="0" w:color="auto"/>
            </w:tcBorders>
            <w:vAlign w:val="center"/>
            <w:hideMark/>
          </w:tcPr>
          <w:p w14:paraId="53497F3F"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28.14 km</w:t>
            </w:r>
          </w:p>
        </w:tc>
        <w:tc>
          <w:tcPr>
            <w:tcW w:w="1134" w:type="dxa"/>
            <w:tcBorders>
              <w:top w:val="single" w:sz="12" w:space="0" w:color="auto"/>
              <w:left w:val="single" w:sz="4" w:space="0" w:color="auto"/>
              <w:bottom w:val="single" w:sz="12" w:space="0" w:color="auto"/>
              <w:right w:val="single" w:sz="4" w:space="0" w:color="auto"/>
            </w:tcBorders>
            <w:vAlign w:val="center"/>
            <w:hideMark/>
          </w:tcPr>
          <w:p w14:paraId="45A36AEA"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07. 08. 2009</w:t>
            </w:r>
          </w:p>
        </w:tc>
        <w:tc>
          <w:tcPr>
            <w:tcW w:w="1242" w:type="dxa"/>
            <w:tcBorders>
              <w:top w:val="single" w:sz="12" w:space="0" w:color="auto"/>
              <w:left w:val="single" w:sz="4" w:space="0" w:color="auto"/>
              <w:bottom w:val="single" w:sz="12" w:space="0" w:color="auto"/>
              <w:right w:val="nil"/>
            </w:tcBorders>
            <w:vAlign w:val="center"/>
            <w:hideMark/>
          </w:tcPr>
          <w:p w14:paraId="29497F0E"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04279l2009/KUSK</w:t>
            </w:r>
          </w:p>
        </w:tc>
      </w:tr>
      <w:tr w:rsidR="00B646BB" w:rsidRPr="006070EA" w14:paraId="73A86754" w14:textId="77777777" w:rsidTr="00780ACE">
        <w:trPr>
          <w:trHeight w:val="283"/>
        </w:trPr>
        <w:tc>
          <w:tcPr>
            <w:tcW w:w="1242" w:type="dxa"/>
            <w:tcBorders>
              <w:top w:val="single" w:sz="12" w:space="0" w:color="auto"/>
              <w:left w:val="nil"/>
              <w:bottom w:val="single" w:sz="12" w:space="0" w:color="auto"/>
              <w:right w:val="single" w:sz="4" w:space="0" w:color="auto"/>
            </w:tcBorders>
            <w:vAlign w:val="center"/>
          </w:tcPr>
          <w:p w14:paraId="1594BBB0"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100000672</w:t>
            </w:r>
          </w:p>
        </w:tc>
        <w:tc>
          <w:tcPr>
            <w:tcW w:w="1560" w:type="dxa"/>
            <w:tcBorders>
              <w:top w:val="single" w:sz="12" w:space="0" w:color="auto"/>
              <w:left w:val="single" w:sz="4" w:space="0" w:color="auto"/>
              <w:bottom w:val="single" w:sz="12" w:space="0" w:color="auto"/>
              <w:right w:val="single" w:sz="4" w:space="0" w:color="auto"/>
            </w:tcBorders>
            <w:vAlign w:val="center"/>
          </w:tcPr>
          <w:p w14:paraId="05F1051D"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Povodí Labe, s. p</w:t>
            </w:r>
          </w:p>
        </w:tc>
        <w:tc>
          <w:tcPr>
            <w:tcW w:w="992" w:type="dxa"/>
            <w:tcBorders>
              <w:top w:val="single" w:sz="12" w:space="0" w:color="auto"/>
              <w:left w:val="single" w:sz="4" w:space="0" w:color="auto"/>
              <w:bottom w:val="single" w:sz="12" w:space="0" w:color="auto"/>
              <w:right w:val="single" w:sz="4" w:space="0" w:color="auto"/>
            </w:tcBorders>
            <w:vAlign w:val="center"/>
          </w:tcPr>
          <w:p w14:paraId="0A5DE987"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Vlkava</w:t>
            </w:r>
          </w:p>
        </w:tc>
        <w:tc>
          <w:tcPr>
            <w:tcW w:w="1134" w:type="dxa"/>
            <w:tcBorders>
              <w:top w:val="single" w:sz="12" w:space="0" w:color="auto"/>
              <w:left w:val="single" w:sz="4" w:space="0" w:color="auto"/>
              <w:bottom w:val="single" w:sz="12" w:space="0" w:color="auto"/>
              <w:right w:val="single" w:sz="4" w:space="0" w:color="auto"/>
            </w:tcBorders>
            <w:vAlign w:val="center"/>
          </w:tcPr>
          <w:p w14:paraId="4FD4982A"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Kostomlaty nad Labem</w:t>
            </w:r>
          </w:p>
        </w:tc>
        <w:tc>
          <w:tcPr>
            <w:tcW w:w="1134" w:type="dxa"/>
            <w:tcBorders>
              <w:top w:val="single" w:sz="12" w:space="0" w:color="auto"/>
              <w:left w:val="single" w:sz="4" w:space="0" w:color="auto"/>
              <w:bottom w:val="single" w:sz="12" w:space="0" w:color="auto"/>
              <w:right w:val="single" w:sz="4" w:space="0" w:color="auto"/>
            </w:tcBorders>
            <w:vAlign w:val="center"/>
          </w:tcPr>
          <w:p w14:paraId="29DE5EF9" w14:textId="77777777" w:rsidR="00B646BB" w:rsidRPr="006070EA" w:rsidRDefault="00B646BB" w:rsidP="00780ACE">
            <w:pPr>
              <w:pStyle w:val="Bezmezer"/>
              <w:jc w:val="center"/>
              <w:rPr>
                <w:rFonts w:asciiTheme="majorHAnsi" w:hAnsiTheme="majorHAnsi" w:cstheme="majorHAnsi"/>
                <w:color w:val="000000"/>
                <w:szCs w:val="18"/>
                <w:shd w:val="clear" w:color="auto" w:fill="FFFFFF"/>
                <w:lang w:val="cs-CZ"/>
              </w:rPr>
            </w:pPr>
            <w:r w:rsidRPr="006070EA">
              <w:rPr>
                <w:rFonts w:asciiTheme="majorHAnsi" w:hAnsiTheme="majorHAnsi" w:cstheme="majorHAnsi"/>
                <w:color w:val="000000"/>
                <w:szCs w:val="18"/>
                <w:shd w:val="clear" w:color="auto" w:fill="FFFFFF"/>
                <w:lang w:val="cs-CZ"/>
              </w:rPr>
              <w:t>0.9 říční km - 2.845 říční km</w:t>
            </w:r>
          </w:p>
        </w:tc>
        <w:tc>
          <w:tcPr>
            <w:tcW w:w="850" w:type="dxa"/>
            <w:tcBorders>
              <w:top w:val="single" w:sz="12" w:space="0" w:color="auto"/>
              <w:left w:val="single" w:sz="4" w:space="0" w:color="auto"/>
              <w:bottom w:val="single" w:sz="12" w:space="0" w:color="auto"/>
              <w:right w:val="single" w:sz="4" w:space="0" w:color="auto"/>
            </w:tcBorders>
            <w:vAlign w:val="center"/>
          </w:tcPr>
          <w:p w14:paraId="52EE3685"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1.955 km</w:t>
            </w:r>
          </w:p>
        </w:tc>
        <w:tc>
          <w:tcPr>
            <w:tcW w:w="1134" w:type="dxa"/>
            <w:tcBorders>
              <w:top w:val="single" w:sz="12" w:space="0" w:color="auto"/>
              <w:left w:val="single" w:sz="4" w:space="0" w:color="auto"/>
              <w:bottom w:val="single" w:sz="12" w:space="0" w:color="auto"/>
              <w:right w:val="single" w:sz="4" w:space="0" w:color="auto"/>
            </w:tcBorders>
            <w:vAlign w:val="center"/>
          </w:tcPr>
          <w:p w14:paraId="17AE71C6"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29 03. 2011</w:t>
            </w:r>
          </w:p>
        </w:tc>
        <w:tc>
          <w:tcPr>
            <w:tcW w:w="1242" w:type="dxa"/>
            <w:tcBorders>
              <w:top w:val="single" w:sz="12" w:space="0" w:color="auto"/>
              <w:left w:val="single" w:sz="4" w:space="0" w:color="auto"/>
              <w:bottom w:val="single" w:sz="12" w:space="0" w:color="auto"/>
              <w:right w:val="nil"/>
            </w:tcBorders>
            <w:vAlign w:val="center"/>
          </w:tcPr>
          <w:p w14:paraId="1A4F6A29"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034449l20IO/KUSK</w:t>
            </w:r>
          </w:p>
        </w:tc>
      </w:tr>
      <w:tr w:rsidR="00B646BB" w:rsidRPr="006070EA" w14:paraId="73E8B83B" w14:textId="77777777" w:rsidTr="00780ACE">
        <w:trPr>
          <w:trHeight w:val="283"/>
        </w:trPr>
        <w:tc>
          <w:tcPr>
            <w:tcW w:w="1242" w:type="dxa"/>
            <w:tcBorders>
              <w:top w:val="single" w:sz="12" w:space="0" w:color="auto"/>
              <w:left w:val="nil"/>
              <w:bottom w:val="single" w:sz="12" w:space="0" w:color="auto"/>
              <w:right w:val="single" w:sz="4" w:space="0" w:color="auto"/>
            </w:tcBorders>
            <w:vAlign w:val="center"/>
          </w:tcPr>
          <w:p w14:paraId="1E9109D0"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100001008</w:t>
            </w:r>
          </w:p>
        </w:tc>
        <w:tc>
          <w:tcPr>
            <w:tcW w:w="1560" w:type="dxa"/>
            <w:tcBorders>
              <w:top w:val="single" w:sz="12" w:space="0" w:color="auto"/>
              <w:left w:val="single" w:sz="4" w:space="0" w:color="auto"/>
              <w:bottom w:val="single" w:sz="12" w:space="0" w:color="auto"/>
              <w:right w:val="single" w:sz="4" w:space="0" w:color="auto"/>
            </w:tcBorders>
            <w:vAlign w:val="center"/>
          </w:tcPr>
          <w:p w14:paraId="3D3233A0"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Povodí Labe, s. p</w:t>
            </w:r>
          </w:p>
        </w:tc>
        <w:tc>
          <w:tcPr>
            <w:tcW w:w="992" w:type="dxa"/>
            <w:tcBorders>
              <w:top w:val="single" w:sz="12" w:space="0" w:color="auto"/>
              <w:left w:val="single" w:sz="4" w:space="0" w:color="auto"/>
              <w:bottom w:val="single" w:sz="12" w:space="0" w:color="auto"/>
              <w:right w:val="single" w:sz="4" w:space="0" w:color="auto"/>
            </w:tcBorders>
            <w:vAlign w:val="center"/>
          </w:tcPr>
          <w:p w14:paraId="49F34A68"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Labe</w:t>
            </w:r>
          </w:p>
        </w:tc>
        <w:tc>
          <w:tcPr>
            <w:tcW w:w="1134" w:type="dxa"/>
            <w:tcBorders>
              <w:top w:val="single" w:sz="12" w:space="0" w:color="auto"/>
              <w:left w:val="single" w:sz="4" w:space="0" w:color="auto"/>
              <w:bottom w:val="single" w:sz="12" w:space="0" w:color="auto"/>
              <w:right w:val="single" w:sz="4" w:space="0" w:color="auto"/>
            </w:tcBorders>
            <w:vAlign w:val="center"/>
          </w:tcPr>
          <w:p w14:paraId="157A43FC"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Labe Středočeský kraj</w:t>
            </w:r>
          </w:p>
        </w:tc>
        <w:tc>
          <w:tcPr>
            <w:tcW w:w="1134" w:type="dxa"/>
            <w:tcBorders>
              <w:top w:val="single" w:sz="12" w:space="0" w:color="auto"/>
              <w:left w:val="single" w:sz="4" w:space="0" w:color="auto"/>
              <w:bottom w:val="single" w:sz="12" w:space="0" w:color="auto"/>
              <w:right w:val="single" w:sz="4" w:space="0" w:color="auto"/>
            </w:tcBorders>
            <w:vAlign w:val="center"/>
          </w:tcPr>
          <w:p w14:paraId="0E8EE9F9" w14:textId="77777777" w:rsidR="00B646BB" w:rsidRPr="006070EA" w:rsidRDefault="00B646BB" w:rsidP="00780ACE">
            <w:pPr>
              <w:pStyle w:val="Bezmezer"/>
              <w:jc w:val="center"/>
              <w:rPr>
                <w:rFonts w:asciiTheme="majorHAnsi" w:hAnsiTheme="majorHAnsi" w:cstheme="majorHAnsi"/>
                <w:color w:val="000000"/>
                <w:szCs w:val="18"/>
                <w:shd w:val="clear" w:color="auto" w:fill="FFFFFF"/>
                <w:lang w:val="cs-CZ"/>
              </w:rPr>
            </w:pPr>
            <w:r w:rsidRPr="006070EA">
              <w:rPr>
                <w:rFonts w:asciiTheme="majorHAnsi" w:hAnsiTheme="majorHAnsi" w:cstheme="majorHAnsi"/>
                <w:color w:val="000000"/>
                <w:szCs w:val="18"/>
                <w:shd w:val="clear" w:color="auto" w:fill="FFFFFF"/>
                <w:lang w:val="cs-CZ"/>
              </w:rPr>
              <w:t>826.613 říční km - 935.713 říční km</w:t>
            </w:r>
          </w:p>
        </w:tc>
        <w:tc>
          <w:tcPr>
            <w:tcW w:w="850" w:type="dxa"/>
            <w:tcBorders>
              <w:top w:val="single" w:sz="12" w:space="0" w:color="auto"/>
              <w:left w:val="single" w:sz="4" w:space="0" w:color="auto"/>
              <w:bottom w:val="single" w:sz="12" w:space="0" w:color="auto"/>
              <w:right w:val="single" w:sz="4" w:space="0" w:color="auto"/>
            </w:tcBorders>
            <w:vAlign w:val="center"/>
          </w:tcPr>
          <w:p w14:paraId="1BB2BD9E"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109.1 km</w:t>
            </w:r>
          </w:p>
        </w:tc>
        <w:tc>
          <w:tcPr>
            <w:tcW w:w="1134" w:type="dxa"/>
            <w:tcBorders>
              <w:top w:val="single" w:sz="12" w:space="0" w:color="auto"/>
              <w:left w:val="single" w:sz="4" w:space="0" w:color="auto"/>
              <w:bottom w:val="single" w:sz="12" w:space="0" w:color="auto"/>
              <w:right w:val="single" w:sz="4" w:space="0" w:color="auto"/>
            </w:tcBorders>
            <w:vAlign w:val="center"/>
          </w:tcPr>
          <w:p w14:paraId="332106CE"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28. 05. 2015</w:t>
            </w:r>
          </w:p>
        </w:tc>
        <w:tc>
          <w:tcPr>
            <w:tcW w:w="1242" w:type="dxa"/>
            <w:tcBorders>
              <w:top w:val="single" w:sz="12" w:space="0" w:color="auto"/>
              <w:left w:val="single" w:sz="4" w:space="0" w:color="auto"/>
              <w:bottom w:val="single" w:sz="12" w:space="0" w:color="auto"/>
              <w:right w:val="nil"/>
            </w:tcBorders>
            <w:vAlign w:val="center"/>
          </w:tcPr>
          <w:p w14:paraId="150ECD5A"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073794/2015/KUSK</w:t>
            </w:r>
          </w:p>
        </w:tc>
      </w:tr>
      <w:tr w:rsidR="00B646BB" w:rsidRPr="006070EA" w14:paraId="56531F29" w14:textId="77777777" w:rsidTr="00780ACE">
        <w:trPr>
          <w:trHeight w:val="283"/>
        </w:trPr>
        <w:tc>
          <w:tcPr>
            <w:tcW w:w="1242" w:type="dxa"/>
            <w:tcBorders>
              <w:top w:val="single" w:sz="12" w:space="0" w:color="auto"/>
              <w:left w:val="nil"/>
              <w:bottom w:val="nil"/>
              <w:right w:val="single" w:sz="4" w:space="0" w:color="auto"/>
            </w:tcBorders>
            <w:vAlign w:val="center"/>
          </w:tcPr>
          <w:p w14:paraId="41F094A9"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100001045</w:t>
            </w:r>
          </w:p>
        </w:tc>
        <w:tc>
          <w:tcPr>
            <w:tcW w:w="1560" w:type="dxa"/>
            <w:tcBorders>
              <w:top w:val="single" w:sz="12" w:space="0" w:color="auto"/>
              <w:left w:val="single" w:sz="4" w:space="0" w:color="auto"/>
              <w:bottom w:val="nil"/>
              <w:right w:val="single" w:sz="4" w:space="0" w:color="auto"/>
            </w:tcBorders>
            <w:vAlign w:val="center"/>
          </w:tcPr>
          <w:p w14:paraId="45840085"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Povodí Labe, s. p</w:t>
            </w:r>
          </w:p>
        </w:tc>
        <w:tc>
          <w:tcPr>
            <w:tcW w:w="992" w:type="dxa"/>
            <w:tcBorders>
              <w:top w:val="single" w:sz="12" w:space="0" w:color="auto"/>
              <w:left w:val="single" w:sz="4" w:space="0" w:color="auto"/>
              <w:bottom w:val="nil"/>
              <w:right w:val="single" w:sz="4" w:space="0" w:color="auto"/>
            </w:tcBorders>
            <w:vAlign w:val="center"/>
          </w:tcPr>
          <w:p w14:paraId="7414C215"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Vlkava</w:t>
            </w:r>
          </w:p>
        </w:tc>
        <w:tc>
          <w:tcPr>
            <w:tcW w:w="1134" w:type="dxa"/>
            <w:tcBorders>
              <w:top w:val="single" w:sz="12" w:space="0" w:color="auto"/>
              <w:left w:val="single" w:sz="4" w:space="0" w:color="auto"/>
              <w:bottom w:val="nil"/>
              <w:right w:val="single" w:sz="4" w:space="0" w:color="auto"/>
            </w:tcBorders>
            <w:vAlign w:val="center"/>
          </w:tcPr>
          <w:p w14:paraId="5B66A2AD" w14:textId="7717DA0C"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Hronětice </w:t>
            </w:r>
            <w:r w:rsidR="006C7149" w:rsidRPr="006070EA">
              <w:rPr>
                <w:rFonts w:asciiTheme="majorHAnsi" w:hAnsiTheme="majorHAnsi" w:cstheme="majorHAnsi"/>
                <w:color w:val="000000"/>
                <w:szCs w:val="18"/>
                <w:lang w:val="cs-CZ"/>
              </w:rPr>
              <w:t>–</w:t>
            </w:r>
            <w:r w:rsidRPr="006070EA">
              <w:rPr>
                <w:rFonts w:asciiTheme="majorHAnsi" w:hAnsiTheme="majorHAnsi" w:cstheme="majorHAnsi"/>
                <w:color w:val="000000"/>
                <w:szCs w:val="18"/>
                <w:lang w:val="cs-CZ"/>
              </w:rPr>
              <w:t xml:space="preserve"> Zbožíčko</w:t>
            </w:r>
          </w:p>
        </w:tc>
        <w:tc>
          <w:tcPr>
            <w:tcW w:w="1134" w:type="dxa"/>
            <w:tcBorders>
              <w:top w:val="single" w:sz="12" w:space="0" w:color="auto"/>
              <w:left w:val="single" w:sz="4" w:space="0" w:color="auto"/>
              <w:bottom w:val="nil"/>
              <w:right w:val="single" w:sz="4" w:space="0" w:color="auto"/>
            </w:tcBorders>
            <w:vAlign w:val="center"/>
          </w:tcPr>
          <w:p w14:paraId="0B7BBB37" w14:textId="77777777" w:rsidR="00B646BB" w:rsidRPr="006070EA" w:rsidRDefault="00B646BB" w:rsidP="00780ACE">
            <w:pPr>
              <w:pStyle w:val="Bezmezer"/>
              <w:jc w:val="center"/>
              <w:rPr>
                <w:rFonts w:asciiTheme="majorHAnsi" w:hAnsiTheme="majorHAnsi" w:cstheme="majorHAnsi"/>
                <w:color w:val="000000"/>
                <w:szCs w:val="18"/>
                <w:shd w:val="clear" w:color="auto" w:fill="FFFFFF"/>
                <w:lang w:val="cs-CZ"/>
              </w:rPr>
            </w:pPr>
            <w:r w:rsidRPr="006070EA">
              <w:rPr>
                <w:rFonts w:asciiTheme="majorHAnsi" w:hAnsiTheme="majorHAnsi" w:cstheme="majorHAnsi"/>
                <w:color w:val="000000"/>
                <w:szCs w:val="18"/>
                <w:shd w:val="clear" w:color="auto" w:fill="FFFFFF"/>
                <w:lang w:val="cs-CZ"/>
              </w:rPr>
              <w:t>8.956 říční km - 9.377 říční km</w:t>
            </w:r>
          </w:p>
        </w:tc>
        <w:tc>
          <w:tcPr>
            <w:tcW w:w="850" w:type="dxa"/>
            <w:tcBorders>
              <w:top w:val="single" w:sz="12" w:space="0" w:color="auto"/>
              <w:left w:val="single" w:sz="4" w:space="0" w:color="auto"/>
              <w:bottom w:val="nil"/>
              <w:right w:val="single" w:sz="4" w:space="0" w:color="auto"/>
            </w:tcBorders>
            <w:vAlign w:val="center"/>
          </w:tcPr>
          <w:p w14:paraId="24C9E3D4"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0,421 km</w:t>
            </w:r>
          </w:p>
        </w:tc>
        <w:tc>
          <w:tcPr>
            <w:tcW w:w="1134" w:type="dxa"/>
            <w:tcBorders>
              <w:top w:val="single" w:sz="12" w:space="0" w:color="auto"/>
              <w:left w:val="single" w:sz="4" w:space="0" w:color="auto"/>
              <w:bottom w:val="nil"/>
              <w:right w:val="single" w:sz="4" w:space="0" w:color="auto"/>
            </w:tcBorders>
            <w:vAlign w:val="center"/>
          </w:tcPr>
          <w:p w14:paraId="7036145A"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22. 04. 2016</w:t>
            </w:r>
          </w:p>
        </w:tc>
        <w:tc>
          <w:tcPr>
            <w:tcW w:w="1242" w:type="dxa"/>
            <w:tcBorders>
              <w:top w:val="single" w:sz="12" w:space="0" w:color="auto"/>
              <w:left w:val="single" w:sz="4" w:space="0" w:color="auto"/>
              <w:bottom w:val="nil"/>
              <w:right w:val="nil"/>
            </w:tcBorders>
            <w:vAlign w:val="center"/>
          </w:tcPr>
          <w:p w14:paraId="65B7C6D1" w14:textId="77777777" w:rsidR="00B646BB" w:rsidRPr="006070EA" w:rsidRDefault="00B646BB" w:rsidP="00780ACE">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061837/2016/KUSK/5</w:t>
            </w:r>
          </w:p>
        </w:tc>
      </w:tr>
    </w:tbl>
    <w:p w14:paraId="574FC47A" w14:textId="79BEAE66" w:rsidR="00013569" w:rsidRPr="006070EA" w:rsidRDefault="00013569" w:rsidP="009E07E1">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780ACE" w:rsidRPr="006070EA">
        <w:rPr>
          <w:rFonts w:asciiTheme="majorHAnsi" w:hAnsiTheme="majorHAnsi" w:cstheme="majorHAnsi"/>
          <w:b/>
          <w:i/>
          <w:snapToGrid w:val="0"/>
          <w:u w:val="single"/>
        </w:rPr>
        <w:t>5</w:t>
      </w:r>
      <w:r w:rsidR="0021590A">
        <w:rPr>
          <w:rFonts w:asciiTheme="majorHAnsi" w:hAnsiTheme="majorHAnsi" w:cstheme="majorHAnsi"/>
          <w:b/>
          <w:i/>
          <w:snapToGrid w:val="0"/>
          <w:u w:val="single"/>
        </w:rPr>
        <w:t>5</w:t>
      </w:r>
      <w:r w:rsidRPr="006070EA">
        <w:rPr>
          <w:rFonts w:asciiTheme="majorHAnsi" w:hAnsiTheme="majorHAnsi" w:cstheme="majorHAnsi"/>
          <w:b/>
          <w:i/>
          <w:snapToGrid w:val="0"/>
          <w:u w:val="single"/>
        </w:rPr>
        <w:t>)</w:t>
      </w:r>
      <w:r w:rsidR="00780ACE" w:rsidRPr="006070EA">
        <w:rPr>
          <w:rFonts w:asciiTheme="majorHAnsi" w:hAnsiTheme="majorHAnsi" w:cstheme="majorHAnsi"/>
          <w:b/>
          <w:i/>
          <w:snapToGrid w:val="0"/>
          <w:u w:val="single"/>
        </w:rPr>
        <w:t xml:space="preserve"> </w:t>
      </w:r>
      <w:r w:rsidR="00780ACE" w:rsidRPr="006070EA">
        <w:rPr>
          <w:rFonts w:asciiTheme="majorHAnsi" w:hAnsiTheme="majorHAnsi" w:cstheme="majorHAnsi"/>
          <w:bCs w:val="0"/>
          <w:i/>
          <w:snapToGrid w:val="0"/>
          <w:u w:val="single"/>
        </w:rPr>
        <w:t>a</w:t>
      </w:r>
      <w:r w:rsidR="00780ACE" w:rsidRPr="006070EA">
        <w:rPr>
          <w:rFonts w:asciiTheme="majorHAnsi" w:hAnsiTheme="majorHAnsi" w:cstheme="majorHAnsi"/>
          <w:b/>
          <w:i/>
          <w:snapToGrid w:val="0"/>
          <w:u w:val="single"/>
        </w:rPr>
        <w:t xml:space="preserve"> (5</w:t>
      </w:r>
      <w:r w:rsidR="0021590A">
        <w:rPr>
          <w:rFonts w:asciiTheme="majorHAnsi" w:hAnsiTheme="majorHAnsi" w:cstheme="majorHAnsi"/>
          <w:b/>
          <w:i/>
          <w:snapToGrid w:val="0"/>
          <w:u w:val="single"/>
        </w:rPr>
        <w:t>6</w:t>
      </w:r>
      <w:r w:rsidR="00780ACE" w:rsidRPr="006070EA">
        <w:rPr>
          <w:rFonts w:asciiTheme="majorHAnsi" w:hAnsiTheme="majorHAnsi" w:cstheme="majorHAnsi"/>
          <w:b/>
          <w:i/>
          <w:snapToGrid w:val="0"/>
          <w:u w:val="single"/>
        </w:rPr>
        <w:t>)</w:t>
      </w:r>
      <w:r w:rsidRPr="006070EA">
        <w:rPr>
          <w:rFonts w:asciiTheme="majorHAnsi" w:hAnsiTheme="majorHAnsi" w:cstheme="majorHAnsi"/>
          <w:i/>
          <w:snapToGrid w:val="0"/>
          <w:u w:val="single"/>
        </w:rPr>
        <w:t xml:space="preserve"> výrokové části</w:t>
      </w:r>
    </w:p>
    <w:p w14:paraId="2A314FCB" w14:textId="1B9A9B2C" w:rsidR="00C77A77" w:rsidRPr="006070EA" w:rsidRDefault="00013569" w:rsidP="009E07E1">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Realizaci protipovodňových opatření explicitně umožňují stanovené podmínky využití ploch s rozdílným způsobem využití, </w:t>
      </w:r>
      <w:r w:rsidR="00C77A77" w:rsidRPr="006070EA">
        <w:rPr>
          <w:rFonts w:asciiTheme="majorHAnsi" w:hAnsiTheme="majorHAnsi" w:cstheme="majorHAnsi"/>
          <w:sz w:val="18"/>
        </w:rPr>
        <w:t>např</w:t>
      </w:r>
      <w:r w:rsidRPr="006070EA">
        <w:rPr>
          <w:rFonts w:asciiTheme="majorHAnsi" w:hAnsiTheme="majorHAnsi" w:cstheme="majorHAnsi"/>
          <w:sz w:val="18"/>
        </w:rPr>
        <w:t xml:space="preserve">. </w:t>
      </w:r>
      <w:r w:rsidRPr="006070EA">
        <w:rPr>
          <w:rFonts w:asciiTheme="majorHAnsi" w:hAnsiTheme="majorHAnsi" w:cstheme="majorHAnsi"/>
          <w:i/>
          <w:sz w:val="18"/>
        </w:rPr>
        <w:t>vodní a vodohospodářské</w:t>
      </w:r>
      <w:r w:rsidR="006C7149" w:rsidRPr="006070EA">
        <w:rPr>
          <w:rFonts w:asciiTheme="majorHAnsi" w:hAnsiTheme="majorHAnsi" w:cstheme="majorHAnsi"/>
          <w:sz w:val="18"/>
        </w:rPr>
        <w:t xml:space="preserve"> </w:t>
      </w:r>
      <w:r w:rsidR="006C7149" w:rsidRPr="006070EA">
        <w:rPr>
          <w:rFonts w:asciiTheme="majorHAnsi" w:hAnsiTheme="majorHAnsi" w:cstheme="majorHAnsi"/>
          <w:i/>
          <w:iCs/>
          <w:sz w:val="18"/>
        </w:rPr>
        <w:t>všeobecné</w:t>
      </w:r>
      <w:r w:rsidR="006C7149" w:rsidRPr="006070EA">
        <w:rPr>
          <w:rFonts w:asciiTheme="majorHAnsi" w:hAnsiTheme="majorHAnsi" w:cstheme="majorHAnsi"/>
          <w:sz w:val="18"/>
        </w:rPr>
        <w:t xml:space="preserve"> </w:t>
      </w:r>
      <w:r w:rsidRPr="006070EA">
        <w:rPr>
          <w:rFonts w:asciiTheme="majorHAnsi" w:hAnsiTheme="majorHAnsi" w:cstheme="majorHAnsi"/>
          <w:sz w:val="18"/>
        </w:rPr>
        <w:t>(W</w:t>
      </w:r>
      <w:r w:rsidR="006C7149" w:rsidRPr="006070EA">
        <w:rPr>
          <w:rFonts w:asciiTheme="majorHAnsi" w:hAnsiTheme="majorHAnsi" w:cstheme="majorHAnsi"/>
          <w:sz w:val="18"/>
        </w:rPr>
        <w:t>U</w:t>
      </w:r>
      <w:r w:rsidRPr="006070EA">
        <w:rPr>
          <w:rFonts w:asciiTheme="majorHAnsi" w:hAnsiTheme="majorHAnsi" w:cstheme="majorHAnsi"/>
          <w:sz w:val="18"/>
        </w:rPr>
        <w:t>),</w:t>
      </w:r>
      <w:r w:rsidR="00C77A77" w:rsidRPr="006070EA">
        <w:rPr>
          <w:rFonts w:asciiTheme="majorHAnsi" w:hAnsiTheme="majorHAnsi" w:cstheme="majorHAnsi"/>
          <w:sz w:val="18"/>
        </w:rPr>
        <w:t xml:space="preserve"> </w:t>
      </w:r>
      <w:r w:rsidR="00C77A77" w:rsidRPr="006070EA">
        <w:rPr>
          <w:rFonts w:asciiTheme="majorHAnsi" w:hAnsiTheme="majorHAnsi" w:cstheme="majorHAnsi"/>
          <w:i/>
          <w:sz w:val="18"/>
        </w:rPr>
        <w:t>zemědělské</w:t>
      </w:r>
      <w:r w:rsidR="00C77A77" w:rsidRPr="006070EA">
        <w:rPr>
          <w:rFonts w:asciiTheme="majorHAnsi" w:hAnsiTheme="majorHAnsi" w:cstheme="majorHAnsi"/>
          <w:sz w:val="18"/>
        </w:rPr>
        <w:t xml:space="preserve"> </w:t>
      </w:r>
      <w:r w:rsidR="006C7149" w:rsidRPr="006070EA">
        <w:rPr>
          <w:rFonts w:asciiTheme="majorHAnsi" w:hAnsiTheme="majorHAnsi" w:cstheme="majorHAnsi"/>
          <w:i/>
          <w:iCs/>
          <w:sz w:val="18"/>
        </w:rPr>
        <w:t>všeobecné</w:t>
      </w:r>
      <w:r w:rsidR="006C7149" w:rsidRPr="006070EA">
        <w:rPr>
          <w:rFonts w:asciiTheme="majorHAnsi" w:hAnsiTheme="majorHAnsi" w:cstheme="majorHAnsi"/>
          <w:sz w:val="18"/>
        </w:rPr>
        <w:t xml:space="preserve"> </w:t>
      </w:r>
      <w:r w:rsidR="00C77A77" w:rsidRPr="006070EA">
        <w:rPr>
          <w:rFonts w:asciiTheme="majorHAnsi" w:hAnsiTheme="majorHAnsi" w:cstheme="majorHAnsi"/>
          <w:sz w:val="18"/>
        </w:rPr>
        <w:t>(</w:t>
      </w:r>
      <w:r w:rsidR="006C7149" w:rsidRPr="006070EA">
        <w:rPr>
          <w:rFonts w:asciiTheme="majorHAnsi" w:hAnsiTheme="majorHAnsi" w:cstheme="majorHAnsi"/>
          <w:sz w:val="18"/>
        </w:rPr>
        <w:t>AU</w:t>
      </w:r>
      <w:r w:rsidR="00C77A77" w:rsidRPr="006070EA">
        <w:rPr>
          <w:rFonts w:asciiTheme="majorHAnsi" w:hAnsiTheme="majorHAnsi" w:cstheme="majorHAnsi"/>
          <w:sz w:val="18"/>
        </w:rPr>
        <w:t>)</w:t>
      </w:r>
      <w:r w:rsidR="006C7149" w:rsidRPr="006070EA">
        <w:rPr>
          <w:rFonts w:asciiTheme="majorHAnsi" w:hAnsiTheme="majorHAnsi" w:cstheme="majorHAnsi"/>
          <w:sz w:val="18"/>
        </w:rPr>
        <w:t>,</w:t>
      </w:r>
      <w:r w:rsidRPr="006070EA">
        <w:rPr>
          <w:rFonts w:asciiTheme="majorHAnsi" w:hAnsiTheme="majorHAnsi" w:cstheme="majorHAnsi"/>
          <w:sz w:val="18"/>
        </w:rPr>
        <w:t xml:space="preserve"> </w:t>
      </w:r>
      <w:r w:rsidRPr="006070EA">
        <w:rPr>
          <w:rFonts w:asciiTheme="majorHAnsi" w:hAnsiTheme="majorHAnsi" w:cstheme="majorHAnsi"/>
          <w:i/>
          <w:sz w:val="18"/>
        </w:rPr>
        <w:t>smíšené nezastavěného území</w:t>
      </w:r>
      <w:r w:rsidRPr="006070EA">
        <w:rPr>
          <w:rFonts w:asciiTheme="majorHAnsi" w:hAnsiTheme="majorHAnsi" w:cstheme="majorHAnsi"/>
          <w:sz w:val="18"/>
        </w:rPr>
        <w:t xml:space="preserve"> (</w:t>
      </w:r>
      <w:proofErr w:type="gramStart"/>
      <w:r w:rsidR="006C7149" w:rsidRPr="006070EA">
        <w:rPr>
          <w:rFonts w:asciiTheme="majorHAnsi" w:hAnsiTheme="majorHAnsi" w:cstheme="majorHAnsi"/>
          <w:sz w:val="18"/>
        </w:rPr>
        <w:t>MU.zp</w:t>
      </w:r>
      <w:proofErr w:type="gramEnd"/>
      <w:r w:rsidR="00780ACE" w:rsidRPr="006070EA">
        <w:rPr>
          <w:rFonts w:asciiTheme="majorHAnsi" w:hAnsiTheme="majorHAnsi" w:cstheme="majorHAnsi"/>
          <w:sz w:val="18"/>
        </w:rPr>
        <w:t xml:space="preserve">, </w:t>
      </w:r>
      <w:proofErr w:type="gramStart"/>
      <w:r w:rsidR="006C7149" w:rsidRPr="006070EA">
        <w:rPr>
          <w:rFonts w:asciiTheme="majorHAnsi" w:hAnsiTheme="majorHAnsi" w:cstheme="majorHAnsi"/>
          <w:sz w:val="18"/>
        </w:rPr>
        <w:t>MU.r</w:t>
      </w:r>
      <w:proofErr w:type="gramEnd"/>
      <w:r w:rsidR="00780ACE" w:rsidRPr="006070EA">
        <w:rPr>
          <w:rFonts w:asciiTheme="majorHAnsi" w:hAnsiTheme="majorHAnsi" w:cstheme="majorHAnsi"/>
          <w:sz w:val="18"/>
        </w:rPr>
        <w:t xml:space="preserve">, </w:t>
      </w:r>
      <w:proofErr w:type="gramStart"/>
      <w:r w:rsidR="006C7149" w:rsidRPr="006070EA">
        <w:rPr>
          <w:rFonts w:asciiTheme="majorHAnsi" w:hAnsiTheme="majorHAnsi" w:cstheme="majorHAnsi"/>
          <w:sz w:val="18"/>
        </w:rPr>
        <w:t>MU.s</w:t>
      </w:r>
      <w:proofErr w:type="gramEnd"/>
      <w:r w:rsidRPr="006070EA">
        <w:rPr>
          <w:rFonts w:asciiTheme="majorHAnsi" w:hAnsiTheme="majorHAnsi" w:cstheme="majorHAnsi"/>
          <w:sz w:val="18"/>
        </w:rPr>
        <w:t xml:space="preserve">). </w:t>
      </w:r>
    </w:p>
    <w:p w14:paraId="2DCDC283" w14:textId="77777777" w:rsidR="00780ACE" w:rsidRPr="006070EA" w:rsidRDefault="00780ACE" w:rsidP="00780ACE">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Stanovení podmínek využití pro všechny plochy vymezené v nezastavěném území je dostatečně široké, aby umožnilo realizaci dalších opatření v krajině (výstavba suchých poldrů, vodních nádrží, rybníků, tůní, revitalizace vodních toků, změny rostlinného pokryvu, zatravňování a zalesňování břehů a přirozených inundací, tvorba protierozních mezí a vegetačních pásů a další opatření prováděné za účelem zachycení vody v povodí a zpomalení jejího odtoku). ÚP tímto vytváří podmínky pro realizaci protipovodňových opatření, jejichž konkrétní řešení je mimo měřítko ÚP a je nezbytné je upřesnit v rámci navazujících řízení a v podrobnějších dokumentacích či podkladech (opatření krajského povodňového plánu, studie odtokových poměrů apod.) s ohledem na podrobné podmínky a požadavky v území.</w:t>
      </w:r>
    </w:p>
    <w:p w14:paraId="3ABB8E63" w14:textId="6DDEAB7A" w:rsidR="00780ACE" w:rsidRPr="006070EA" w:rsidRDefault="00780ACE" w:rsidP="00780ACE">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Stanoveny jsou obecné zásady vycházející z obecné znalosti problematiky a její aplikace s ohledem na konkrétní podmínky v území, a dále zejména z podkladu Strategie ochrany před povodněmi pro území České republiky (2000), Koncepce řešení problematiky ochrany před povodněmi v České republice s využitím technických a přírodě blízkých opatření v období (Ministerstvo zemědělství, Ministerstvo životního prostředí ČR, 2010) a z dalších oborových podkladů.</w:t>
      </w:r>
    </w:p>
    <w:p w14:paraId="48523253" w14:textId="77777777" w:rsidR="00780ACE" w:rsidRPr="006070EA" w:rsidRDefault="00780ACE" w:rsidP="00780ACE">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Obecné zásady protipovodňové ochrany jsou na základě uvedených podkladů založeny na zvyšování retenční schopnosti krajiny a na umožnění realizace dílčích opatření zejména přírodního charakteru. Důvodem stanovení zásad je ochrana urbanizovaného území před záplavami a nežádoucími rozlivy vodních toků a vytvoření podmínek pro realizaci staveb a opatření protipovodňové ochrany. Veškeré stavby a činnosti v záplavovém území podléhají souhlasu vodoprávního úřadu podle § 17 zákona č. 254/2001 Sb., o vodách a o změně některých zákonů (vodní zákon), ve znění pozdějších předpisů.</w:t>
      </w:r>
    </w:p>
    <w:p w14:paraId="5D9A13E7" w14:textId="77777777" w:rsidR="00780ACE" w:rsidRPr="006070EA" w:rsidRDefault="00780ACE" w:rsidP="00780ACE">
      <w:pPr>
        <w:spacing w:before="60" w:after="0" w:line="240" w:lineRule="auto"/>
        <w:ind w:firstLine="709"/>
        <w:jc w:val="both"/>
        <w:rPr>
          <w:rFonts w:asciiTheme="majorHAnsi" w:hAnsiTheme="majorHAnsi" w:cstheme="majorHAnsi"/>
          <w:sz w:val="18"/>
        </w:rPr>
      </w:pPr>
      <w:r w:rsidRPr="006070EA">
        <w:rPr>
          <w:rFonts w:asciiTheme="majorHAnsi" w:hAnsiTheme="majorHAnsi" w:cstheme="majorHAnsi"/>
          <w:sz w:val="18"/>
        </w:rPr>
        <w:t>Stanovením obecných zásad a umožněním realizace protipovodňových opatření v nezastavěném území jsou vytvořeny podmínky pro realizaci protipovodňových opatření, jejichž konkrétní řešení je mimo měřítko územního plánu a je nezbytné je upřesnit v rámci navazujících řízení a v podrobnějších dokumentacích či podkladech (opatření krajského povodňového plánu, studie odtokových poměrů apod.) s ohledem na podrobné podmínky a požadavky v území.</w:t>
      </w:r>
    </w:p>
    <w:p w14:paraId="67039933" w14:textId="77777777" w:rsidR="00082327" w:rsidRPr="006070EA" w:rsidRDefault="00082327"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98" w:name="_Toc204678211"/>
      <w:r w:rsidRPr="006070EA">
        <w:rPr>
          <w:rFonts w:asciiTheme="majorHAnsi" w:hAnsiTheme="majorHAnsi" w:cstheme="majorHAnsi"/>
          <w:b/>
        </w:rPr>
        <w:lastRenderedPageBreak/>
        <w:t>Odůvodnění koncepce rekreace a cestovního ruchu</w:t>
      </w:r>
      <w:bookmarkEnd w:id="398"/>
    </w:p>
    <w:p w14:paraId="5D91ECFB" w14:textId="5E1AF7C2" w:rsidR="00EE0B78" w:rsidRPr="006070EA" w:rsidRDefault="00EE0B78" w:rsidP="00EE0B78">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21590A">
        <w:rPr>
          <w:rFonts w:asciiTheme="majorHAnsi" w:hAnsiTheme="majorHAnsi" w:cstheme="majorHAnsi"/>
          <w:b/>
          <w:i/>
          <w:snapToGrid w:val="0"/>
          <w:u w:val="single"/>
        </w:rPr>
        <w:t>57</w:t>
      </w:r>
      <w:r w:rsidRPr="006070EA">
        <w:rPr>
          <w:rFonts w:asciiTheme="majorHAnsi" w:hAnsiTheme="majorHAnsi" w:cstheme="majorHAnsi"/>
          <w:b/>
          <w:i/>
          <w:snapToGrid w:val="0"/>
          <w:u w:val="single"/>
        </w:rPr>
        <w:t>) a (</w:t>
      </w:r>
      <w:r w:rsidR="0021590A">
        <w:rPr>
          <w:rFonts w:asciiTheme="majorHAnsi" w:hAnsiTheme="majorHAnsi" w:cstheme="majorHAnsi"/>
          <w:b/>
          <w:i/>
          <w:snapToGrid w:val="0"/>
          <w:u w:val="single"/>
        </w:rPr>
        <w:t>58</w:t>
      </w:r>
      <w:r w:rsidRPr="006070EA">
        <w:rPr>
          <w:rFonts w:asciiTheme="majorHAnsi" w:hAnsiTheme="majorHAnsi" w:cstheme="majorHAnsi"/>
          <w:b/>
          <w:i/>
          <w:snapToGrid w:val="0"/>
          <w:u w:val="single"/>
        </w:rPr>
        <w:t>)</w:t>
      </w:r>
      <w:r w:rsidRPr="006070EA">
        <w:rPr>
          <w:rFonts w:asciiTheme="majorHAnsi" w:hAnsiTheme="majorHAnsi" w:cstheme="majorHAnsi"/>
          <w:i/>
          <w:snapToGrid w:val="0"/>
          <w:u w:val="single"/>
        </w:rPr>
        <w:t xml:space="preserve"> výrokové části</w:t>
      </w:r>
    </w:p>
    <w:p w14:paraId="781BC241" w14:textId="29BB6DC1" w:rsidR="002F3880" w:rsidRPr="006070EA" w:rsidRDefault="002F3880" w:rsidP="002F3880">
      <w:pPr>
        <w:pStyle w:val="Atext"/>
        <w:rPr>
          <w:rFonts w:asciiTheme="majorHAnsi" w:hAnsiTheme="majorHAnsi" w:cstheme="majorHAnsi"/>
          <w:color w:val="000000"/>
        </w:rPr>
      </w:pPr>
      <w:r w:rsidRPr="006070EA">
        <w:rPr>
          <w:rFonts w:asciiTheme="majorHAnsi" w:hAnsiTheme="majorHAnsi" w:cstheme="majorHAnsi"/>
          <w:color w:val="000000"/>
        </w:rPr>
        <w:t>SO ORP Nymburk těží z přírodního a kulturního bohatství. Z přírodního bohatství je nejzajímavější přírodní památka Písečný přesyp u Píst, kde se nachází jeden z posledních dochovaných písečných přesypů ve středním Polabí. Zajímavou a</w:t>
      </w:r>
      <w:r w:rsidR="00386074" w:rsidRPr="006070EA">
        <w:rPr>
          <w:rFonts w:asciiTheme="majorHAnsi" w:hAnsiTheme="majorHAnsi" w:cstheme="majorHAnsi"/>
          <w:color w:val="000000"/>
        </w:rPr>
        <w:t> </w:t>
      </w:r>
      <w:r w:rsidRPr="006070EA">
        <w:rPr>
          <w:rFonts w:asciiTheme="majorHAnsi" w:hAnsiTheme="majorHAnsi" w:cstheme="majorHAnsi"/>
          <w:color w:val="000000"/>
        </w:rPr>
        <w:t>významnou kulturní dominantou celé oblasti je zámek Loučeň se svým labyrintáriem. Vesnickou památkovou rezervací byla vyhlášena obec Bošín se svou roubenou zástavbou a návesním půdorysem středověkého původu. Významnou historickou památkou jsou městské hradby v Nymburku z 13. stol. z dob vlády Václava II. Ke každodenní či krátkodobé rekreaci lze využít značené turistické či cyklistické trasy či sportoviště (především v Nymburku). Dlouhodobá rekreace není v SO ORP významná. Oblast Nymburska je vyhledávána také díky osadě Kersko, která je známa díky Bohumilu Hrabalovi, který zde léta žil a podle jehož předlohy byl v Kersku natočen film Slavnosti sněženek.</w:t>
      </w:r>
    </w:p>
    <w:p w14:paraId="5BF81E44" w14:textId="18656DB4" w:rsidR="002F3880" w:rsidRPr="006070EA" w:rsidRDefault="002F3880" w:rsidP="002F3880">
      <w:pPr>
        <w:pStyle w:val="Atext"/>
        <w:rPr>
          <w:rFonts w:asciiTheme="majorHAnsi" w:hAnsiTheme="majorHAnsi" w:cstheme="majorHAnsi"/>
          <w:color w:val="000000"/>
          <w:szCs w:val="32"/>
        </w:rPr>
      </w:pPr>
      <w:r w:rsidRPr="006070EA">
        <w:rPr>
          <w:rFonts w:asciiTheme="majorHAnsi" w:hAnsiTheme="majorHAnsi" w:cstheme="majorHAnsi"/>
          <w:color w:val="000000"/>
        </w:rPr>
        <w:t xml:space="preserve">Obec Kostomlaty nad Labem spadá dle České centrály cestovního ruchu </w:t>
      </w:r>
      <w:r w:rsidR="000E7F63" w:rsidRPr="006070EA">
        <w:rPr>
          <w:rFonts w:asciiTheme="majorHAnsi" w:hAnsiTheme="majorHAnsi" w:cstheme="majorHAnsi"/>
          <w:color w:val="000000"/>
        </w:rPr>
        <w:t>–</w:t>
      </w:r>
      <w:r w:rsidRPr="006070EA">
        <w:rPr>
          <w:rFonts w:asciiTheme="majorHAnsi" w:hAnsiTheme="majorHAnsi" w:cstheme="majorHAnsi"/>
          <w:color w:val="000000"/>
        </w:rPr>
        <w:t xml:space="preserve"> CzechTourism do turistického regionu </w:t>
      </w:r>
      <w:r w:rsidRPr="006070EA">
        <w:rPr>
          <w:rFonts w:asciiTheme="majorHAnsi" w:hAnsiTheme="majorHAnsi" w:cstheme="majorHAnsi"/>
          <w:color w:val="000000"/>
          <w:szCs w:val="32"/>
        </w:rPr>
        <w:t xml:space="preserve">04 Střední </w:t>
      </w:r>
      <w:proofErr w:type="gramStart"/>
      <w:r w:rsidRPr="006070EA">
        <w:rPr>
          <w:rFonts w:asciiTheme="majorHAnsi" w:hAnsiTheme="majorHAnsi" w:cstheme="majorHAnsi"/>
          <w:color w:val="000000"/>
          <w:szCs w:val="32"/>
        </w:rPr>
        <w:t>Čechy - severovýchod</w:t>
      </w:r>
      <w:proofErr w:type="gramEnd"/>
      <w:r w:rsidRPr="006070EA">
        <w:rPr>
          <w:rFonts w:asciiTheme="majorHAnsi" w:hAnsiTheme="majorHAnsi" w:cstheme="majorHAnsi"/>
          <w:color w:val="000000"/>
          <w:szCs w:val="32"/>
        </w:rPr>
        <w:t xml:space="preserve"> – Polabí. </w:t>
      </w:r>
    </w:p>
    <w:p w14:paraId="58ADEAD9" w14:textId="133AA447" w:rsidR="002F3880" w:rsidRPr="006070EA" w:rsidRDefault="002F3880" w:rsidP="002F3880">
      <w:pPr>
        <w:pStyle w:val="Atext"/>
        <w:rPr>
          <w:rFonts w:asciiTheme="majorHAnsi" w:hAnsiTheme="majorHAnsi" w:cstheme="majorHAnsi"/>
          <w:color w:val="000000"/>
        </w:rPr>
      </w:pPr>
      <w:r w:rsidRPr="006070EA">
        <w:rPr>
          <w:rFonts w:asciiTheme="majorHAnsi" w:hAnsiTheme="majorHAnsi" w:cstheme="majorHAnsi"/>
          <w:color w:val="000000"/>
        </w:rPr>
        <w:t>Kostomlaty nad Labem pouze základní občanskou vybavenost (obchod, pošta, ubytovací a stravovací zařízení). Za</w:t>
      </w:r>
      <w:r w:rsidR="000E7F63" w:rsidRPr="006070EA">
        <w:rPr>
          <w:rFonts w:asciiTheme="majorHAnsi" w:hAnsiTheme="majorHAnsi" w:cstheme="majorHAnsi"/>
          <w:color w:val="000000"/>
        </w:rPr>
        <w:t> </w:t>
      </w:r>
      <w:r w:rsidRPr="006070EA">
        <w:rPr>
          <w:rFonts w:asciiTheme="majorHAnsi" w:hAnsiTheme="majorHAnsi" w:cstheme="majorHAnsi"/>
          <w:color w:val="000000"/>
        </w:rPr>
        <w:t>turisticky významnější centra v okolí lze považovat Kersko a Ostrá. V rámci řešeného území se nenachází žádné přírodní koupaliště ani kemp.</w:t>
      </w:r>
    </w:p>
    <w:p w14:paraId="23176000" w14:textId="44975318" w:rsidR="002F3880" w:rsidRPr="006070EA" w:rsidRDefault="002F3880" w:rsidP="003B36CA">
      <w:pPr>
        <w:keepNext/>
        <w:autoSpaceDE w:val="0"/>
        <w:autoSpaceDN w:val="0"/>
        <w:adjustRightInd w:val="0"/>
        <w:jc w:val="both"/>
        <w:rPr>
          <w:rFonts w:asciiTheme="majorHAnsi" w:hAnsiTheme="majorHAnsi" w:cstheme="majorHAnsi"/>
          <w:i/>
          <w:iCs/>
          <w:color w:val="000000"/>
          <w:sz w:val="18"/>
          <w:szCs w:val="18"/>
        </w:rPr>
      </w:pPr>
      <w:r w:rsidRPr="006070EA">
        <w:rPr>
          <w:rFonts w:asciiTheme="majorHAnsi" w:hAnsiTheme="majorHAnsi" w:cstheme="majorHAnsi"/>
          <w:i/>
          <w:iCs/>
          <w:color w:val="000000"/>
          <w:sz w:val="18"/>
          <w:szCs w:val="18"/>
        </w:rPr>
        <w:t>Tab</w:t>
      </w:r>
      <w:r w:rsidR="000E7F63" w:rsidRPr="006070EA">
        <w:rPr>
          <w:rFonts w:asciiTheme="majorHAnsi" w:hAnsiTheme="majorHAnsi" w:cstheme="majorHAnsi"/>
          <w:i/>
          <w:iCs/>
          <w:color w:val="000000"/>
          <w:sz w:val="18"/>
          <w:szCs w:val="18"/>
        </w:rPr>
        <w:t>.</w:t>
      </w:r>
      <w:r w:rsidRPr="006070EA">
        <w:rPr>
          <w:rFonts w:asciiTheme="majorHAnsi" w:hAnsiTheme="majorHAnsi" w:cstheme="majorHAnsi"/>
          <w:i/>
          <w:iCs/>
          <w:color w:val="000000"/>
          <w:sz w:val="18"/>
          <w:szCs w:val="18"/>
        </w:rPr>
        <w:t>:  Rekreační potenciál obc</w:t>
      </w:r>
      <w:r w:rsidR="000E7F63" w:rsidRPr="006070EA">
        <w:rPr>
          <w:rFonts w:asciiTheme="majorHAnsi" w:hAnsiTheme="majorHAnsi" w:cstheme="majorHAnsi"/>
          <w:i/>
          <w:iCs/>
          <w:color w:val="000000"/>
          <w:sz w:val="18"/>
          <w:szCs w:val="18"/>
        </w:rPr>
        <w:t xml:space="preserve">e </w:t>
      </w:r>
      <w:r w:rsidRPr="006070EA">
        <w:rPr>
          <w:rFonts w:asciiTheme="majorHAnsi" w:hAnsiTheme="majorHAnsi" w:cstheme="majorHAnsi"/>
          <w:i/>
          <w:iCs/>
          <w:color w:val="000000"/>
          <w:sz w:val="18"/>
          <w:szCs w:val="18"/>
        </w:rPr>
        <w:t xml:space="preserve">– stav k 31. 12. 2015 </w:t>
      </w:r>
    </w:p>
    <w:tbl>
      <w:tblPr>
        <w:tblW w:w="0" w:type="auto"/>
        <w:tblBorders>
          <w:insideH w:val="single" w:sz="6" w:space="0" w:color="000000"/>
          <w:insideV w:val="single" w:sz="6" w:space="0" w:color="000000"/>
        </w:tblBorders>
        <w:tblLook w:val="0000" w:firstRow="0" w:lastRow="0" w:firstColumn="0" w:lastColumn="0" w:noHBand="0" w:noVBand="0"/>
      </w:tblPr>
      <w:tblGrid>
        <w:gridCol w:w="1404"/>
        <w:gridCol w:w="1337"/>
        <w:gridCol w:w="912"/>
        <w:gridCol w:w="1047"/>
        <w:gridCol w:w="1184"/>
        <w:gridCol w:w="1593"/>
        <w:gridCol w:w="1593"/>
      </w:tblGrid>
      <w:tr w:rsidR="002F3880" w:rsidRPr="006070EA" w14:paraId="66E4C895" w14:textId="77777777" w:rsidTr="000E7F63">
        <w:trPr>
          <w:trHeight w:val="612"/>
        </w:trPr>
        <w:tc>
          <w:tcPr>
            <w:tcW w:w="0" w:type="auto"/>
            <w:vAlign w:val="center"/>
          </w:tcPr>
          <w:p w14:paraId="4168B6E8" w14:textId="77777777" w:rsidR="002F3880" w:rsidRPr="006070EA" w:rsidRDefault="002F3880" w:rsidP="000E7F63">
            <w:pPr>
              <w:autoSpaceDE w:val="0"/>
              <w:autoSpaceDN w:val="0"/>
              <w:adjustRightInd w:val="0"/>
              <w:spacing w:after="0"/>
              <w:jc w:val="center"/>
              <w:rPr>
                <w:rFonts w:asciiTheme="majorHAnsi" w:hAnsiTheme="majorHAnsi" w:cstheme="majorHAnsi"/>
                <w:b/>
                <w:color w:val="000000"/>
                <w:sz w:val="18"/>
                <w:szCs w:val="18"/>
              </w:rPr>
            </w:pPr>
            <w:r w:rsidRPr="006070EA">
              <w:rPr>
                <w:rFonts w:asciiTheme="majorHAnsi" w:hAnsiTheme="majorHAnsi" w:cstheme="majorHAnsi"/>
                <w:b/>
                <w:color w:val="000000"/>
                <w:sz w:val="18"/>
                <w:szCs w:val="18"/>
              </w:rPr>
              <w:t>Obec</w:t>
            </w:r>
          </w:p>
        </w:tc>
        <w:tc>
          <w:tcPr>
            <w:tcW w:w="0" w:type="auto"/>
            <w:vAlign w:val="center"/>
          </w:tcPr>
          <w:p w14:paraId="693DAD22" w14:textId="77777777" w:rsidR="002F3880" w:rsidRPr="006070EA" w:rsidRDefault="002F3880" w:rsidP="000E7F63">
            <w:pPr>
              <w:autoSpaceDE w:val="0"/>
              <w:autoSpaceDN w:val="0"/>
              <w:adjustRightInd w:val="0"/>
              <w:spacing w:after="0"/>
              <w:jc w:val="center"/>
              <w:rPr>
                <w:rFonts w:asciiTheme="majorHAnsi" w:hAnsiTheme="majorHAnsi" w:cstheme="majorHAnsi"/>
                <w:b/>
                <w:color w:val="000000"/>
                <w:sz w:val="18"/>
                <w:szCs w:val="18"/>
              </w:rPr>
            </w:pPr>
            <w:r w:rsidRPr="006070EA">
              <w:rPr>
                <w:rFonts w:asciiTheme="majorHAnsi" w:hAnsiTheme="majorHAnsi" w:cstheme="majorHAnsi"/>
                <w:b/>
                <w:color w:val="000000"/>
                <w:sz w:val="18"/>
                <w:szCs w:val="18"/>
              </w:rPr>
              <w:t>Trvalé travní porosty (ha)</w:t>
            </w:r>
          </w:p>
        </w:tc>
        <w:tc>
          <w:tcPr>
            <w:tcW w:w="0" w:type="auto"/>
            <w:vAlign w:val="center"/>
          </w:tcPr>
          <w:p w14:paraId="7E27DCCC" w14:textId="77777777" w:rsidR="002F3880" w:rsidRPr="006070EA" w:rsidRDefault="002F3880" w:rsidP="000E7F63">
            <w:pPr>
              <w:autoSpaceDE w:val="0"/>
              <w:autoSpaceDN w:val="0"/>
              <w:adjustRightInd w:val="0"/>
              <w:spacing w:after="0"/>
              <w:jc w:val="center"/>
              <w:rPr>
                <w:rFonts w:asciiTheme="majorHAnsi" w:hAnsiTheme="majorHAnsi" w:cstheme="majorHAnsi"/>
                <w:b/>
                <w:color w:val="000000"/>
                <w:sz w:val="18"/>
                <w:szCs w:val="18"/>
              </w:rPr>
            </w:pPr>
            <w:r w:rsidRPr="006070EA">
              <w:rPr>
                <w:rFonts w:asciiTheme="majorHAnsi" w:hAnsiTheme="majorHAnsi" w:cstheme="majorHAnsi"/>
                <w:b/>
                <w:color w:val="000000"/>
                <w:sz w:val="18"/>
                <w:szCs w:val="18"/>
              </w:rPr>
              <w:t>Lesní půda (ha)</w:t>
            </w:r>
          </w:p>
        </w:tc>
        <w:tc>
          <w:tcPr>
            <w:tcW w:w="0" w:type="auto"/>
            <w:vAlign w:val="center"/>
          </w:tcPr>
          <w:p w14:paraId="5A4E6A14" w14:textId="77777777" w:rsidR="002F3880" w:rsidRPr="006070EA" w:rsidRDefault="002F3880" w:rsidP="000E7F63">
            <w:pPr>
              <w:autoSpaceDE w:val="0"/>
              <w:autoSpaceDN w:val="0"/>
              <w:adjustRightInd w:val="0"/>
              <w:spacing w:after="0"/>
              <w:jc w:val="center"/>
              <w:rPr>
                <w:rFonts w:asciiTheme="majorHAnsi" w:hAnsiTheme="majorHAnsi" w:cstheme="majorHAnsi"/>
                <w:b/>
                <w:color w:val="000000"/>
                <w:sz w:val="18"/>
                <w:szCs w:val="18"/>
              </w:rPr>
            </w:pPr>
            <w:r w:rsidRPr="006070EA">
              <w:rPr>
                <w:rFonts w:asciiTheme="majorHAnsi" w:hAnsiTheme="majorHAnsi" w:cstheme="majorHAnsi"/>
                <w:b/>
                <w:color w:val="000000"/>
                <w:sz w:val="18"/>
                <w:szCs w:val="18"/>
              </w:rPr>
              <w:t>Vodní plochy (ha)</w:t>
            </w:r>
          </w:p>
        </w:tc>
        <w:tc>
          <w:tcPr>
            <w:tcW w:w="0" w:type="auto"/>
            <w:vAlign w:val="center"/>
          </w:tcPr>
          <w:p w14:paraId="0D4877BB" w14:textId="77777777" w:rsidR="002F3880" w:rsidRPr="006070EA" w:rsidRDefault="002F3880" w:rsidP="000E7F63">
            <w:pPr>
              <w:autoSpaceDE w:val="0"/>
              <w:autoSpaceDN w:val="0"/>
              <w:adjustRightInd w:val="0"/>
              <w:spacing w:after="0"/>
              <w:jc w:val="center"/>
              <w:rPr>
                <w:rFonts w:asciiTheme="majorHAnsi" w:hAnsiTheme="majorHAnsi" w:cstheme="majorHAnsi"/>
                <w:b/>
                <w:color w:val="000000"/>
                <w:sz w:val="18"/>
                <w:szCs w:val="18"/>
              </w:rPr>
            </w:pPr>
            <w:r w:rsidRPr="006070EA">
              <w:rPr>
                <w:rFonts w:asciiTheme="majorHAnsi" w:hAnsiTheme="majorHAnsi" w:cstheme="majorHAnsi"/>
                <w:b/>
                <w:color w:val="000000"/>
                <w:sz w:val="18"/>
                <w:szCs w:val="18"/>
              </w:rPr>
              <w:t>Celková výměra (ha)</w:t>
            </w:r>
          </w:p>
        </w:tc>
        <w:tc>
          <w:tcPr>
            <w:tcW w:w="0" w:type="auto"/>
            <w:vAlign w:val="center"/>
          </w:tcPr>
          <w:p w14:paraId="3025FB14" w14:textId="77777777" w:rsidR="002F3880" w:rsidRPr="006070EA" w:rsidRDefault="002F3880" w:rsidP="000E7F63">
            <w:pPr>
              <w:autoSpaceDE w:val="0"/>
              <w:autoSpaceDN w:val="0"/>
              <w:adjustRightInd w:val="0"/>
              <w:spacing w:after="0"/>
              <w:jc w:val="center"/>
              <w:rPr>
                <w:rFonts w:asciiTheme="majorHAnsi" w:hAnsiTheme="majorHAnsi" w:cstheme="majorHAnsi"/>
                <w:b/>
                <w:color w:val="000000"/>
                <w:sz w:val="18"/>
                <w:szCs w:val="18"/>
              </w:rPr>
            </w:pPr>
            <w:r w:rsidRPr="006070EA">
              <w:rPr>
                <w:rFonts w:asciiTheme="majorHAnsi" w:hAnsiTheme="majorHAnsi" w:cstheme="majorHAnsi"/>
                <w:b/>
                <w:color w:val="000000"/>
                <w:sz w:val="18"/>
                <w:szCs w:val="18"/>
              </w:rPr>
              <w:t>2013 - Rekreační potenciál (%)</w:t>
            </w:r>
          </w:p>
        </w:tc>
        <w:tc>
          <w:tcPr>
            <w:tcW w:w="0" w:type="auto"/>
            <w:vAlign w:val="center"/>
          </w:tcPr>
          <w:p w14:paraId="3C1E064F" w14:textId="77777777" w:rsidR="002F3880" w:rsidRPr="006070EA" w:rsidRDefault="002F3880" w:rsidP="000E7F63">
            <w:pPr>
              <w:autoSpaceDE w:val="0"/>
              <w:autoSpaceDN w:val="0"/>
              <w:adjustRightInd w:val="0"/>
              <w:spacing w:after="0"/>
              <w:jc w:val="center"/>
              <w:rPr>
                <w:rFonts w:asciiTheme="majorHAnsi" w:hAnsiTheme="majorHAnsi" w:cstheme="majorHAnsi"/>
                <w:b/>
                <w:color w:val="000000"/>
                <w:sz w:val="18"/>
                <w:szCs w:val="18"/>
              </w:rPr>
            </w:pPr>
            <w:r w:rsidRPr="006070EA">
              <w:rPr>
                <w:rFonts w:asciiTheme="majorHAnsi" w:hAnsiTheme="majorHAnsi" w:cstheme="majorHAnsi"/>
                <w:b/>
                <w:color w:val="000000"/>
                <w:sz w:val="18"/>
                <w:szCs w:val="18"/>
              </w:rPr>
              <w:t>2015 - Rekreační potenciál (%)</w:t>
            </w:r>
          </w:p>
        </w:tc>
      </w:tr>
      <w:tr w:rsidR="002F3880" w:rsidRPr="006070EA" w14:paraId="71662672" w14:textId="77777777" w:rsidTr="000E7F63">
        <w:trPr>
          <w:trHeight w:val="107"/>
        </w:trPr>
        <w:tc>
          <w:tcPr>
            <w:tcW w:w="0" w:type="auto"/>
            <w:vAlign w:val="center"/>
          </w:tcPr>
          <w:p w14:paraId="71EFEBB2" w14:textId="77777777" w:rsidR="002F3880" w:rsidRPr="006070EA" w:rsidRDefault="002F3880" w:rsidP="000E7F6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Kostomlaty nad Labem</w:t>
            </w:r>
          </w:p>
        </w:tc>
        <w:tc>
          <w:tcPr>
            <w:tcW w:w="0" w:type="auto"/>
            <w:vAlign w:val="center"/>
          </w:tcPr>
          <w:p w14:paraId="1C31F743" w14:textId="77777777" w:rsidR="002F3880" w:rsidRPr="006070EA" w:rsidRDefault="002F3880" w:rsidP="000E7F6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68,2</w:t>
            </w:r>
          </w:p>
        </w:tc>
        <w:tc>
          <w:tcPr>
            <w:tcW w:w="0" w:type="auto"/>
            <w:vAlign w:val="center"/>
          </w:tcPr>
          <w:p w14:paraId="43E798E3" w14:textId="77777777" w:rsidR="002F3880" w:rsidRPr="006070EA" w:rsidRDefault="002F3880" w:rsidP="000E7F6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99,0</w:t>
            </w:r>
          </w:p>
        </w:tc>
        <w:tc>
          <w:tcPr>
            <w:tcW w:w="0" w:type="auto"/>
            <w:vAlign w:val="center"/>
          </w:tcPr>
          <w:p w14:paraId="26E1043F" w14:textId="77777777" w:rsidR="002F3880" w:rsidRPr="006070EA" w:rsidRDefault="002F3880" w:rsidP="000E7F6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50,6</w:t>
            </w:r>
          </w:p>
        </w:tc>
        <w:tc>
          <w:tcPr>
            <w:tcW w:w="0" w:type="auto"/>
            <w:vAlign w:val="center"/>
          </w:tcPr>
          <w:p w14:paraId="216CBF2D" w14:textId="77777777" w:rsidR="002F3880" w:rsidRPr="006070EA" w:rsidRDefault="002F3880" w:rsidP="000E7F6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1803,9</w:t>
            </w:r>
          </w:p>
        </w:tc>
        <w:tc>
          <w:tcPr>
            <w:tcW w:w="0" w:type="auto"/>
            <w:vAlign w:val="center"/>
          </w:tcPr>
          <w:p w14:paraId="63EEF677" w14:textId="77777777" w:rsidR="002F3880" w:rsidRPr="006070EA" w:rsidRDefault="002F3880" w:rsidP="000E7F6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12,08</w:t>
            </w:r>
          </w:p>
        </w:tc>
        <w:tc>
          <w:tcPr>
            <w:tcW w:w="0" w:type="auto"/>
            <w:vAlign w:val="center"/>
          </w:tcPr>
          <w:p w14:paraId="61721A41" w14:textId="77777777" w:rsidR="002F3880" w:rsidRPr="006070EA" w:rsidRDefault="002F3880" w:rsidP="000E7F63">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12,07</w:t>
            </w:r>
          </w:p>
        </w:tc>
      </w:tr>
    </w:tbl>
    <w:p w14:paraId="76DDE6C3" w14:textId="77777777" w:rsidR="002F3880" w:rsidRPr="006070EA" w:rsidRDefault="002F3880" w:rsidP="000E7F63">
      <w:pPr>
        <w:pStyle w:val="Atext"/>
        <w:rPr>
          <w:rFonts w:asciiTheme="majorHAnsi" w:hAnsiTheme="majorHAnsi" w:cstheme="majorHAnsi"/>
          <w:color w:val="000000"/>
        </w:rPr>
      </w:pPr>
      <w:r w:rsidRPr="006070EA">
        <w:rPr>
          <w:rFonts w:asciiTheme="majorHAnsi" w:hAnsiTheme="majorHAnsi" w:cstheme="majorHAnsi"/>
          <w:color w:val="000000"/>
        </w:rPr>
        <w:t xml:space="preserve">Rekreační potenciál je ukazatel vypočtený z podílu součtu ploch rekreačně využitelných (lesy, louky, pastviny, vodní plochy, zahrady) k celkové ploše obce </w:t>
      </w:r>
      <w:r w:rsidRPr="006070EA">
        <w:rPr>
          <w:rFonts w:asciiTheme="majorHAnsi" w:hAnsiTheme="majorHAnsi" w:cstheme="majorHAnsi"/>
          <w:color w:val="000000"/>
          <w:szCs w:val="18"/>
        </w:rPr>
        <w:t>dle ÚAP SO ORP Nymburk</w:t>
      </w:r>
      <w:r w:rsidRPr="006070EA">
        <w:rPr>
          <w:rFonts w:asciiTheme="majorHAnsi" w:hAnsiTheme="majorHAnsi" w:cstheme="majorHAnsi"/>
          <w:color w:val="000000"/>
        </w:rPr>
        <w:t>.</w:t>
      </w:r>
    </w:p>
    <w:p w14:paraId="056E90B7" w14:textId="07C23E20" w:rsidR="005E0426" w:rsidRPr="006070EA" w:rsidRDefault="00661656" w:rsidP="000E7F63">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Z hlediska turistické infrastruktury řešeným územím prochází</w:t>
      </w:r>
      <w:r w:rsidR="000E7F63" w:rsidRPr="006070EA">
        <w:rPr>
          <w:rFonts w:asciiTheme="majorHAnsi" w:hAnsiTheme="majorHAnsi" w:cstheme="majorHAnsi"/>
          <w:sz w:val="18"/>
          <w:szCs w:val="18"/>
        </w:rPr>
        <w:t xml:space="preserve"> značené turistické a cyklistické trasy a jsou vytvořeny podmínky pro jejich rozvoj, podrobněji viz kapitola 11.4.3.</w:t>
      </w:r>
      <w:r w:rsidR="000E7F63" w:rsidRPr="006070EA">
        <w:rPr>
          <w:rFonts w:asciiTheme="majorHAnsi" w:hAnsiTheme="majorHAnsi" w:cstheme="majorHAnsi"/>
        </w:rPr>
        <w:t xml:space="preserve"> </w:t>
      </w:r>
      <w:r w:rsidR="000E7F63" w:rsidRPr="006070EA">
        <w:rPr>
          <w:rFonts w:asciiTheme="majorHAnsi" w:hAnsiTheme="majorHAnsi" w:cstheme="majorHAnsi"/>
          <w:sz w:val="18"/>
          <w:szCs w:val="18"/>
        </w:rPr>
        <w:t>Zásadní význam z hlediska každodenní rekreace mají také plochy P</w:t>
      </w:r>
      <w:r w:rsidR="00386074" w:rsidRPr="006070EA">
        <w:rPr>
          <w:rFonts w:asciiTheme="majorHAnsi" w:hAnsiTheme="majorHAnsi" w:cstheme="majorHAnsi"/>
          <w:sz w:val="18"/>
          <w:szCs w:val="18"/>
        </w:rPr>
        <w:t>U</w:t>
      </w:r>
      <w:r w:rsidR="000E7F63" w:rsidRPr="006070EA">
        <w:rPr>
          <w:rFonts w:asciiTheme="majorHAnsi" w:hAnsiTheme="majorHAnsi" w:cstheme="majorHAnsi"/>
          <w:sz w:val="18"/>
          <w:szCs w:val="18"/>
        </w:rPr>
        <w:t xml:space="preserve"> – veřejná prostranství </w:t>
      </w:r>
      <w:r w:rsidR="00386074" w:rsidRPr="006070EA">
        <w:rPr>
          <w:rFonts w:asciiTheme="majorHAnsi" w:hAnsiTheme="majorHAnsi" w:cstheme="majorHAnsi"/>
          <w:sz w:val="18"/>
          <w:szCs w:val="18"/>
        </w:rPr>
        <w:t xml:space="preserve">všeobecná </w:t>
      </w:r>
      <w:r w:rsidR="000E7F63" w:rsidRPr="006070EA">
        <w:rPr>
          <w:rFonts w:asciiTheme="majorHAnsi" w:hAnsiTheme="majorHAnsi" w:cstheme="majorHAnsi"/>
          <w:sz w:val="18"/>
          <w:szCs w:val="18"/>
        </w:rPr>
        <w:t>a Z</w:t>
      </w:r>
      <w:r w:rsidR="00386074" w:rsidRPr="006070EA">
        <w:rPr>
          <w:rFonts w:asciiTheme="majorHAnsi" w:hAnsiTheme="majorHAnsi" w:cstheme="majorHAnsi"/>
          <w:sz w:val="18"/>
          <w:szCs w:val="18"/>
        </w:rPr>
        <w:t>P</w:t>
      </w:r>
      <w:r w:rsidR="000E7F63" w:rsidRPr="006070EA">
        <w:rPr>
          <w:rFonts w:asciiTheme="majorHAnsi" w:hAnsiTheme="majorHAnsi" w:cstheme="majorHAnsi"/>
          <w:sz w:val="18"/>
          <w:szCs w:val="18"/>
        </w:rPr>
        <w:t xml:space="preserve"> –</w:t>
      </w:r>
      <w:r w:rsidR="00386074" w:rsidRPr="006070EA">
        <w:rPr>
          <w:rFonts w:asciiTheme="majorHAnsi" w:hAnsiTheme="majorHAnsi" w:cstheme="majorHAnsi"/>
          <w:sz w:val="18"/>
          <w:szCs w:val="18"/>
        </w:rPr>
        <w:t xml:space="preserve"> </w:t>
      </w:r>
      <w:r w:rsidR="000E7F63" w:rsidRPr="006070EA">
        <w:rPr>
          <w:rFonts w:asciiTheme="majorHAnsi" w:hAnsiTheme="majorHAnsi" w:cstheme="majorHAnsi"/>
          <w:sz w:val="18"/>
          <w:szCs w:val="18"/>
        </w:rPr>
        <w:t>zeleň</w:t>
      </w:r>
      <w:r w:rsidR="00386074" w:rsidRPr="006070EA">
        <w:rPr>
          <w:rFonts w:asciiTheme="majorHAnsi" w:hAnsiTheme="majorHAnsi" w:cstheme="majorHAnsi"/>
          <w:sz w:val="18"/>
          <w:szCs w:val="18"/>
        </w:rPr>
        <w:t xml:space="preserve"> – parky a parkově upravené plochy</w:t>
      </w:r>
      <w:r w:rsidR="000E7F63" w:rsidRPr="006070EA">
        <w:rPr>
          <w:rFonts w:asciiTheme="majorHAnsi" w:hAnsiTheme="majorHAnsi" w:cstheme="majorHAnsi"/>
          <w:sz w:val="18"/>
          <w:szCs w:val="18"/>
        </w:rPr>
        <w:t>.</w:t>
      </w:r>
    </w:p>
    <w:p w14:paraId="43F07F7C" w14:textId="41C9B540" w:rsidR="005E0426" w:rsidRPr="006070EA" w:rsidRDefault="005B663D" w:rsidP="000E7F63">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Významným prvkem </w:t>
      </w:r>
      <w:r w:rsidR="000E7F63" w:rsidRPr="006070EA">
        <w:rPr>
          <w:rFonts w:asciiTheme="majorHAnsi" w:hAnsiTheme="majorHAnsi" w:cstheme="majorHAnsi"/>
          <w:sz w:val="18"/>
          <w:szCs w:val="18"/>
        </w:rPr>
        <w:t xml:space="preserve">území </w:t>
      </w:r>
      <w:r w:rsidRPr="006070EA">
        <w:rPr>
          <w:rFonts w:asciiTheme="majorHAnsi" w:hAnsiTheme="majorHAnsi" w:cstheme="majorHAnsi"/>
          <w:sz w:val="18"/>
          <w:szCs w:val="18"/>
        </w:rPr>
        <w:t xml:space="preserve">je </w:t>
      </w:r>
      <w:r w:rsidR="00F97790" w:rsidRPr="006070EA">
        <w:rPr>
          <w:rFonts w:asciiTheme="majorHAnsi" w:hAnsiTheme="majorHAnsi" w:cstheme="majorHAnsi"/>
          <w:sz w:val="18"/>
          <w:szCs w:val="18"/>
        </w:rPr>
        <w:t xml:space="preserve">řeka </w:t>
      </w:r>
      <w:r w:rsidR="000E7F63" w:rsidRPr="006070EA">
        <w:rPr>
          <w:rFonts w:asciiTheme="majorHAnsi" w:hAnsiTheme="majorHAnsi" w:cstheme="majorHAnsi"/>
          <w:sz w:val="18"/>
          <w:szCs w:val="18"/>
        </w:rPr>
        <w:t>Labe</w:t>
      </w:r>
      <w:r w:rsidR="00F97790" w:rsidRPr="006070EA">
        <w:rPr>
          <w:rFonts w:asciiTheme="majorHAnsi" w:hAnsiTheme="majorHAnsi" w:cstheme="majorHAnsi"/>
          <w:sz w:val="18"/>
          <w:szCs w:val="18"/>
        </w:rPr>
        <w:t xml:space="preserve">, </w:t>
      </w:r>
      <w:r w:rsidR="000E7F63" w:rsidRPr="006070EA">
        <w:rPr>
          <w:rFonts w:asciiTheme="majorHAnsi" w:hAnsiTheme="majorHAnsi" w:cstheme="majorHAnsi"/>
          <w:sz w:val="18"/>
          <w:szCs w:val="18"/>
        </w:rPr>
        <w:t>protékající po jižní hranici území.</w:t>
      </w:r>
      <w:r w:rsidR="00F97790" w:rsidRPr="006070EA">
        <w:rPr>
          <w:rFonts w:asciiTheme="majorHAnsi" w:hAnsiTheme="majorHAnsi" w:cstheme="majorHAnsi"/>
          <w:sz w:val="18"/>
          <w:szCs w:val="18"/>
        </w:rPr>
        <w:t xml:space="preserve"> </w:t>
      </w:r>
      <w:r w:rsidR="005E0426" w:rsidRPr="006070EA">
        <w:rPr>
          <w:rFonts w:asciiTheme="majorHAnsi" w:hAnsiTheme="majorHAnsi" w:cstheme="majorHAnsi"/>
          <w:sz w:val="18"/>
          <w:szCs w:val="18"/>
        </w:rPr>
        <w:t>V</w:t>
      </w:r>
      <w:r w:rsidRPr="006070EA">
        <w:rPr>
          <w:rFonts w:asciiTheme="majorHAnsi" w:hAnsiTheme="majorHAnsi" w:cstheme="majorHAnsi"/>
          <w:sz w:val="18"/>
          <w:szCs w:val="18"/>
        </w:rPr>
        <w:t xml:space="preserve"> řešeném</w:t>
      </w:r>
      <w:r w:rsidR="005E0426" w:rsidRPr="006070EA">
        <w:rPr>
          <w:rFonts w:asciiTheme="majorHAnsi" w:hAnsiTheme="majorHAnsi" w:cstheme="majorHAnsi"/>
          <w:sz w:val="18"/>
          <w:szCs w:val="18"/>
        </w:rPr>
        <w:t xml:space="preserve"> území se nachází několik historicky, kulturně a přírodně hodnotných míst, které z hlediska cestovních ruchů vytvářejí potenciální cíle pro návštěvu, </w:t>
      </w:r>
      <w:r w:rsidR="000E7F63" w:rsidRPr="006070EA">
        <w:rPr>
          <w:rFonts w:asciiTheme="majorHAnsi" w:hAnsiTheme="majorHAnsi" w:cstheme="majorHAnsi"/>
          <w:sz w:val="18"/>
          <w:szCs w:val="18"/>
        </w:rPr>
        <w:t>podrobněji viz kapitola 11.2.3.</w:t>
      </w:r>
      <w:r w:rsidR="005E0426" w:rsidRPr="006070EA">
        <w:rPr>
          <w:rFonts w:asciiTheme="majorHAnsi" w:hAnsiTheme="majorHAnsi" w:cstheme="majorHAnsi"/>
          <w:sz w:val="18"/>
          <w:szCs w:val="18"/>
        </w:rPr>
        <w:t xml:space="preserve"> </w:t>
      </w:r>
    </w:p>
    <w:p w14:paraId="723B2340" w14:textId="34D86C02" w:rsidR="000E7F63" w:rsidRPr="006070EA" w:rsidRDefault="000E7F63" w:rsidP="000E7F63">
      <w:pPr>
        <w:spacing w:before="120" w:after="12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Rozvoj různých forem rekreace je umožněn v rámci ploch s rozdílným způsobem využití v souladu s jejich stanovenými podmínkami využití.</w:t>
      </w:r>
    </w:p>
    <w:p w14:paraId="44E32050" w14:textId="25EA9112" w:rsidR="00EE0B78" w:rsidRPr="006070EA" w:rsidRDefault="00EE0B78" w:rsidP="00EE0B78">
      <w:pPr>
        <w:spacing w:before="120" w:after="60" w:line="240" w:lineRule="auto"/>
        <w:ind w:firstLine="709"/>
        <w:jc w:val="both"/>
        <w:rPr>
          <w:rFonts w:asciiTheme="majorHAnsi" w:hAnsiTheme="majorHAnsi" w:cstheme="majorHAnsi"/>
          <w:sz w:val="18"/>
          <w:szCs w:val="18"/>
        </w:rPr>
      </w:pPr>
      <w:r w:rsidRPr="006070EA">
        <w:rPr>
          <w:rFonts w:asciiTheme="majorHAnsi" w:hAnsiTheme="majorHAnsi" w:cstheme="majorHAnsi"/>
          <w:sz w:val="18"/>
          <w:szCs w:val="18"/>
        </w:rPr>
        <w:t xml:space="preserve">Územní plán Kostomlaty nad Labem stanovuje obecné zásady vycházející z odborné znalosti problematiky a její aplikace v řešeném území s ohledem na konkrétní podmínky v území, a dále zejména z těchto podkladů: </w:t>
      </w:r>
    </w:p>
    <w:p w14:paraId="585B85E3" w14:textId="42679AE3" w:rsidR="00EE0B78" w:rsidRPr="006070EA" w:rsidRDefault="00EE0B78" w:rsidP="00EE0B78">
      <w:pPr>
        <w:pStyle w:val="Odstavecseseznamem"/>
        <w:numPr>
          <w:ilvl w:val="0"/>
          <w:numId w:val="27"/>
        </w:numPr>
        <w:spacing w:after="120" w:line="240" w:lineRule="auto"/>
        <w:ind w:hanging="357"/>
        <w:jc w:val="both"/>
        <w:rPr>
          <w:rFonts w:asciiTheme="majorHAnsi" w:hAnsiTheme="majorHAnsi" w:cstheme="majorHAnsi"/>
          <w:sz w:val="18"/>
        </w:rPr>
      </w:pPr>
      <w:r w:rsidRPr="006070EA">
        <w:rPr>
          <w:rFonts w:asciiTheme="majorHAnsi" w:hAnsiTheme="majorHAnsi" w:cstheme="majorHAnsi"/>
          <w:sz w:val="18"/>
        </w:rPr>
        <w:t>PÚR ČR (ve znění aktualizací 1, 2, 3, 4</w:t>
      </w:r>
      <w:r w:rsidR="00386074" w:rsidRPr="006070EA">
        <w:rPr>
          <w:rFonts w:asciiTheme="majorHAnsi" w:hAnsiTheme="majorHAnsi" w:cstheme="majorHAnsi"/>
          <w:sz w:val="18"/>
        </w:rPr>
        <w:t>,</w:t>
      </w:r>
      <w:r w:rsidRPr="006070EA">
        <w:rPr>
          <w:rFonts w:asciiTheme="majorHAnsi" w:hAnsiTheme="majorHAnsi" w:cstheme="majorHAnsi"/>
          <w:sz w:val="18"/>
        </w:rPr>
        <w:t xml:space="preserve"> 5</w:t>
      </w:r>
      <w:r w:rsidR="00386074" w:rsidRPr="006070EA">
        <w:rPr>
          <w:rFonts w:asciiTheme="majorHAnsi" w:hAnsiTheme="majorHAnsi" w:cstheme="majorHAnsi"/>
          <w:sz w:val="18"/>
        </w:rPr>
        <w:t xml:space="preserve"> a 6</w:t>
      </w:r>
      <w:r w:rsidRPr="006070EA">
        <w:rPr>
          <w:rFonts w:asciiTheme="majorHAnsi" w:hAnsiTheme="majorHAnsi" w:cstheme="majorHAnsi"/>
          <w:sz w:val="18"/>
        </w:rPr>
        <w:t>)</w:t>
      </w:r>
    </w:p>
    <w:p w14:paraId="4A2C33B9" w14:textId="71B5C61D" w:rsidR="00EE0B78" w:rsidRPr="006070EA" w:rsidRDefault="00EE0B78" w:rsidP="00EE0B78">
      <w:pPr>
        <w:pStyle w:val="Odstavecseseznamem"/>
        <w:numPr>
          <w:ilvl w:val="0"/>
          <w:numId w:val="27"/>
        </w:numPr>
        <w:spacing w:after="120" w:line="240" w:lineRule="auto"/>
        <w:ind w:hanging="357"/>
        <w:jc w:val="both"/>
        <w:rPr>
          <w:rFonts w:asciiTheme="majorHAnsi" w:hAnsiTheme="majorHAnsi" w:cstheme="majorHAnsi"/>
          <w:sz w:val="18"/>
        </w:rPr>
      </w:pPr>
      <w:r w:rsidRPr="006070EA">
        <w:rPr>
          <w:rFonts w:asciiTheme="majorHAnsi" w:hAnsiTheme="majorHAnsi" w:cstheme="majorHAnsi"/>
          <w:sz w:val="18"/>
        </w:rPr>
        <w:t xml:space="preserve">Zásady územního rozvoje Středočeského kraje (ve znění aktualizací </w:t>
      </w:r>
      <w:r w:rsidR="00386074" w:rsidRPr="006070EA">
        <w:rPr>
          <w:rFonts w:asciiTheme="majorHAnsi" w:hAnsiTheme="majorHAnsi" w:cstheme="majorHAnsi"/>
          <w:sz w:val="18"/>
        </w:rPr>
        <w:t xml:space="preserve">č. </w:t>
      </w:r>
      <w:r w:rsidRPr="006070EA">
        <w:rPr>
          <w:rFonts w:asciiTheme="majorHAnsi" w:hAnsiTheme="majorHAnsi" w:cstheme="majorHAnsi"/>
          <w:sz w:val="18"/>
        </w:rPr>
        <w:t>1</w:t>
      </w:r>
      <w:r w:rsidR="00386074" w:rsidRPr="006070EA">
        <w:rPr>
          <w:rFonts w:asciiTheme="majorHAnsi" w:hAnsiTheme="majorHAnsi" w:cstheme="majorHAnsi"/>
          <w:sz w:val="18"/>
        </w:rPr>
        <w:t>,</w:t>
      </w:r>
      <w:r w:rsidRPr="006070EA">
        <w:rPr>
          <w:rFonts w:asciiTheme="majorHAnsi" w:hAnsiTheme="majorHAnsi" w:cstheme="majorHAnsi"/>
          <w:sz w:val="18"/>
        </w:rPr>
        <w:t xml:space="preserve"> 2</w:t>
      </w:r>
      <w:r w:rsidR="00386074" w:rsidRPr="006070EA">
        <w:rPr>
          <w:rFonts w:asciiTheme="majorHAnsi" w:hAnsiTheme="majorHAnsi" w:cstheme="majorHAnsi"/>
          <w:sz w:val="18"/>
        </w:rPr>
        <w:t>, 7 a 6</w:t>
      </w:r>
      <w:r w:rsidRPr="006070EA">
        <w:rPr>
          <w:rFonts w:asciiTheme="majorHAnsi" w:hAnsiTheme="majorHAnsi" w:cstheme="majorHAnsi"/>
          <w:sz w:val="18"/>
        </w:rPr>
        <w:t>)</w:t>
      </w:r>
    </w:p>
    <w:p w14:paraId="1CC92D61" w14:textId="77777777" w:rsidR="00EE0B78" w:rsidRPr="006070EA" w:rsidRDefault="00EE0B78" w:rsidP="00EE0B78">
      <w:pPr>
        <w:pStyle w:val="Odstavecseseznamem"/>
        <w:numPr>
          <w:ilvl w:val="0"/>
          <w:numId w:val="27"/>
        </w:numPr>
        <w:spacing w:after="120" w:line="240" w:lineRule="auto"/>
        <w:ind w:hanging="357"/>
        <w:jc w:val="both"/>
        <w:rPr>
          <w:rFonts w:asciiTheme="majorHAnsi" w:hAnsiTheme="majorHAnsi" w:cstheme="majorHAnsi"/>
          <w:sz w:val="18"/>
        </w:rPr>
      </w:pPr>
      <w:r w:rsidRPr="006070EA">
        <w:rPr>
          <w:rFonts w:asciiTheme="majorHAnsi" w:hAnsiTheme="majorHAnsi" w:cstheme="majorHAnsi"/>
          <w:sz w:val="18"/>
        </w:rPr>
        <w:t>Návrh nové rajonizace cestovního ruchu ČR</w:t>
      </w:r>
    </w:p>
    <w:p w14:paraId="6CDEAEAA" w14:textId="77777777" w:rsidR="00EE0B78" w:rsidRPr="006070EA" w:rsidRDefault="00EE0B78" w:rsidP="00EE0B78">
      <w:pPr>
        <w:pStyle w:val="Odstavecseseznamem"/>
        <w:numPr>
          <w:ilvl w:val="0"/>
          <w:numId w:val="27"/>
        </w:numPr>
        <w:spacing w:after="120" w:line="240" w:lineRule="auto"/>
        <w:ind w:hanging="357"/>
        <w:jc w:val="both"/>
        <w:rPr>
          <w:rFonts w:asciiTheme="majorHAnsi" w:hAnsiTheme="majorHAnsi" w:cstheme="majorHAnsi"/>
          <w:sz w:val="18"/>
        </w:rPr>
      </w:pPr>
      <w:r w:rsidRPr="006070EA">
        <w:rPr>
          <w:rFonts w:asciiTheme="majorHAnsi" w:hAnsiTheme="majorHAnsi" w:cstheme="majorHAnsi"/>
          <w:sz w:val="18"/>
        </w:rPr>
        <w:t>zákon č. 114/1992 Sb., o ochraně přírody a krajiny, ve znění pozdějších předpisů</w:t>
      </w:r>
    </w:p>
    <w:p w14:paraId="35DF9416" w14:textId="77777777" w:rsidR="00EE0B78" w:rsidRPr="006070EA" w:rsidRDefault="00EE0B78" w:rsidP="00EE0B78">
      <w:pPr>
        <w:pStyle w:val="Odstavecseseznamem"/>
        <w:numPr>
          <w:ilvl w:val="0"/>
          <w:numId w:val="27"/>
        </w:numPr>
        <w:spacing w:after="120" w:line="240" w:lineRule="auto"/>
        <w:ind w:hanging="357"/>
        <w:jc w:val="both"/>
        <w:rPr>
          <w:rFonts w:asciiTheme="majorHAnsi" w:hAnsiTheme="majorHAnsi" w:cstheme="majorHAnsi"/>
          <w:sz w:val="18"/>
        </w:rPr>
      </w:pPr>
      <w:r w:rsidRPr="006070EA">
        <w:rPr>
          <w:rFonts w:asciiTheme="majorHAnsi" w:hAnsiTheme="majorHAnsi" w:cstheme="majorHAnsi"/>
          <w:sz w:val="18"/>
        </w:rPr>
        <w:t>Evropská úmluva o krajině</w:t>
      </w:r>
    </w:p>
    <w:p w14:paraId="5D40F239" w14:textId="657E4071" w:rsidR="00EE0B78" w:rsidRPr="006070EA" w:rsidRDefault="00EE0B78" w:rsidP="00EE0B78">
      <w:pPr>
        <w:pStyle w:val="Odstavecseseznamem"/>
        <w:numPr>
          <w:ilvl w:val="0"/>
          <w:numId w:val="27"/>
        </w:numPr>
        <w:spacing w:after="120" w:line="240" w:lineRule="auto"/>
        <w:ind w:hanging="357"/>
        <w:jc w:val="both"/>
        <w:rPr>
          <w:rFonts w:asciiTheme="majorHAnsi" w:hAnsiTheme="majorHAnsi" w:cstheme="majorHAnsi"/>
          <w:sz w:val="18"/>
        </w:rPr>
      </w:pPr>
      <w:r w:rsidRPr="006070EA">
        <w:rPr>
          <w:rFonts w:asciiTheme="majorHAnsi" w:hAnsiTheme="majorHAnsi" w:cstheme="majorHAnsi"/>
          <w:sz w:val="18"/>
        </w:rPr>
        <w:t xml:space="preserve">ÚAP SO ORP Nymburk </w:t>
      </w:r>
    </w:p>
    <w:p w14:paraId="1F995392" w14:textId="370ABC94" w:rsidR="00EE0B78" w:rsidRPr="006070EA" w:rsidRDefault="00EE0B78" w:rsidP="00EE0B78">
      <w:pPr>
        <w:pStyle w:val="Odstavecseseznamem"/>
        <w:numPr>
          <w:ilvl w:val="0"/>
          <w:numId w:val="27"/>
        </w:numPr>
        <w:spacing w:after="120" w:line="240" w:lineRule="auto"/>
        <w:ind w:hanging="357"/>
        <w:jc w:val="both"/>
        <w:rPr>
          <w:rFonts w:asciiTheme="majorHAnsi" w:hAnsiTheme="majorHAnsi" w:cstheme="majorHAnsi"/>
          <w:sz w:val="18"/>
        </w:rPr>
      </w:pPr>
      <w:r w:rsidRPr="006070EA">
        <w:rPr>
          <w:rFonts w:asciiTheme="majorHAnsi" w:hAnsiTheme="majorHAnsi" w:cstheme="majorHAnsi"/>
          <w:sz w:val="18"/>
        </w:rPr>
        <w:t>Zadání ÚP Kostomlaty nad Labem (2021)</w:t>
      </w:r>
    </w:p>
    <w:p w14:paraId="5827B9DD" w14:textId="77777777" w:rsidR="00EE0B78" w:rsidRPr="006070EA" w:rsidRDefault="00EE0B78" w:rsidP="00EE0B78">
      <w:pPr>
        <w:pStyle w:val="Odstavecseseznamem"/>
        <w:numPr>
          <w:ilvl w:val="0"/>
          <w:numId w:val="27"/>
        </w:numPr>
        <w:spacing w:after="120" w:line="240" w:lineRule="auto"/>
        <w:ind w:hanging="357"/>
        <w:jc w:val="both"/>
        <w:rPr>
          <w:rFonts w:asciiTheme="majorHAnsi" w:hAnsiTheme="majorHAnsi" w:cstheme="majorHAnsi"/>
          <w:sz w:val="18"/>
        </w:rPr>
      </w:pPr>
      <w:r w:rsidRPr="006070EA">
        <w:rPr>
          <w:rFonts w:asciiTheme="majorHAnsi" w:hAnsiTheme="majorHAnsi" w:cstheme="majorHAnsi"/>
          <w:sz w:val="18"/>
        </w:rPr>
        <w:t>terénní průzkum zpracovatele ÚP</w:t>
      </w:r>
    </w:p>
    <w:p w14:paraId="5E0CF7EB" w14:textId="091EC154" w:rsidR="00EE0B78" w:rsidRPr="006070EA" w:rsidRDefault="00EE0B78" w:rsidP="00EE0B78">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K rozvoji cestovního ruchu musí docházet takovým způsobem, který napomáhá celkovému rozvoji území, je šetrný k</w:t>
      </w:r>
      <w:r w:rsidR="00386074" w:rsidRPr="006070EA">
        <w:rPr>
          <w:rFonts w:asciiTheme="majorHAnsi" w:hAnsiTheme="majorHAnsi" w:cstheme="majorHAnsi"/>
          <w:sz w:val="18"/>
        </w:rPr>
        <w:t> </w:t>
      </w:r>
      <w:r w:rsidRPr="006070EA">
        <w:rPr>
          <w:rFonts w:asciiTheme="majorHAnsi" w:hAnsiTheme="majorHAnsi" w:cstheme="majorHAnsi"/>
          <w:sz w:val="18"/>
        </w:rPr>
        <w:t>využívání přírodních a kulturních hodnot obce a vede k dlouhodobé prosperitě, aniž by ohrozil uspokojení potřeb budoucích generací.</w:t>
      </w:r>
    </w:p>
    <w:p w14:paraId="328FC877" w14:textId="77777777" w:rsidR="00EE0B78" w:rsidRPr="006070EA" w:rsidRDefault="00EE0B78" w:rsidP="00EE0B78">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Umožnění rekreačních aktivit v krajině je jedním ze základních předpokladů rozvoje turistiky v území. ÚP v tomto směru definuje podmínky pro rozvoj rekreačních aktivit v nezastavěném území. Zásada je stanovena také dle PÚR ČR („vytvářet územní podmínky pro zajištění migrační prostupnosti krajiny pro volně žijící živočichy a pro člověka“). Fyzická prostupnost území (pohyb lidí po veřejných komunikacích a cestách – v územním plánu reprezentovaných plochami veřejných prostranství) je základním předpokladem pro jeho (nejen rekreační) využívání. Biologická prostupnost území zajišťuje zachování a rozvoj biologické rozmanitosti území a migraci živočichů, které jsou nezbytným předpokladem ochrany přírody a krajiny. </w:t>
      </w:r>
    </w:p>
    <w:p w14:paraId="510A4BC1" w14:textId="77B0D1AD" w:rsidR="00EE0B78" w:rsidRPr="006070EA" w:rsidRDefault="00EE0B78" w:rsidP="00EE0B78">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Předpokladem pro rozvoj cestovního ruchu obce je efektivní využití turistického potenciálu území, spočívající především v posílení spolupráce a provázanosti se sousedními obcemi, využití kvalitního a atraktivního přírodního prostředí, kulturně historických památek území, a ve zvýšení nabídky služeb spojených s cestovním ruchem. K rozvoji cestovního ruchu musí zároveň docházet takovým způsobem, který napomáhá celkovému rozvoji území, je šetrný k využívání přírodních a kulturních hodnot obce a vede k dlouhodobé prosperitě, aniž by ohrozil uspokojení potřeb budoucích generací.</w:t>
      </w:r>
    </w:p>
    <w:p w14:paraId="5E20BE84" w14:textId="4A60B05D" w:rsidR="00EE0B78" w:rsidRPr="006070EA" w:rsidRDefault="00EE0B78" w:rsidP="00EE0B78">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lastRenderedPageBreak/>
        <w:t xml:space="preserve">V rámci rekreační funkce se uplatňují nejen plochy přímo určené pro rekreace, ale také zařízení rekreace a cestovního ruchu, která jsou nedílnou součástí smíšených městských území, v menší míře i v plochách bydlení, a dále jako doplňková zařízení v plochách občanského vybavení. Samostatně pak rekreační funkci doplňují sportovní zařízení ať už v urbanizovaném území (sportovní stavby, stadiony, bazén) nebo areály extenzivních sportovních aktivit ve volné krajině. Nezbytnou součástí rekreace je síť pěších a cyklistických tras, které jsou vedeny v rámci systému veřejných prostranství, a dále systém sídelní zeleně zajišťující každodenní rekreaci obyvatel. </w:t>
      </w:r>
    </w:p>
    <w:p w14:paraId="0409F8D3" w14:textId="77777777" w:rsidR="00765DA3" w:rsidRPr="006070EA" w:rsidRDefault="00765DA3" w:rsidP="00CE07C9">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Územní plán za účelem podpory cestovního ruchu umožňuje v rámci podmínek ploch s rozdílným způsobem využití realizovat stavby a opatření zvyšující atraktivitu obce pro turisty a rekreanty. </w:t>
      </w:r>
    </w:p>
    <w:p w14:paraId="0D9B6F60" w14:textId="77777777" w:rsidR="00765DA3" w:rsidRPr="006070EA" w:rsidRDefault="00765DA3" w:rsidP="00CE07C9">
      <w:pPr>
        <w:spacing w:before="60" w:after="60" w:line="240" w:lineRule="auto"/>
        <w:ind w:firstLine="709"/>
        <w:jc w:val="both"/>
        <w:rPr>
          <w:rFonts w:asciiTheme="majorHAnsi" w:hAnsiTheme="majorHAnsi" w:cstheme="majorHAnsi"/>
          <w:sz w:val="18"/>
        </w:rPr>
      </w:pPr>
      <w:r w:rsidRPr="006070EA">
        <w:rPr>
          <w:rFonts w:asciiTheme="majorHAnsi" w:hAnsiTheme="majorHAnsi" w:cstheme="majorHAnsi"/>
          <w:sz w:val="18"/>
        </w:rPr>
        <w:t>Podpora malého a středního podnikání ve vazbě na cestovní ruch je jedním z pilířů ekonomické soběstačnosti obce. Územní plán v rámci podmínek využití jednotlivých ploch s rozdílným způsobem využití, zejména ploch bydlení</w:t>
      </w:r>
      <w:r w:rsidR="00B14E1C" w:rsidRPr="006070EA">
        <w:rPr>
          <w:rFonts w:asciiTheme="majorHAnsi" w:hAnsiTheme="majorHAnsi" w:cstheme="majorHAnsi"/>
          <w:sz w:val="18"/>
        </w:rPr>
        <w:t>, smíšených venkovských</w:t>
      </w:r>
      <w:r w:rsidRPr="006070EA">
        <w:rPr>
          <w:rFonts w:asciiTheme="majorHAnsi" w:hAnsiTheme="majorHAnsi" w:cstheme="majorHAnsi"/>
          <w:sz w:val="18"/>
        </w:rPr>
        <w:t xml:space="preserve"> a ploch občanského vybavení, </w:t>
      </w:r>
      <w:r w:rsidR="00B14E1C" w:rsidRPr="006070EA">
        <w:rPr>
          <w:rFonts w:asciiTheme="majorHAnsi" w:hAnsiTheme="majorHAnsi" w:cstheme="majorHAnsi"/>
          <w:sz w:val="18"/>
        </w:rPr>
        <w:t xml:space="preserve">přičemž </w:t>
      </w:r>
      <w:r w:rsidRPr="006070EA">
        <w:rPr>
          <w:rFonts w:asciiTheme="majorHAnsi" w:hAnsiTheme="majorHAnsi" w:cstheme="majorHAnsi"/>
          <w:sz w:val="18"/>
        </w:rPr>
        <w:t xml:space="preserve">umožňuje prolínaní funkcí, které se vzájemně negativně neovlivňují. </w:t>
      </w:r>
    </w:p>
    <w:p w14:paraId="00841E79" w14:textId="77777777" w:rsidR="004254E6" w:rsidRPr="006070EA" w:rsidRDefault="00082327" w:rsidP="003A4B1E">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399" w:name="_Toc204678212"/>
      <w:r w:rsidRPr="006070EA">
        <w:rPr>
          <w:rFonts w:asciiTheme="majorHAnsi" w:hAnsiTheme="majorHAnsi" w:cstheme="majorHAnsi"/>
          <w:b/>
        </w:rPr>
        <w:t>Odůvodnění podmínek pro dobývání ložisek nerostných surovin</w:t>
      </w:r>
      <w:bookmarkEnd w:id="399"/>
    </w:p>
    <w:p w14:paraId="1F2BED2F" w14:textId="27D01C75" w:rsidR="00267CB8" w:rsidRPr="006070EA" w:rsidRDefault="00267CB8" w:rsidP="00267CB8">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 xml:space="preserve">Odůvodnění odst. </w:t>
      </w:r>
      <w:r w:rsidRPr="006070EA">
        <w:rPr>
          <w:rFonts w:asciiTheme="majorHAnsi" w:hAnsiTheme="majorHAnsi" w:cstheme="majorHAnsi"/>
          <w:b/>
          <w:i/>
          <w:snapToGrid w:val="0"/>
          <w:u w:val="single"/>
        </w:rPr>
        <w:t>(</w:t>
      </w:r>
      <w:r w:rsidR="0021590A">
        <w:rPr>
          <w:rFonts w:asciiTheme="majorHAnsi" w:hAnsiTheme="majorHAnsi" w:cstheme="majorHAnsi"/>
          <w:b/>
          <w:i/>
          <w:snapToGrid w:val="0"/>
          <w:u w:val="single"/>
        </w:rPr>
        <w:t>59</w:t>
      </w:r>
      <w:r w:rsidRPr="006070EA">
        <w:rPr>
          <w:rFonts w:asciiTheme="majorHAnsi" w:hAnsiTheme="majorHAnsi" w:cstheme="majorHAnsi"/>
          <w:b/>
          <w:i/>
          <w:snapToGrid w:val="0"/>
          <w:u w:val="single"/>
        </w:rPr>
        <w:t>)</w:t>
      </w:r>
      <w:r w:rsidRPr="006070EA">
        <w:rPr>
          <w:rFonts w:asciiTheme="majorHAnsi" w:hAnsiTheme="majorHAnsi" w:cstheme="majorHAnsi"/>
          <w:i/>
          <w:snapToGrid w:val="0"/>
          <w:u w:val="single"/>
        </w:rPr>
        <w:t xml:space="preserve"> výrokové části</w:t>
      </w:r>
    </w:p>
    <w:p w14:paraId="7336E1F6" w14:textId="0FD128DC" w:rsidR="00267CB8" w:rsidRPr="006070EA" w:rsidRDefault="0030034C" w:rsidP="00267CB8">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Podle</w:t>
      </w:r>
      <w:r w:rsidR="00267CB8" w:rsidRPr="006070EA">
        <w:rPr>
          <w:rFonts w:asciiTheme="majorHAnsi" w:hAnsiTheme="majorHAnsi" w:cstheme="majorHAnsi"/>
          <w:sz w:val="18"/>
        </w:rPr>
        <w:t> zákon</w:t>
      </w:r>
      <w:r w:rsidRPr="006070EA">
        <w:rPr>
          <w:rFonts w:asciiTheme="majorHAnsi" w:hAnsiTheme="majorHAnsi" w:cstheme="majorHAnsi"/>
          <w:sz w:val="18"/>
        </w:rPr>
        <w:t>a</w:t>
      </w:r>
      <w:r w:rsidR="00267CB8" w:rsidRPr="006070EA">
        <w:rPr>
          <w:rFonts w:asciiTheme="majorHAnsi" w:hAnsiTheme="majorHAnsi" w:cstheme="majorHAnsi"/>
          <w:sz w:val="18"/>
        </w:rPr>
        <w:t xml:space="preserve"> č. 44/1988 Sb., o ochraně a využití nerostného bohatství (horní zákon), ve znění pozdějších předpisů, </w:t>
      </w:r>
      <w:r w:rsidRPr="006070EA">
        <w:rPr>
          <w:rFonts w:asciiTheme="majorHAnsi" w:hAnsiTheme="majorHAnsi" w:cstheme="majorHAnsi"/>
          <w:sz w:val="18"/>
        </w:rPr>
        <w:t>ne</w:t>
      </w:r>
      <w:r w:rsidR="00267CB8" w:rsidRPr="006070EA">
        <w:rPr>
          <w:rFonts w:asciiTheme="majorHAnsi" w:hAnsiTheme="majorHAnsi" w:cstheme="majorHAnsi"/>
          <w:sz w:val="18"/>
        </w:rPr>
        <w:t xml:space="preserve">jsou </w:t>
      </w:r>
      <w:r w:rsidRPr="006070EA">
        <w:rPr>
          <w:rFonts w:asciiTheme="majorHAnsi" w:hAnsiTheme="majorHAnsi" w:cstheme="majorHAnsi"/>
          <w:sz w:val="18"/>
        </w:rPr>
        <w:t xml:space="preserve">v řešeném území </w:t>
      </w:r>
      <w:r w:rsidR="00267CB8" w:rsidRPr="006070EA">
        <w:rPr>
          <w:rFonts w:asciiTheme="majorHAnsi" w:hAnsiTheme="majorHAnsi" w:cstheme="majorHAnsi"/>
          <w:sz w:val="18"/>
        </w:rPr>
        <w:t>evidovaná chráněná ložisková území, ložiska nerostných surovin, poddolovaná a</w:t>
      </w:r>
      <w:r w:rsidRPr="006070EA">
        <w:rPr>
          <w:rFonts w:asciiTheme="majorHAnsi" w:hAnsiTheme="majorHAnsi" w:cstheme="majorHAnsi"/>
          <w:sz w:val="18"/>
        </w:rPr>
        <w:t>ni</w:t>
      </w:r>
      <w:r w:rsidR="00267CB8" w:rsidRPr="006070EA">
        <w:rPr>
          <w:rFonts w:asciiTheme="majorHAnsi" w:hAnsiTheme="majorHAnsi" w:cstheme="majorHAnsi"/>
          <w:sz w:val="18"/>
        </w:rPr>
        <w:t xml:space="preserve"> sesuvná území. </w:t>
      </w:r>
    </w:p>
    <w:p w14:paraId="1B879BEC" w14:textId="4CAB1B91" w:rsidR="00267CB8" w:rsidRPr="006070EA" w:rsidRDefault="00267CB8" w:rsidP="00267CB8">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V řešeném území se nevyskytují stávající plochy těžby nerostů. Žádné konkrétní záměry na těžbu v řešeném území nebyly zjištěny, a proto je těžba v řešeném území zcela vyloučena v souladu s § 18 odst. 5 zákona č. 183/2006 Sb. s ohledem na ochranu nezastavěného území a zejména ochranu přírodních a historických hodnot</w:t>
      </w:r>
      <w:r w:rsidR="0030034C" w:rsidRPr="006070EA">
        <w:rPr>
          <w:rFonts w:asciiTheme="majorHAnsi" w:hAnsiTheme="majorHAnsi" w:cstheme="majorHAnsi"/>
          <w:sz w:val="18"/>
        </w:rPr>
        <w:t xml:space="preserve"> a</w:t>
      </w:r>
      <w:r w:rsidRPr="006070EA">
        <w:rPr>
          <w:rFonts w:asciiTheme="majorHAnsi" w:hAnsiTheme="majorHAnsi" w:cstheme="majorHAnsi"/>
          <w:sz w:val="18"/>
        </w:rPr>
        <w:t xml:space="preserve"> kvalitního životního prostředí, které je nezbytným předpokladem pro zachování rekreačního významu území.</w:t>
      </w:r>
    </w:p>
    <w:p w14:paraId="3EC5C46B" w14:textId="77777777" w:rsidR="00082327" w:rsidRPr="006070EA" w:rsidRDefault="00082327" w:rsidP="00C1554B">
      <w:pPr>
        <w:pStyle w:val="Mra2-reakceern"/>
        <w:keepNext/>
        <w:keepLines/>
        <w:pBdr>
          <w:left w:val="none" w:sz="0" w:space="0" w:color="auto"/>
        </w:pBdr>
        <w:shd w:val="clear" w:color="auto" w:fill="DEEAF6" w:themeFill="accent1" w:themeFillTint="33"/>
        <w:spacing w:before="240" w:after="120"/>
        <w:ind w:left="703" w:hanging="703"/>
        <w:rPr>
          <w:rFonts w:asciiTheme="majorHAnsi" w:hAnsiTheme="majorHAnsi" w:cstheme="majorHAnsi"/>
          <w:b/>
          <w:i/>
          <w:color w:val="auto"/>
          <w:sz w:val="22"/>
        </w:rPr>
      </w:pPr>
      <w:r w:rsidRPr="006070EA">
        <w:rPr>
          <w:rFonts w:asciiTheme="majorHAnsi" w:hAnsiTheme="majorHAnsi" w:cstheme="majorHAnsi"/>
          <w:b/>
          <w:i/>
          <w:color w:val="auto"/>
          <w:sz w:val="22"/>
        </w:rPr>
        <w:t>AD 6</w:t>
      </w:r>
      <w:r w:rsidRPr="006070EA">
        <w:rPr>
          <w:rFonts w:asciiTheme="majorHAnsi" w:hAnsiTheme="majorHAnsi" w:cstheme="majorHAnsi"/>
          <w:b/>
          <w:i/>
          <w:color w:val="auto"/>
          <w:sz w:val="22"/>
        </w:rPr>
        <w:tab/>
        <w:t>Stanovení podmínek pro využití ploch s rozdílným způsobem využití s určením převažujícího účelu využití (hlavní využití), pokud je možné jej stanovit, přípustného využití, nepřípustného využití (včetně stanovení, ve kterých plochách je vyloučeno umisťování staveb, zařízení a jiných opatření pro účely uvedené v § 18 odst. 5 stavebního zákona), popřípadě stanovení podmíněně přípustného využití těchto ploch a stanovení podmínek prostorového uspořádání, včetně základních podmínek ochrany krajinného rázu (například výškové regulace zástavby, charakteru a struktury zástavby, stanovení rozmezí výměry pro vymezování stavebních pozemků a intenzity jejich využití)</w:t>
      </w:r>
    </w:p>
    <w:p w14:paraId="440D1044" w14:textId="751DE140" w:rsidR="00974B9D" w:rsidRPr="006070EA" w:rsidRDefault="00974B9D"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400" w:name="_Toc204678213"/>
      <w:bookmarkStart w:id="401" w:name="_Toc459717340"/>
      <w:r w:rsidRPr="006070EA">
        <w:rPr>
          <w:rFonts w:asciiTheme="majorHAnsi" w:hAnsiTheme="majorHAnsi" w:cstheme="majorHAnsi"/>
          <w:b/>
          <w:sz w:val="24"/>
          <w:szCs w:val="20"/>
        </w:rPr>
        <w:t xml:space="preserve">Odůvodnění podmínek </w:t>
      </w:r>
      <w:r w:rsidR="00D91F09" w:rsidRPr="006070EA">
        <w:rPr>
          <w:rFonts w:asciiTheme="majorHAnsi" w:hAnsiTheme="majorHAnsi" w:cstheme="majorHAnsi"/>
          <w:b/>
          <w:sz w:val="24"/>
          <w:szCs w:val="20"/>
        </w:rPr>
        <w:t xml:space="preserve">využití a </w:t>
      </w:r>
      <w:r w:rsidRPr="006070EA">
        <w:rPr>
          <w:rFonts w:asciiTheme="majorHAnsi" w:hAnsiTheme="majorHAnsi" w:cstheme="majorHAnsi"/>
          <w:b/>
          <w:sz w:val="24"/>
          <w:szCs w:val="20"/>
        </w:rPr>
        <w:t>prostorové uspořádání území</w:t>
      </w:r>
      <w:bookmarkEnd w:id="400"/>
      <w:r w:rsidRPr="006070EA">
        <w:rPr>
          <w:rFonts w:asciiTheme="majorHAnsi" w:hAnsiTheme="majorHAnsi" w:cstheme="majorHAnsi"/>
          <w:b/>
          <w:sz w:val="24"/>
          <w:szCs w:val="20"/>
        </w:rPr>
        <w:t xml:space="preserve"> </w:t>
      </w:r>
      <w:bookmarkEnd w:id="401"/>
    </w:p>
    <w:p w14:paraId="0B635876" w14:textId="77777777" w:rsidR="003B36CA" w:rsidRPr="006070EA" w:rsidRDefault="003B36CA" w:rsidP="003B36CA">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402" w:name="_Toc85130718"/>
      <w:bookmarkStart w:id="403" w:name="_Toc204678214"/>
      <w:r w:rsidRPr="006070EA">
        <w:rPr>
          <w:rFonts w:asciiTheme="majorHAnsi" w:hAnsiTheme="majorHAnsi" w:cstheme="majorHAnsi"/>
          <w:b/>
        </w:rPr>
        <w:t>Odůvodnění výkladu pojmů</w:t>
      </w:r>
      <w:bookmarkEnd w:id="402"/>
      <w:bookmarkEnd w:id="403"/>
    </w:p>
    <w:p w14:paraId="7D454B6E" w14:textId="3E9167E1" w:rsidR="003B36CA" w:rsidRPr="006070EA" w:rsidRDefault="003B36CA" w:rsidP="003B36CA">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Odůvodnění odst.</w:t>
      </w:r>
      <w:r w:rsidRPr="006070EA">
        <w:rPr>
          <w:rFonts w:asciiTheme="majorHAnsi" w:hAnsiTheme="majorHAnsi" w:cstheme="majorHAnsi"/>
          <w:b/>
          <w:i/>
          <w:snapToGrid w:val="0"/>
          <w:u w:val="single"/>
        </w:rPr>
        <w:t xml:space="preserve"> (6</w:t>
      </w:r>
      <w:r w:rsidR="0021590A">
        <w:rPr>
          <w:rFonts w:asciiTheme="majorHAnsi" w:hAnsiTheme="majorHAnsi" w:cstheme="majorHAnsi"/>
          <w:b/>
          <w:i/>
          <w:snapToGrid w:val="0"/>
          <w:u w:val="single"/>
        </w:rPr>
        <w:t>0</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666BAD60" w14:textId="10A0C3E3" w:rsidR="003B36CA" w:rsidRPr="006070EA" w:rsidRDefault="003B36CA" w:rsidP="003B36CA">
      <w:pPr>
        <w:pStyle w:val="Atext"/>
        <w:rPr>
          <w:rFonts w:asciiTheme="majorHAnsi" w:hAnsiTheme="majorHAnsi" w:cstheme="majorHAnsi"/>
        </w:rPr>
      </w:pPr>
      <w:r w:rsidRPr="006070EA">
        <w:rPr>
          <w:rFonts w:asciiTheme="majorHAnsi" w:hAnsiTheme="majorHAnsi" w:cstheme="majorHAnsi"/>
        </w:rPr>
        <w:t>Výklad pojmů je uveden z důvodu nezbytnosti jednoznačného výkladu ustanovení obsažených v územním plánu s</w:t>
      </w:r>
      <w:r w:rsidR="00D91F09" w:rsidRPr="006070EA">
        <w:rPr>
          <w:rFonts w:asciiTheme="majorHAnsi" w:hAnsiTheme="majorHAnsi" w:cstheme="majorHAnsi"/>
        </w:rPr>
        <w:t> </w:t>
      </w:r>
      <w:r w:rsidRPr="006070EA">
        <w:rPr>
          <w:rFonts w:asciiTheme="majorHAnsi" w:hAnsiTheme="majorHAnsi" w:cstheme="majorHAnsi"/>
        </w:rPr>
        <w:t>cílem zamezit možné dezinterpretaci pojmů. Většina pojmů není dostatečně vysvětlena v právních předpisech, nebo je nutné je upřesnit pro jednoznačný výklad správních úřadů. Výklad pojmů vychází z terminologie stavebního zákona, kterou v případě potřeby upřesňuje na základě odborných podkladů, českých technických norem (ČSN) a zejména pak dle metodických pomůcek územního plánování (metodiky a metodické výklady Ministerstva pro místní rozvoj ČR, slovník Ústavu územního rozvoje a další).</w:t>
      </w:r>
    </w:p>
    <w:p w14:paraId="31E9B04E" w14:textId="77777777" w:rsidR="00552020" w:rsidRPr="006070EA" w:rsidRDefault="00552020" w:rsidP="00552020">
      <w:pPr>
        <w:pStyle w:val="Odstavecseseznamem"/>
        <w:keepNext/>
        <w:numPr>
          <w:ilvl w:val="2"/>
          <w:numId w:val="30"/>
        </w:numPr>
        <w:spacing w:before="160" w:after="120" w:line="240" w:lineRule="auto"/>
        <w:ind w:left="709" w:hanging="709"/>
        <w:contextualSpacing w:val="0"/>
        <w:outlineLvl w:val="2"/>
        <w:rPr>
          <w:rFonts w:asciiTheme="majorHAnsi" w:hAnsiTheme="majorHAnsi" w:cstheme="majorHAnsi"/>
          <w:b/>
        </w:rPr>
      </w:pPr>
      <w:bookmarkStart w:id="404" w:name="_Toc85130719"/>
      <w:bookmarkStart w:id="405" w:name="_Toc204678215"/>
      <w:r w:rsidRPr="006070EA">
        <w:rPr>
          <w:rFonts w:asciiTheme="majorHAnsi" w:hAnsiTheme="majorHAnsi" w:cstheme="majorHAnsi"/>
          <w:b/>
        </w:rPr>
        <w:t>Odůvodnění podmínek využití a prostorového uspořádání území</w:t>
      </w:r>
      <w:bookmarkEnd w:id="404"/>
      <w:bookmarkEnd w:id="405"/>
    </w:p>
    <w:p w14:paraId="6D1D7B5F" w14:textId="77777777" w:rsidR="00552020" w:rsidRPr="006070EA" w:rsidRDefault="00552020" w:rsidP="00552020">
      <w:pPr>
        <w:pStyle w:val="ANADPIS4"/>
        <w:rPr>
          <w:rFonts w:asciiTheme="majorHAnsi" w:hAnsiTheme="majorHAnsi" w:cstheme="majorHAnsi"/>
        </w:rPr>
      </w:pPr>
      <w:r w:rsidRPr="006070EA">
        <w:rPr>
          <w:rFonts w:asciiTheme="majorHAnsi" w:hAnsiTheme="majorHAnsi" w:cstheme="majorHAnsi"/>
        </w:rPr>
        <w:t>Obecné odůvodnění</w:t>
      </w:r>
    </w:p>
    <w:p w14:paraId="1F12DFF4" w14:textId="14DED551" w:rsidR="00552020" w:rsidRPr="006070EA" w:rsidRDefault="00552020" w:rsidP="00552020">
      <w:pPr>
        <w:pStyle w:val="Atext"/>
        <w:keepNext/>
        <w:ind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Odůvodnění odst.</w:t>
      </w:r>
      <w:r w:rsidRPr="006070EA">
        <w:rPr>
          <w:rFonts w:asciiTheme="majorHAnsi" w:hAnsiTheme="majorHAnsi" w:cstheme="majorHAnsi"/>
          <w:b/>
          <w:i/>
          <w:snapToGrid w:val="0"/>
          <w:u w:val="single"/>
        </w:rPr>
        <w:t xml:space="preserve"> (6</w:t>
      </w:r>
      <w:r w:rsidR="0021590A">
        <w:rPr>
          <w:rFonts w:asciiTheme="majorHAnsi" w:hAnsiTheme="majorHAnsi" w:cstheme="majorHAnsi"/>
          <w:b/>
          <w:i/>
          <w:snapToGrid w:val="0"/>
          <w:u w:val="single"/>
        </w:rPr>
        <w:t>1</w:t>
      </w:r>
      <w:r w:rsidRPr="006070EA">
        <w:rPr>
          <w:rFonts w:asciiTheme="majorHAnsi" w:hAnsiTheme="majorHAnsi" w:cstheme="majorHAnsi"/>
          <w:b/>
          <w:i/>
          <w:snapToGrid w:val="0"/>
          <w:u w:val="single"/>
        </w:rPr>
        <w:t>) - (</w:t>
      </w:r>
      <w:r w:rsidR="00EF7B4B" w:rsidRPr="006070EA">
        <w:rPr>
          <w:rFonts w:asciiTheme="majorHAnsi" w:hAnsiTheme="majorHAnsi" w:cstheme="majorHAnsi"/>
          <w:b/>
          <w:i/>
          <w:snapToGrid w:val="0"/>
          <w:u w:val="single"/>
        </w:rPr>
        <w:t>8</w:t>
      </w:r>
      <w:r w:rsidR="0021590A">
        <w:rPr>
          <w:rFonts w:asciiTheme="majorHAnsi" w:hAnsiTheme="majorHAnsi" w:cstheme="majorHAnsi"/>
          <w:b/>
          <w:i/>
          <w:snapToGrid w:val="0"/>
          <w:u w:val="single"/>
        </w:rPr>
        <w:t>2</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51C8DD00" w14:textId="11567CED" w:rsidR="00386074" w:rsidRPr="006070EA" w:rsidRDefault="00552020" w:rsidP="00386074">
      <w:pPr>
        <w:pStyle w:val="Atext"/>
        <w:rPr>
          <w:rFonts w:asciiTheme="majorHAnsi" w:eastAsia="Calibri" w:hAnsiTheme="majorHAnsi" w:cstheme="majorHAnsi"/>
          <w:szCs w:val="18"/>
        </w:rPr>
      </w:pPr>
      <w:r w:rsidRPr="006070EA">
        <w:rPr>
          <w:rFonts w:asciiTheme="majorHAnsi" w:hAnsiTheme="majorHAnsi" w:cstheme="majorHAnsi"/>
        </w:rPr>
        <w:t>V řešeném území jsou vymezeny plochy s rozdílným způsobem využití v souladu s vyhláškou č. 501/2006 Sb., v</w:t>
      </w:r>
      <w:r w:rsidR="007A39DC" w:rsidRPr="006070EA">
        <w:rPr>
          <w:rFonts w:asciiTheme="majorHAnsi" w:hAnsiTheme="majorHAnsi" w:cstheme="majorHAnsi"/>
        </w:rPr>
        <w:t> </w:t>
      </w:r>
      <w:r w:rsidRPr="006070EA">
        <w:rPr>
          <w:rFonts w:asciiTheme="majorHAnsi" w:hAnsiTheme="majorHAnsi" w:cstheme="majorHAnsi"/>
        </w:rPr>
        <w:t>souladu s odst. 1 písm. c a odst. 2 písm. d přílohy č. 7 vyhlášky č. 500/2006 Sb.</w:t>
      </w:r>
      <w:r w:rsidR="00386074" w:rsidRPr="006070EA">
        <w:rPr>
          <w:rFonts w:asciiTheme="majorHAnsi" w:hAnsiTheme="majorHAnsi" w:cstheme="majorHAnsi"/>
        </w:rPr>
        <w:t xml:space="preserve"> v aktuálním znění, resp. v souladu </w:t>
      </w:r>
      <w:r w:rsidR="00386074" w:rsidRPr="006070EA">
        <w:rPr>
          <w:rFonts w:asciiTheme="majorHAnsi" w:eastAsia="Calibri" w:hAnsiTheme="majorHAnsi" w:cstheme="majorHAnsi"/>
          <w:szCs w:val="18"/>
        </w:rPr>
        <w:t xml:space="preserve">Jednotným standardem ÚPD (Standard vybraných částí územního plánu, Metodický pokyn MMR, 2023) podle § 21a vyhlášky č. 418/2022 Sb., kterou se mění vyhláška č. 500/2006 Sb., o územně analytických podkladech, územně plánovací dokumentaci a způsobu evidence územně plánovací činnosti, ve znění pozdějších předpisů, vyhláška č. 501/2006 Sb., o obecných požadavcích na využívání území, ve znění pozdějších předpisů, a vyhláška č. 360/2021 Sb., kterou se mění vyhláška č. 501/2006 Sb., o obecných požadavcích na využívání území, ve znění pozdějších předpisů, ve znění vyhlášky č. 164/2022 Sb., </w:t>
      </w:r>
      <w:r w:rsidR="00386074" w:rsidRPr="006070EA">
        <w:rPr>
          <w:rFonts w:asciiTheme="majorHAnsi" w:hAnsiTheme="majorHAnsi" w:cstheme="majorHAnsi"/>
          <w:szCs w:val="18"/>
        </w:rPr>
        <w:t>jsou v řešeném území vymezeny plochy s rozdílným způsobem využití</w:t>
      </w:r>
      <w:r w:rsidR="00386074" w:rsidRPr="006070EA">
        <w:rPr>
          <w:rFonts w:asciiTheme="majorHAnsi" w:eastAsia="Calibri" w:hAnsiTheme="majorHAnsi" w:cstheme="majorHAnsi"/>
          <w:szCs w:val="18"/>
        </w:rPr>
        <w:t>.</w:t>
      </w:r>
    </w:p>
    <w:p w14:paraId="03158978" w14:textId="77777777" w:rsidR="00552020" w:rsidRPr="006070EA" w:rsidRDefault="00552020" w:rsidP="00552020">
      <w:pPr>
        <w:pStyle w:val="Anadpistun"/>
        <w:rPr>
          <w:rFonts w:asciiTheme="majorHAnsi" w:hAnsiTheme="majorHAnsi" w:cstheme="majorHAnsi"/>
        </w:rPr>
      </w:pPr>
      <w:r w:rsidRPr="006070EA">
        <w:rPr>
          <w:rFonts w:asciiTheme="majorHAnsi" w:hAnsiTheme="majorHAnsi" w:cstheme="majorHAnsi"/>
        </w:rPr>
        <w:t xml:space="preserve">Obecné odůvodnění vymezení ploch s rozdílným způsobem využití a stanovení podmínek jejich využití </w:t>
      </w:r>
    </w:p>
    <w:p w14:paraId="6C47721E" w14:textId="3C958ACA" w:rsidR="00552020" w:rsidRPr="006070EA" w:rsidRDefault="00552020" w:rsidP="00552020">
      <w:pPr>
        <w:pStyle w:val="Atext"/>
        <w:rPr>
          <w:rFonts w:asciiTheme="majorHAnsi" w:hAnsiTheme="majorHAnsi" w:cstheme="majorHAnsi"/>
        </w:rPr>
      </w:pPr>
      <w:r w:rsidRPr="006070EA">
        <w:rPr>
          <w:rFonts w:asciiTheme="majorHAnsi" w:eastAsia="Calibri" w:hAnsiTheme="majorHAnsi" w:cstheme="majorHAnsi"/>
          <w:bCs w:val="0"/>
          <w:iCs w:val="0"/>
        </w:rPr>
        <w:t xml:space="preserve">Plochy s rozdílným způsobem využití beze zbytku pokrývají celé řešené území. </w:t>
      </w:r>
      <w:r w:rsidRPr="006070EA">
        <w:rPr>
          <w:rFonts w:asciiTheme="majorHAnsi" w:hAnsiTheme="majorHAnsi" w:cstheme="majorHAnsi"/>
        </w:rPr>
        <w:t xml:space="preserve">Členění vychází ze stavu území dle Katastru nemovitostí a dle skutečností zjištěných terénními průzkumy v období </w:t>
      </w:r>
      <w:proofErr w:type="gramStart"/>
      <w:r w:rsidR="007A39DC" w:rsidRPr="006070EA">
        <w:rPr>
          <w:rFonts w:asciiTheme="majorHAnsi" w:hAnsiTheme="majorHAnsi" w:cstheme="majorHAnsi"/>
        </w:rPr>
        <w:t>2015</w:t>
      </w:r>
      <w:r w:rsidRPr="006070EA">
        <w:rPr>
          <w:rFonts w:asciiTheme="majorHAnsi" w:hAnsiTheme="majorHAnsi" w:cstheme="majorHAnsi"/>
        </w:rPr>
        <w:t xml:space="preserve"> – 202</w:t>
      </w:r>
      <w:r w:rsidR="007A39DC" w:rsidRPr="006070EA">
        <w:rPr>
          <w:rFonts w:asciiTheme="majorHAnsi" w:hAnsiTheme="majorHAnsi" w:cstheme="majorHAnsi"/>
        </w:rPr>
        <w:t>1</w:t>
      </w:r>
      <w:proofErr w:type="gramEnd"/>
      <w:r w:rsidRPr="006070EA">
        <w:rPr>
          <w:rFonts w:asciiTheme="majorHAnsi" w:hAnsiTheme="majorHAnsi" w:cstheme="majorHAnsi"/>
        </w:rPr>
        <w:t xml:space="preserve">. </w:t>
      </w:r>
    </w:p>
    <w:p w14:paraId="0BF1EB94" w14:textId="3E03467F" w:rsidR="00552020" w:rsidRPr="006070EA" w:rsidRDefault="00552020" w:rsidP="00552020">
      <w:pPr>
        <w:pStyle w:val="Atext"/>
        <w:rPr>
          <w:rFonts w:asciiTheme="majorHAnsi" w:hAnsiTheme="majorHAnsi" w:cstheme="majorHAnsi"/>
          <w:snapToGrid w:val="0"/>
        </w:rPr>
      </w:pPr>
      <w:r w:rsidRPr="006070EA">
        <w:rPr>
          <w:rFonts w:asciiTheme="majorHAnsi" w:hAnsiTheme="majorHAnsi" w:cstheme="majorHAnsi"/>
        </w:rPr>
        <w:lastRenderedPageBreak/>
        <w:t xml:space="preserve">Vymezení ploch a stanovení hlavního, přípustného, podmíněně přípustného a nepřípustného využití je plně v souladu s § 4 – § 17 vyhlášky č. 501/2006 Sb., o obecných požadavcích na využívání území, ve znění pozdějších předpisů. </w:t>
      </w:r>
      <w:r w:rsidRPr="006070EA">
        <w:rPr>
          <w:rFonts w:asciiTheme="majorHAnsi" w:eastAsia="Calibri" w:hAnsiTheme="majorHAnsi" w:cstheme="majorHAnsi"/>
        </w:rPr>
        <w:t xml:space="preserve">Vybrané plochy jsou podrobněji členěny v souladu s § 3 odst. 4 vyhlášky č. 501/2006 Sb. </w:t>
      </w:r>
    </w:p>
    <w:p w14:paraId="5AE74EED" w14:textId="77777777" w:rsidR="00552020" w:rsidRPr="006070EA" w:rsidRDefault="00552020" w:rsidP="00552020">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Při vymezování ploch byl zohledněn převažující, resp. hlavní způsob využití pozemků a velikost vymezovaných ploch ve vazbě na ustanovení § 3 odst. 1 vyhlášky č. 501/2006 Sb., o obecných požadavcích na využívání území, ve znění pozdějších předpisů. Stanovení hlavního, přípustného, podmíněně přípustného a nepřípustného využití vychází z § 3 odst. 1 vyhlášky č. 501/2006 Sb. </w:t>
      </w:r>
    </w:p>
    <w:p w14:paraId="76CBC2D8" w14:textId="77777777"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Hlavní využití</w:t>
      </w:r>
      <w:r w:rsidRPr="006070EA">
        <w:rPr>
          <w:rFonts w:asciiTheme="majorHAnsi" w:hAnsiTheme="majorHAnsi" w:cstheme="majorHAnsi"/>
          <w:b/>
        </w:rPr>
        <w:tab/>
      </w:r>
      <w:r w:rsidRPr="006070EA">
        <w:rPr>
          <w:rFonts w:asciiTheme="majorHAnsi" w:hAnsiTheme="majorHAnsi" w:cstheme="majorHAnsi"/>
        </w:rPr>
        <w:t>je takové využití území, které v dané ploše s rozdílným způsobem využití umožňuje umisťovat a povolovat stavby a zařízení a jejich změny, změny v užívání a rozhodovat o využití území, které v území nebo ploše převládají</w:t>
      </w:r>
    </w:p>
    <w:p w14:paraId="01FED621" w14:textId="77777777"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Přípustné využití</w:t>
      </w:r>
      <w:r w:rsidRPr="006070EA">
        <w:rPr>
          <w:rFonts w:asciiTheme="majorHAnsi" w:hAnsiTheme="majorHAnsi" w:cstheme="majorHAnsi"/>
          <w:b/>
        </w:rPr>
        <w:tab/>
      </w:r>
      <w:r w:rsidRPr="006070EA">
        <w:rPr>
          <w:rFonts w:asciiTheme="majorHAnsi" w:hAnsiTheme="majorHAnsi" w:cstheme="majorHAnsi"/>
        </w:rPr>
        <w:t>stanovuje další možné využití nad rámec hlavního využití v podmínkách využití ploch s rozdílným způsobem využití, jedná se zejména o činnosti, stavby a zařízení doplňující hlavní využití, s ním související a slučitelné</w:t>
      </w:r>
    </w:p>
    <w:p w14:paraId="286954A1" w14:textId="77777777" w:rsidR="00552020" w:rsidRPr="006070EA" w:rsidRDefault="00552020" w:rsidP="00552020">
      <w:pPr>
        <w:pStyle w:val="Norml"/>
        <w:ind w:left="3544" w:hanging="2824"/>
        <w:rPr>
          <w:rFonts w:asciiTheme="majorHAnsi" w:hAnsiTheme="majorHAnsi" w:cstheme="majorHAnsi"/>
          <w:b/>
        </w:rPr>
      </w:pPr>
      <w:r w:rsidRPr="006070EA">
        <w:rPr>
          <w:rFonts w:asciiTheme="majorHAnsi" w:hAnsiTheme="majorHAnsi" w:cstheme="majorHAnsi"/>
          <w:b/>
        </w:rPr>
        <w:t>Podmíněně přípustně využití</w:t>
      </w:r>
      <w:r w:rsidRPr="006070EA">
        <w:rPr>
          <w:rFonts w:asciiTheme="majorHAnsi" w:hAnsiTheme="majorHAnsi" w:cstheme="majorHAnsi"/>
          <w:b/>
        </w:rPr>
        <w:tab/>
      </w:r>
      <w:r w:rsidRPr="006070EA">
        <w:rPr>
          <w:rFonts w:asciiTheme="majorHAnsi" w:hAnsiTheme="majorHAnsi" w:cstheme="majorHAnsi"/>
        </w:rPr>
        <w:t>je takové využití, pro jehož přípustnost jsou stanoveny podmínky, za jakých lze stavby, činnosti a zařízení v území umístit, při nesplnění těchto podmínek je umisťování činností, staveb a nařízení nepřípustné</w:t>
      </w:r>
    </w:p>
    <w:p w14:paraId="6BE07782" w14:textId="77777777"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Nepřípustné využití</w:t>
      </w:r>
      <w:r w:rsidRPr="006070EA">
        <w:rPr>
          <w:rFonts w:asciiTheme="majorHAnsi" w:hAnsiTheme="majorHAnsi" w:cstheme="majorHAnsi"/>
          <w:b/>
        </w:rPr>
        <w:tab/>
      </w:r>
      <w:r w:rsidRPr="006070EA">
        <w:rPr>
          <w:rFonts w:asciiTheme="majorHAnsi" w:hAnsiTheme="majorHAnsi" w:cstheme="majorHAnsi"/>
        </w:rPr>
        <w:t>jsou stavby, jejich změny, změny v užívání a využití území, které neodpovídají hlavnímu, přípustnému či podmíněně přípustnému využití území stanovenému pro danou plochu s rozdílným způsobem využití a nelze je v dané ploše umisťovat a povolovat.</w:t>
      </w:r>
    </w:p>
    <w:p w14:paraId="1D55B0F6" w14:textId="608AAEF0" w:rsidR="00552020" w:rsidRPr="006070EA" w:rsidRDefault="00552020" w:rsidP="00552020">
      <w:pPr>
        <w:spacing w:after="60" w:line="240" w:lineRule="auto"/>
        <w:ind w:firstLine="709"/>
        <w:jc w:val="both"/>
        <w:rPr>
          <w:rFonts w:asciiTheme="majorHAnsi" w:hAnsiTheme="majorHAnsi" w:cstheme="majorHAnsi"/>
          <w:sz w:val="18"/>
        </w:rPr>
      </w:pPr>
      <w:r w:rsidRPr="006070EA">
        <w:rPr>
          <w:rFonts w:asciiTheme="majorHAnsi" w:hAnsiTheme="majorHAnsi" w:cstheme="majorHAnsi"/>
          <w:sz w:val="18"/>
        </w:rPr>
        <w:t xml:space="preserve">Výše uvedené pojmy jsou definovány v textové části výroku ÚP </w:t>
      </w:r>
      <w:r w:rsidR="007A39DC" w:rsidRPr="006070EA">
        <w:rPr>
          <w:rFonts w:asciiTheme="majorHAnsi" w:hAnsiTheme="majorHAnsi" w:cstheme="majorHAnsi"/>
          <w:sz w:val="18"/>
        </w:rPr>
        <w:t>Kostomlaty nad Labem</w:t>
      </w:r>
      <w:r w:rsidRPr="006070EA">
        <w:rPr>
          <w:rFonts w:asciiTheme="majorHAnsi" w:hAnsiTheme="majorHAnsi" w:cstheme="majorHAnsi"/>
          <w:sz w:val="18"/>
        </w:rPr>
        <w:t xml:space="preserve"> v kapitole 6.1. Výklad pojmů. </w:t>
      </w:r>
    </w:p>
    <w:p w14:paraId="7B729538" w14:textId="77777777" w:rsidR="00552020" w:rsidRPr="006070EA" w:rsidRDefault="00552020" w:rsidP="00552020">
      <w:pPr>
        <w:pStyle w:val="Anadpistun"/>
        <w:rPr>
          <w:rFonts w:asciiTheme="majorHAnsi" w:hAnsiTheme="majorHAnsi" w:cstheme="majorHAnsi"/>
          <w:snapToGrid w:val="0"/>
        </w:rPr>
      </w:pPr>
      <w:r w:rsidRPr="006070EA">
        <w:rPr>
          <w:rFonts w:asciiTheme="majorHAnsi" w:hAnsiTheme="majorHAnsi" w:cstheme="majorHAnsi"/>
          <w:snapToGrid w:val="0"/>
        </w:rPr>
        <w:t>Obecné odůvodnění stanovení jednotlivých podmínek prostorového uspořádání</w:t>
      </w:r>
    </w:p>
    <w:p w14:paraId="75D38CF6" w14:textId="77777777"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Ve vazbě na požadavek vyhlášky č. 501/2006 Sb. (příloha č. 7 – obsah územního plánu), ve znění pozdějších předpisů, jsou v plochách s rozdílným způsobem využití stanoveny podmínky prostorového uspořádání (například výšková regulace zástavby, charakter a struktura zástavby, stanovení rozmezí výměry pro vymezování stavebních pozemků a intenzity jejich využití). </w:t>
      </w:r>
    </w:p>
    <w:p w14:paraId="4FD3B0E1" w14:textId="77777777"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V rámci územního plánování je prostorové uspořádání území definováno zejména výškovou regulací zástavby, stanovením charakteru a struktury zástavby a intenzitou využití pozemků. </w:t>
      </w:r>
    </w:p>
    <w:p w14:paraId="073576CB" w14:textId="77777777"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Podmínky prostorového uspořádání jsou stanoveny pro jednotlivé typy ploch s rozdílným způsobem využití; jsou definovány na základě podrobné analýzy území a na základě odborných znalostí a zkušeností zpracovatele zejména v případech, kdy je to nezbytné s ohledem na hodnoty území, krajinný ráz, dílčí požadavky urbanistické koncepce (např. regulovat zástavbu na okrajích sídel a ve volné krajině, v rekreačních lokalitách) apod.</w:t>
      </w:r>
    </w:p>
    <w:p w14:paraId="291AEF10" w14:textId="4097D622"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Pro plochy s rozdílným způsobem využití vymezené v urbanizovaném území</w:t>
      </w:r>
      <w:r w:rsidR="007A39DC" w:rsidRPr="006070EA">
        <w:rPr>
          <w:rFonts w:asciiTheme="majorHAnsi" w:hAnsiTheme="majorHAnsi" w:cstheme="majorHAnsi"/>
        </w:rPr>
        <w:t>,</w:t>
      </w:r>
      <w:r w:rsidRPr="006070EA">
        <w:rPr>
          <w:rFonts w:asciiTheme="majorHAnsi" w:hAnsiTheme="majorHAnsi" w:cstheme="majorHAnsi"/>
        </w:rPr>
        <w:t xml:space="preserve"> resp. v rámci urbanistické koncepce (viz kapitola 11.3.2), tedy plochy uplatňující se v zastavěném území a zastavitelných plochách, jsou stanoveny podmínky prostorového uspořádání zajišťující základní požadavky na vymezování stavebních pozemků a umisťování staveb. Pro všechny plochy je stanoven charakter a struktura zástavby a maximální výška zástavby, v případě potřebnosti jsou pak pro jednotlivé typy ploch s rozdílným způsobem využití stanoveny další podmínky prostorového uspořádání. </w:t>
      </w:r>
    </w:p>
    <w:p w14:paraId="0951FDD3" w14:textId="05AF4408"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Charakter a struktura zástavby</w:t>
      </w:r>
      <w:r w:rsidRPr="006070EA">
        <w:rPr>
          <w:rFonts w:asciiTheme="majorHAnsi" w:hAnsiTheme="majorHAnsi" w:cstheme="majorHAnsi"/>
          <w:b/>
        </w:rPr>
        <w:tab/>
      </w:r>
      <w:r w:rsidRPr="006070EA">
        <w:rPr>
          <w:rFonts w:asciiTheme="majorHAnsi" w:hAnsiTheme="majorHAnsi" w:cstheme="majorHAnsi"/>
        </w:rPr>
        <w:t>respektují stávající charakter a strukturu zástavby ve stabilizovaných plochách s rozdílným způsobem využití. Důvodem pro stanovení charakteru a struktury zástavby je zajištění ochrany charakteru stávající zástavby a její vhodné doplnění v případě nové výstavby; tím je zajištěna stabilizace zástavby a</w:t>
      </w:r>
      <w:r w:rsidR="00386074" w:rsidRPr="006070EA">
        <w:rPr>
          <w:rFonts w:asciiTheme="majorHAnsi" w:hAnsiTheme="majorHAnsi" w:cstheme="majorHAnsi"/>
        </w:rPr>
        <w:t> </w:t>
      </w:r>
      <w:r w:rsidRPr="006070EA">
        <w:rPr>
          <w:rFonts w:asciiTheme="majorHAnsi" w:hAnsiTheme="majorHAnsi" w:cstheme="majorHAnsi"/>
        </w:rPr>
        <w:t xml:space="preserve">urbanistické struktury sídel, zachování historicky daného, urbanisticky kvalitního či provozně podmíněného uspořádání zástavby. </w:t>
      </w:r>
    </w:p>
    <w:p w14:paraId="2983464B" w14:textId="609457A0"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Maximální výška zástavby</w:t>
      </w:r>
      <w:r w:rsidRPr="006070EA">
        <w:rPr>
          <w:rFonts w:asciiTheme="majorHAnsi" w:hAnsiTheme="majorHAnsi" w:cstheme="majorHAnsi"/>
          <w:b/>
        </w:rPr>
        <w:tab/>
      </w:r>
      <w:r w:rsidRPr="006070EA">
        <w:rPr>
          <w:rFonts w:asciiTheme="majorHAnsi" w:hAnsiTheme="majorHAnsi" w:cstheme="majorHAnsi"/>
        </w:rPr>
        <w:t>je vždy stanovena dle převládající stávající výšky zástavby v dané lokalitě, případně dle navrhovaných změn ve způsobu využití, kde stanovení maximální výšky zástavby vychází z obvyklých hodnot daného typu zástavby. Důvodem pro její stanovení je ochrana a stabilizace stávající urbanistické struktury zástavby sídel; tímto způsobem je potvrzeno historicky vytvořené výškové uspořádání zástavby. Stanovení maximální výšky zástavby v</w:t>
      </w:r>
      <w:r w:rsidR="007A39DC" w:rsidRPr="006070EA">
        <w:rPr>
          <w:rFonts w:asciiTheme="majorHAnsi" w:hAnsiTheme="majorHAnsi" w:cstheme="majorHAnsi"/>
        </w:rPr>
        <w:t> </w:t>
      </w:r>
      <w:r w:rsidRPr="006070EA">
        <w:rPr>
          <w:rFonts w:asciiTheme="majorHAnsi" w:hAnsiTheme="majorHAnsi" w:cstheme="majorHAnsi"/>
        </w:rPr>
        <w:t>zastavitelných plochách a v plochách přestavby vychází z okolní zástavby a</w:t>
      </w:r>
      <w:r w:rsidR="007A39DC" w:rsidRPr="006070EA">
        <w:rPr>
          <w:rFonts w:asciiTheme="majorHAnsi" w:hAnsiTheme="majorHAnsi" w:cstheme="majorHAnsi"/>
        </w:rPr>
        <w:t> </w:t>
      </w:r>
      <w:r w:rsidRPr="006070EA">
        <w:rPr>
          <w:rFonts w:asciiTheme="majorHAnsi" w:hAnsiTheme="majorHAnsi" w:cstheme="majorHAnsi"/>
        </w:rPr>
        <w:t>z</w:t>
      </w:r>
      <w:r w:rsidR="00386074" w:rsidRPr="006070EA">
        <w:rPr>
          <w:rFonts w:asciiTheme="majorHAnsi" w:hAnsiTheme="majorHAnsi" w:cstheme="majorHAnsi"/>
        </w:rPr>
        <w:t> </w:t>
      </w:r>
      <w:r w:rsidRPr="006070EA">
        <w:rPr>
          <w:rFonts w:asciiTheme="majorHAnsi" w:hAnsiTheme="majorHAnsi" w:cstheme="majorHAnsi"/>
        </w:rPr>
        <w:t>cílového stavu urbanistického uspořádání celé lokality. Při rozvoji zástavby na okrajích sídel je zohledněna poloha budoucí zástavby na pomezí sídla a</w:t>
      </w:r>
      <w:r w:rsidR="00386074" w:rsidRPr="006070EA">
        <w:rPr>
          <w:rFonts w:asciiTheme="majorHAnsi" w:hAnsiTheme="majorHAnsi" w:cstheme="majorHAnsi"/>
        </w:rPr>
        <w:t> </w:t>
      </w:r>
      <w:r w:rsidRPr="006070EA">
        <w:rPr>
          <w:rFonts w:asciiTheme="majorHAnsi" w:hAnsiTheme="majorHAnsi" w:cstheme="majorHAnsi"/>
        </w:rPr>
        <w:t>volné krajiny, maximální výška proto nepřevyšuje okolní zástavbu a</w:t>
      </w:r>
      <w:r w:rsidR="007A39DC" w:rsidRPr="006070EA">
        <w:rPr>
          <w:rFonts w:asciiTheme="majorHAnsi" w:hAnsiTheme="majorHAnsi" w:cstheme="majorHAnsi"/>
        </w:rPr>
        <w:t> </w:t>
      </w:r>
      <w:r w:rsidRPr="006070EA">
        <w:rPr>
          <w:rFonts w:asciiTheme="majorHAnsi" w:hAnsiTheme="majorHAnsi" w:cstheme="majorHAnsi"/>
        </w:rPr>
        <w:t>případně je oproti intenzivnější zástavbě uvnitř sídel mírně snížena z</w:t>
      </w:r>
      <w:r w:rsidR="007A39DC" w:rsidRPr="006070EA">
        <w:rPr>
          <w:rFonts w:asciiTheme="majorHAnsi" w:hAnsiTheme="majorHAnsi" w:cstheme="majorHAnsi"/>
        </w:rPr>
        <w:t> </w:t>
      </w:r>
      <w:r w:rsidRPr="006070EA">
        <w:rPr>
          <w:rFonts w:asciiTheme="majorHAnsi" w:hAnsiTheme="majorHAnsi" w:cstheme="majorHAnsi"/>
        </w:rPr>
        <w:t>důvodů ochrany krajinného rázu a pozvolného přechodu sídelní struktury do volné krajiny.</w:t>
      </w:r>
    </w:p>
    <w:p w14:paraId="2C2C7F64" w14:textId="77777777" w:rsidR="00552020" w:rsidRPr="006070EA" w:rsidRDefault="00552020" w:rsidP="00D430EF">
      <w:pPr>
        <w:pStyle w:val="Norml"/>
        <w:keepNext/>
        <w:ind w:left="3544" w:hanging="2835"/>
        <w:rPr>
          <w:rFonts w:asciiTheme="majorHAnsi" w:hAnsiTheme="majorHAnsi" w:cstheme="majorHAnsi"/>
          <w:b/>
        </w:rPr>
      </w:pPr>
      <w:r w:rsidRPr="006070EA">
        <w:rPr>
          <w:rFonts w:asciiTheme="majorHAnsi" w:hAnsiTheme="majorHAnsi" w:cstheme="majorHAnsi"/>
          <w:b/>
        </w:rPr>
        <w:lastRenderedPageBreak/>
        <w:t>Koeficient maximálního zastavění pozemku</w:t>
      </w:r>
    </w:p>
    <w:p w14:paraId="421FF87E" w14:textId="77777777"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ab/>
      </w:r>
      <w:r w:rsidRPr="006070EA">
        <w:rPr>
          <w:rFonts w:asciiTheme="majorHAnsi" w:hAnsiTheme="majorHAnsi" w:cstheme="majorHAnsi"/>
        </w:rPr>
        <w:tab/>
        <w:t xml:space="preserve">zajišťuje zachování stávající hustoty zástavby a vyloučení jejích výrazných změn v případě stabilizovaných ploch; v zastavitelných plochách zajišťuje cílovou hustotou zástavby vycházející z charakteru a struktury zástavby v území v rámci daného typu ploch s rozdílným způsobem využití. </w:t>
      </w:r>
    </w:p>
    <w:p w14:paraId="5F8CD975" w14:textId="7D196F7D"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rPr>
        <w:tab/>
        <w:t>V plochách veřejných prostranství a</w:t>
      </w:r>
      <w:r w:rsidR="007A39DC" w:rsidRPr="006070EA">
        <w:rPr>
          <w:rFonts w:asciiTheme="majorHAnsi" w:hAnsiTheme="majorHAnsi" w:cstheme="majorHAnsi"/>
        </w:rPr>
        <w:t> </w:t>
      </w:r>
      <w:r w:rsidRPr="006070EA">
        <w:rPr>
          <w:rFonts w:asciiTheme="majorHAnsi" w:hAnsiTheme="majorHAnsi" w:cstheme="majorHAnsi"/>
        </w:rPr>
        <w:t xml:space="preserve">v plochách zeleně je koeficient maximálního zastavění pozemku stanoven z důvodu ochrany ploch před vyšší mírou zastavění, s umožněním drobných staveb zvyšujících využitelnost jinak převážně nezastavěných ploch. </w:t>
      </w:r>
    </w:p>
    <w:p w14:paraId="397F359F" w14:textId="77777777" w:rsidR="00552020" w:rsidRPr="006070EA" w:rsidRDefault="00552020" w:rsidP="001B776E">
      <w:pPr>
        <w:pStyle w:val="Norml"/>
        <w:keepNext/>
        <w:ind w:left="3544" w:hanging="2835"/>
        <w:rPr>
          <w:rFonts w:asciiTheme="majorHAnsi" w:hAnsiTheme="majorHAnsi" w:cstheme="majorHAnsi"/>
          <w:b/>
        </w:rPr>
      </w:pPr>
      <w:r w:rsidRPr="006070EA">
        <w:rPr>
          <w:rFonts w:asciiTheme="majorHAnsi" w:hAnsiTheme="majorHAnsi" w:cstheme="majorHAnsi"/>
          <w:b/>
        </w:rPr>
        <w:t>Koeficient minimálního podílu zeleně na pozemku</w:t>
      </w:r>
    </w:p>
    <w:p w14:paraId="6038DF9D" w14:textId="654037DD" w:rsidR="00552020" w:rsidRPr="006070EA" w:rsidRDefault="00552020" w:rsidP="001B776E">
      <w:pPr>
        <w:pStyle w:val="Norml"/>
        <w:keepLines/>
        <w:ind w:left="3544" w:hanging="3544"/>
        <w:rPr>
          <w:rFonts w:asciiTheme="majorHAnsi" w:hAnsiTheme="majorHAnsi" w:cstheme="majorHAnsi"/>
        </w:rPr>
      </w:pPr>
      <w:r w:rsidRPr="006070EA">
        <w:rPr>
          <w:rFonts w:asciiTheme="majorHAnsi" w:hAnsiTheme="majorHAnsi" w:cstheme="majorHAnsi"/>
          <w:b/>
        </w:rPr>
        <w:tab/>
      </w:r>
      <w:r w:rsidRPr="006070EA">
        <w:rPr>
          <w:rFonts w:asciiTheme="majorHAnsi" w:hAnsiTheme="majorHAnsi" w:cstheme="majorHAnsi"/>
        </w:rPr>
        <w:t>zajišťuje minimální podíl zeleně na pozemku v rámci některých ploch s</w:t>
      </w:r>
      <w:r w:rsidR="001B776E" w:rsidRPr="006070EA">
        <w:rPr>
          <w:rFonts w:asciiTheme="majorHAnsi" w:hAnsiTheme="majorHAnsi" w:cstheme="majorHAnsi"/>
        </w:rPr>
        <w:t> </w:t>
      </w:r>
      <w:r w:rsidRPr="006070EA">
        <w:rPr>
          <w:rFonts w:asciiTheme="majorHAnsi" w:hAnsiTheme="majorHAnsi" w:cstheme="majorHAnsi"/>
        </w:rPr>
        <w:t xml:space="preserve">rozdílným způsobem využití, zejména v případech, kdy je nezbytné zajistit minimální podíl zeleně např. ve výrobních areálech a dopravních či technických plochách (ve formě izolační zeleně z důvodu zajištění vsakování dešťových vod a případné prostorové izolace areálu ve vztahu k okolní zástavbě), v plochách bydlení a občanského vybavení (ve formě doplňkové zeleně) zajišťující také příznivé podmínky obytného nebo rekreačního území). Minimální podíl zeleně v urbanizovaném území je důležitým prvkem také z hlediska zajištění sídelní zeleně a rozvoje modrozelené infrastruktury v rozsahu soukromých pozemků. </w:t>
      </w:r>
    </w:p>
    <w:p w14:paraId="00E7757D" w14:textId="77777777" w:rsidR="00552020" w:rsidRPr="006070EA" w:rsidRDefault="00552020" w:rsidP="00552020">
      <w:pPr>
        <w:pStyle w:val="Norml"/>
        <w:ind w:left="3544" w:hanging="2835"/>
        <w:rPr>
          <w:rFonts w:asciiTheme="majorHAnsi" w:hAnsiTheme="majorHAnsi" w:cstheme="majorHAnsi"/>
          <w:b/>
        </w:rPr>
      </w:pPr>
      <w:r w:rsidRPr="006070EA">
        <w:rPr>
          <w:rFonts w:asciiTheme="majorHAnsi" w:hAnsiTheme="majorHAnsi" w:cstheme="majorHAnsi"/>
          <w:b/>
        </w:rPr>
        <w:t>Rozmezí výměry pro vymezování stavebního pozemku</w:t>
      </w:r>
    </w:p>
    <w:p w14:paraId="4A92DBA8" w14:textId="75A9BFE5"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ab/>
      </w:r>
      <w:r w:rsidRPr="006070EA">
        <w:rPr>
          <w:rFonts w:asciiTheme="majorHAnsi" w:hAnsiTheme="majorHAnsi" w:cstheme="majorHAnsi"/>
        </w:rPr>
        <w:t>je pro vybrané plochy (</w:t>
      </w:r>
      <w:r w:rsidR="001B776E" w:rsidRPr="006070EA">
        <w:rPr>
          <w:rFonts w:asciiTheme="majorHAnsi" w:hAnsiTheme="majorHAnsi" w:cstheme="majorHAnsi"/>
        </w:rPr>
        <w:t>BI</w:t>
      </w:r>
      <w:r w:rsidRPr="006070EA">
        <w:rPr>
          <w:rFonts w:asciiTheme="majorHAnsi" w:hAnsiTheme="majorHAnsi" w:cstheme="majorHAnsi"/>
        </w:rPr>
        <w:t xml:space="preserve">, </w:t>
      </w:r>
      <w:r w:rsidR="001B776E" w:rsidRPr="006070EA">
        <w:rPr>
          <w:rFonts w:asciiTheme="majorHAnsi" w:hAnsiTheme="majorHAnsi" w:cstheme="majorHAnsi"/>
        </w:rPr>
        <w:t>SM, SV</w:t>
      </w:r>
      <w:r w:rsidRPr="006070EA">
        <w:rPr>
          <w:rFonts w:asciiTheme="majorHAnsi" w:hAnsiTheme="majorHAnsi" w:cstheme="majorHAnsi"/>
        </w:rPr>
        <w:t>), v nichž se očekává rozvoj individuální obytné zástavby stanoveno z důvodu zajištění efektivního využití ploch a</w:t>
      </w:r>
      <w:r w:rsidR="001B776E" w:rsidRPr="006070EA">
        <w:rPr>
          <w:rFonts w:asciiTheme="majorHAnsi" w:hAnsiTheme="majorHAnsi" w:cstheme="majorHAnsi"/>
        </w:rPr>
        <w:t> </w:t>
      </w:r>
      <w:r w:rsidRPr="006070EA">
        <w:rPr>
          <w:rFonts w:asciiTheme="majorHAnsi" w:hAnsiTheme="majorHAnsi" w:cstheme="majorHAnsi"/>
        </w:rPr>
        <w:t>zamezení vzniku plošně rozsáhlých pozemků, které by znemožnily efektivně a hospodárně využívat zastavěné území, zastavitelné plochy a</w:t>
      </w:r>
      <w:r w:rsidR="001B776E" w:rsidRPr="006070EA">
        <w:rPr>
          <w:rFonts w:asciiTheme="majorHAnsi" w:hAnsiTheme="majorHAnsi" w:cstheme="majorHAnsi"/>
        </w:rPr>
        <w:t> </w:t>
      </w:r>
      <w:r w:rsidRPr="006070EA">
        <w:rPr>
          <w:rFonts w:asciiTheme="majorHAnsi" w:hAnsiTheme="majorHAnsi" w:cstheme="majorHAnsi"/>
        </w:rPr>
        <w:t xml:space="preserve">veřejnou (zejména dopravní a technickou) infrastrukturu. </w:t>
      </w:r>
    </w:p>
    <w:p w14:paraId="7F018C0D" w14:textId="77777777" w:rsidR="00552020" w:rsidRPr="006070EA" w:rsidRDefault="00552020" w:rsidP="00552020">
      <w:pPr>
        <w:pStyle w:val="Norml"/>
        <w:ind w:left="3544" w:hanging="2835"/>
        <w:rPr>
          <w:rFonts w:asciiTheme="majorHAnsi" w:hAnsiTheme="majorHAnsi" w:cstheme="majorHAnsi"/>
          <w:b/>
        </w:rPr>
      </w:pPr>
      <w:r w:rsidRPr="006070EA">
        <w:rPr>
          <w:rFonts w:asciiTheme="majorHAnsi" w:hAnsiTheme="majorHAnsi" w:cstheme="majorHAnsi"/>
          <w:b/>
        </w:rPr>
        <w:t>Maximální velikost zastavěné plochy objektu</w:t>
      </w:r>
    </w:p>
    <w:p w14:paraId="7966DA16" w14:textId="77777777"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ab/>
      </w:r>
      <w:r w:rsidRPr="006070EA">
        <w:rPr>
          <w:rFonts w:asciiTheme="majorHAnsi" w:hAnsiTheme="majorHAnsi" w:cstheme="majorHAnsi"/>
        </w:rPr>
        <w:t xml:space="preserve">je stanovena ve vybraných plochách zejména s cílem omezit velikost případné zástavby v plochách převážně nezastavitelných s charakterem solitérních staveb (doplňkových staveb zvyšujících využitelnost těchto ploch). </w:t>
      </w:r>
    </w:p>
    <w:p w14:paraId="79C9787F" w14:textId="65641FCC"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Pro plochy s rozdílným způsobem využití vymezené ve volné krajině, resp. v rámci koncepce uspořádání krajiny (viz kapitola 11.5.2.), tedy plochy uplatňující se v nezastavěném území a v plochách změn v krajině, jsou stanoveny podmínky prostorového uspořádání zajišťující základní požadavky na umisťování staveb v nezastavěném území (§ 18 odst. 5 stavebního zákona). Pro </w:t>
      </w:r>
      <w:r w:rsidR="001B776E" w:rsidRPr="006070EA">
        <w:rPr>
          <w:rFonts w:asciiTheme="majorHAnsi" w:hAnsiTheme="majorHAnsi" w:cstheme="majorHAnsi"/>
        </w:rPr>
        <w:t>většinu</w:t>
      </w:r>
      <w:r w:rsidRPr="006070EA">
        <w:rPr>
          <w:rFonts w:asciiTheme="majorHAnsi" w:hAnsiTheme="majorHAnsi" w:cstheme="majorHAnsi"/>
        </w:rPr>
        <w:t xml:space="preserve"> ploch je stanovena maximální výška staveb a maximální velikost zastavěné plochy objektu s ohledem na fakt, že ve volné krajině lze umisťovat pouze jednotlivé stavby v souladu s § 18 odst. 5 stavebního zákona. </w:t>
      </w:r>
      <w:r w:rsidR="001B776E" w:rsidRPr="006070EA">
        <w:rPr>
          <w:rFonts w:asciiTheme="majorHAnsi" w:hAnsiTheme="majorHAnsi" w:cstheme="majorHAnsi"/>
        </w:rPr>
        <w:t>Podmínky nejsou stanoveny pro plochy</w:t>
      </w:r>
      <w:r w:rsidR="001B776E" w:rsidRPr="006070EA">
        <w:rPr>
          <w:rFonts w:asciiTheme="majorHAnsi" w:hAnsiTheme="majorHAnsi" w:cstheme="majorHAnsi"/>
          <w:i/>
          <w:iCs w:val="0"/>
        </w:rPr>
        <w:t xml:space="preserve"> smíšené nezastavěného území – sportovní</w:t>
      </w:r>
      <w:r w:rsidR="001B776E" w:rsidRPr="006070EA">
        <w:rPr>
          <w:rFonts w:asciiTheme="majorHAnsi" w:hAnsiTheme="majorHAnsi" w:cstheme="majorHAnsi"/>
        </w:rPr>
        <w:t xml:space="preserve"> </w:t>
      </w:r>
      <w:r w:rsidR="00386074" w:rsidRPr="006070EA">
        <w:rPr>
          <w:rFonts w:asciiTheme="majorHAnsi" w:hAnsiTheme="majorHAnsi" w:cstheme="majorHAnsi"/>
          <w:i/>
          <w:iCs w:val="0"/>
        </w:rPr>
        <w:t>využití</w:t>
      </w:r>
      <w:r w:rsidR="00386074" w:rsidRPr="006070EA">
        <w:rPr>
          <w:rFonts w:asciiTheme="majorHAnsi" w:hAnsiTheme="majorHAnsi" w:cstheme="majorHAnsi"/>
        </w:rPr>
        <w:t xml:space="preserve"> </w:t>
      </w:r>
      <w:r w:rsidR="001B776E" w:rsidRPr="006070EA">
        <w:rPr>
          <w:rFonts w:asciiTheme="majorHAnsi" w:hAnsiTheme="majorHAnsi" w:cstheme="majorHAnsi"/>
        </w:rPr>
        <w:t>(</w:t>
      </w:r>
      <w:proofErr w:type="gramStart"/>
      <w:r w:rsidR="00386074" w:rsidRPr="006070EA">
        <w:rPr>
          <w:rFonts w:asciiTheme="majorHAnsi" w:hAnsiTheme="majorHAnsi" w:cstheme="majorHAnsi"/>
        </w:rPr>
        <w:t>MU.s</w:t>
      </w:r>
      <w:proofErr w:type="gramEnd"/>
      <w:r w:rsidR="001B776E" w:rsidRPr="006070EA">
        <w:rPr>
          <w:rFonts w:asciiTheme="majorHAnsi" w:hAnsiTheme="majorHAnsi" w:cstheme="majorHAnsi"/>
        </w:rPr>
        <w:t xml:space="preserve">) v souvislosti s jejich </w:t>
      </w:r>
      <w:r w:rsidR="00982A60" w:rsidRPr="006070EA">
        <w:rPr>
          <w:rFonts w:asciiTheme="majorHAnsi" w:hAnsiTheme="majorHAnsi" w:cstheme="majorHAnsi"/>
        </w:rPr>
        <w:t xml:space="preserve">lokalizací, </w:t>
      </w:r>
      <w:r w:rsidR="001B776E" w:rsidRPr="006070EA">
        <w:rPr>
          <w:rFonts w:asciiTheme="majorHAnsi" w:hAnsiTheme="majorHAnsi" w:cstheme="majorHAnsi"/>
        </w:rPr>
        <w:t>charakterem a</w:t>
      </w:r>
      <w:r w:rsidR="00982A60" w:rsidRPr="006070EA">
        <w:rPr>
          <w:rFonts w:asciiTheme="majorHAnsi" w:hAnsiTheme="majorHAnsi" w:cstheme="majorHAnsi"/>
        </w:rPr>
        <w:t> </w:t>
      </w:r>
      <w:r w:rsidR="001B776E" w:rsidRPr="006070EA">
        <w:rPr>
          <w:rFonts w:asciiTheme="majorHAnsi" w:hAnsiTheme="majorHAnsi" w:cstheme="majorHAnsi"/>
        </w:rPr>
        <w:t>stanovenými podmínkami pro jejich využití.</w:t>
      </w:r>
    </w:p>
    <w:p w14:paraId="41209FBD" w14:textId="7F3F9169"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Maximální výška stavb</w:t>
      </w:r>
      <w:r w:rsidR="001B776E" w:rsidRPr="006070EA">
        <w:rPr>
          <w:rFonts w:asciiTheme="majorHAnsi" w:hAnsiTheme="majorHAnsi" w:cstheme="majorHAnsi"/>
          <w:b/>
        </w:rPr>
        <w:t>y</w:t>
      </w:r>
      <w:r w:rsidRPr="006070EA">
        <w:rPr>
          <w:rFonts w:asciiTheme="majorHAnsi" w:hAnsiTheme="majorHAnsi" w:cstheme="majorHAnsi"/>
          <w:b/>
        </w:rPr>
        <w:tab/>
      </w:r>
      <w:r w:rsidRPr="006070EA">
        <w:rPr>
          <w:rFonts w:asciiTheme="majorHAnsi" w:hAnsiTheme="majorHAnsi" w:cstheme="majorHAnsi"/>
        </w:rPr>
        <w:t xml:space="preserve">je stanovena v plochách nezastavěného území pro případy umisťování staveb dle § 18 odst. 5 stavebního zákona, s ohledem na ochranu krajinného rázu </w:t>
      </w:r>
      <w:r w:rsidRPr="006070EA">
        <w:rPr>
          <w:rFonts w:asciiTheme="majorHAnsi" w:hAnsiTheme="majorHAnsi" w:cstheme="majorHAnsi"/>
          <w:snapToGrid w:val="0"/>
        </w:rPr>
        <w:t>tak, aby objekty výrazně nepřevyšovaly okolní vegetaci a svou výškou i</w:t>
      </w:r>
      <w:r w:rsidR="00982A60" w:rsidRPr="006070EA">
        <w:rPr>
          <w:rFonts w:asciiTheme="majorHAnsi" w:hAnsiTheme="majorHAnsi" w:cstheme="majorHAnsi"/>
          <w:snapToGrid w:val="0"/>
        </w:rPr>
        <w:t> </w:t>
      </w:r>
      <w:r w:rsidRPr="006070EA">
        <w:rPr>
          <w:rFonts w:asciiTheme="majorHAnsi" w:hAnsiTheme="majorHAnsi" w:cstheme="majorHAnsi"/>
          <w:snapToGrid w:val="0"/>
        </w:rPr>
        <w:t xml:space="preserve">hmotou nenarušovaly měřítko krajiny a krajinné horizonty v dálkových pohledech. </w:t>
      </w:r>
    </w:p>
    <w:p w14:paraId="1B9CFC64" w14:textId="77777777" w:rsidR="00552020" w:rsidRPr="006070EA" w:rsidRDefault="00552020" w:rsidP="00552020">
      <w:pPr>
        <w:pStyle w:val="Norml"/>
        <w:ind w:left="3544" w:hanging="2835"/>
        <w:rPr>
          <w:rFonts w:asciiTheme="majorHAnsi" w:hAnsiTheme="majorHAnsi" w:cstheme="majorHAnsi"/>
          <w:b/>
        </w:rPr>
      </w:pPr>
      <w:r w:rsidRPr="006070EA">
        <w:rPr>
          <w:rFonts w:asciiTheme="majorHAnsi" w:hAnsiTheme="majorHAnsi" w:cstheme="majorHAnsi"/>
          <w:b/>
        </w:rPr>
        <w:t>Maximální velikost zastavěné plochy objektu</w:t>
      </w:r>
    </w:p>
    <w:p w14:paraId="708B3CED" w14:textId="3B5A7042" w:rsidR="00552020" w:rsidRPr="006070EA" w:rsidRDefault="00552020" w:rsidP="00552020">
      <w:pPr>
        <w:pStyle w:val="Norml"/>
        <w:ind w:left="3544" w:hanging="2835"/>
        <w:rPr>
          <w:rFonts w:asciiTheme="majorHAnsi" w:hAnsiTheme="majorHAnsi" w:cstheme="majorHAnsi"/>
        </w:rPr>
      </w:pPr>
      <w:r w:rsidRPr="006070EA">
        <w:rPr>
          <w:rFonts w:asciiTheme="majorHAnsi" w:hAnsiTheme="majorHAnsi" w:cstheme="majorHAnsi"/>
          <w:b/>
        </w:rPr>
        <w:tab/>
      </w:r>
      <w:r w:rsidRPr="006070EA">
        <w:rPr>
          <w:rFonts w:asciiTheme="majorHAnsi" w:hAnsiTheme="majorHAnsi" w:cstheme="majorHAnsi"/>
        </w:rPr>
        <w:t xml:space="preserve">je stanovena v plochách nezastavěného území pro případy umisťování staveb dle § 18 odst. 5 stavebního zákona, s ohledem na ochranu krajinného rázu </w:t>
      </w:r>
      <w:r w:rsidRPr="006070EA">
        <w:rPr>
          <w:rFonts w:asciiTheme="majorHAnsi" w:hAnsiTheme="majorHAnsi" w:cstheme="majorHAnsi"/>
          <w:snapToGrid w:val="0"/>
        </w:rPr>
        <w:t>tak, aby objekty svou velikostí a hmotou nenarušovaly měřítko krajiny a</w:t>
      </w:r>
      <w:r w:rsidR="00982A60" w:rsidRPr="006070EA">
        <w:rPr>
          <w:rFonts w:asciiTheme="majorHAnsi" w:hAnsiTheme="majorHAnsi" w:cstheme="majorHAnsi"/>
          <w:snapToGrid w:val="0"/>
        </w:rPr>
        <w:t> </w:t>
      </w:r>
      <w:r w:rsidRPr="006070EA">
        <w:rPr>
          <w:rFonts w:asciiTheme="majorHAnsi" w:hAnsiTheme="majorHAnsi" w:cstheme="majorHAnsi"/>
          <w:snapToGrid w:val="0"/>
        </w:rPr>
        <w:t xml:space="preserve">krajinné horizonty v dálkových pohledech. </w:t>
      </w:r>
    </w:p>
    <w:p w14:paraId="28AD3D92" w14:textId="06A5896F"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Výše uvedené pojmy jsou definovány v textové části výroku ÚP </w:t>
      </w:r>
      <w:r w:rsidR="00982A60" w:rsidRPr="006070EA">
        <w:rPr>
          <w:rFonts w:asciiTheme="majorHAnsi" w:hAnsiTheme="majorHAnsi" w:cstheme="majorHAnsi"/>
        </w:rPr>
        <w:t>Kostomlaty nad Labem</w:t>
      </w:r>
      <w:r w:rsidRPr="006070EA">
        <w:rPr>
          <w:rFonts w:asciiTheme="majorHAnsi" w:hAnsiTheme="majorHAnsi" w:cstheme="majorHAnsi"/>
        </w:rPr>
        <w:t xml:space="preserve"> v kapitole 6.1. Výklad pojmů. </w:t>
      </w:r>
    </w:p>
    <w:p w14:paraId="191FCC0E" w14:textId="77777777" w:rsidR="00552020" w:rsidRPr="006070EA" w:rsidRDefault="00552020" w:rsidP="00D430EF">
      <w:pPr>
        <w:pStyle w:val="ANADPIS4"/>
        <w:rPr>
          <w:rFonts w:asciiTheme="majorHAnsi" w:hAnsiTheme="majorHAnsi" w:cstheme="majorHAnsi"/>
        </w:rPr>
      </w:pPr>
      <w:r w:rsidRPr="006070EA">
        <w:rPr>
          <w:rFonts w:asciiTheme="majorHAnsi" w:hAnsiTheme="majorHAnsi" w:cstheme="majorHAnsi"/>
        </w:rPr>
        <w:lastRenderedPageBreak/>
        <w:t>odůvodnění VYMEZENÍ A STANOVENÍ PODMÍNEK V RÁMCI JEDNOTLIVÝCH TYPŮ PLOCH S ROZDÍLNÝM ZPŮSOBEM VYUŽITÍ</w:t>
      </w:r>
    </w:p>
    <w:p w14:paraId="09830C4F" w14:textId="77777777" w:rsidR="00552020" w:rsidRPr="006070EA" w:rsidRDefault="00552020" w:rsidP="00D430EF">
      <w:pPr>
        <w:pStyle w:val="ANADPIS4"/>
        <w:shd w:val="clear" w:color="auto" w:fill="auto"/>
        <w:rPr>
          <w:rFonts w:asciiTheme="majorHAnsi" w:hAnsiTheme="majorHAnsi" w:cstheme="majorHAnsi"/>
          <w:sz w:val="18"/>
        </w:rPr>
      </w:pPr>
      <w:r w:rsidRPr="006070EA">
        <w:rPr>
          <w:rFonts w:asciiTheme="majorHAnsi" w:hAnsiTheme="majorHAnsi" w:cstheme="majorHAnsi"/>
        </w:rPr>
        <w:t>PLOCHY BYDLENÍ</w:t>
      </w:r>
    </w:p>
    <w:p w14:paraId="037BD698" w14:textId="6879EA7F" w:rsidR="00552020" w:rsidRPr="006070EA" w:rsidRDefault="00552020" w:rsidP="00D430EF">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w:t>
      </w:r>
      <w:r w:rsidR="00982A60" w:rsidRPr="006070EA">
        <w:rPr>
          <w:rFonts w:asciiTheme="majorHAnsi" w:hAnsiTheme="majorHAnsi" w:cstheme="majorHAnsi"/>
          <w:i/>
          <w:snapToGrid w:val="0"/>
          <w:u w:val="single"/>
        </w:rPr>
        <w:t>6</w:t>
      </w:r>
      <w:r w:rsidR="0021590A">
        <w:rPr>
          <w:rFonts w:asciiTheme="majorHAnsi" w:hAnsiTheme="majorHAnsi" w:cstheme="majorHAnsi"/>
          <w:i/>
          <w:snapToGrid w:val="0"/>
          <w:u w:val="single"/>
        </w:rPr>
        <w:t>1</w:t>
      </w:r>
      <w:r w:rsidRPr="006070EA">
        <w:rPr>
          <w:rFonts w:asciiTheme="majorHAnsi" w:hAnsiTheme="majorHAnsi" w:cstheme="majorHAnsi"/>
          <w:i/>
          <w:snapToGrid w:val="0"/>
          <w:u w:val="single"/>
        </w:rPr>
        <w:t>)</w:t>
      </w:r>
      <w:r w:rsidR="00982A60" w:rsidRPr="006070EA">
        <w:rPr>
          <w:rFonts w:asciiTheme="majorHAnsi" w:hAnsiTheme="majorHAnsi" w:cstheme="majorHAnsi"/>
          <w:i/>
          <w:snapToGrid w:val="0"/>
          <w:u w:val="single"/>
        </w:rPr>
        <w:t xml:space="preserve"> </w:t>
      </w:r>
      <w:r w:rsidR="0021590A">
        <w:rPr>
          <w:rFonts w:asciiTheme="majorHAnsi" w:hAnsiTheme="majorHAnsi" w:cstheme="majorHAnsi"/>
          <w:i/>
          <w:snapToGrid w:val="0"/>
          <w:u w:val="single"/>
        </w:rPr>
        <w:t>a</w:t>
      </w:r>
      <w:r w:rsidR="00982A60" w:rsidRPr="006070EA">
        <w:rPr>
          <w:rFonts w:asciiTheme="majorHAnsi" w:hAnsiTheme="majorHAnsi" w:cstheme="majorHAnsi"/>
          <w:i/>
          <w:snapToGrid w:val="0"/>
          <w:u w:val="single"/>
        </w:rPr>
        <w:t xml:space="preserve"> (6</w:t>
      </w:r>
      <w:r w:rsidR="0021590A">
        <w:rPr>
          <w:rFonts w:asciiTheme="majorHAnsi" w:hAnsiTheme="majorHAnsi" w:cstheme="majorHAnsi"/>
          <w:i/>
          <w:snapToGrid w:val="0"/>
          <w:u w:val="single"/>
        </w:rPr>
        <w:t>2</w:t>
      </w:r>
      <w:r w:rsidR="00982A60" w:rsidRPr="006070EA">
        <w:rPr>
          <w:rFonts w:asciiTheme="majorHAnsi" w:hAnsiTheme="majorHAnsi" w:cstheme="majorHAnsi"/>
          <w:i/>
          <w:snapToGrid w:val="0"/>
          <w:u w:val="single"/>
        </w:rPr>
        <w:t>)</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40E438EB" w14:textId="1D0357B6" w:rsidR="00552020" w:rsidRPr="006070EA" w:rsidRDefault="00552020" w:rsidP="00D430EF">
      <w:pPr>
        <w:pStyle w:val="Atext"/>
        <w:keepNext/>
        <w:rPr>
          <w:rFonts w:asciiTheme="majorHAnsi" w:hAnsiTheme="majorHAnsi" w:cstheme="majorHAnsi"/>
        </w:rPr>
      </w:pPr>
      <w:r w:rsidRPr="006070EA">
        <w:rPr>
          <w:rFonts w:asciiTheme="majorHAnsi" w:hAnsiTheme="majorHAnsi" w:cstheme="majorHAnsi"/>
        </w:rPr>
        <w:t>V souladu s § 4 vyhlášky č. 501/2006 Sb.</w:t>
      </w:r>
      <w:r w:rsidR="00982A60" w:rsidRPr="006070EA">
        <w:rPr>
          <w:rFonts w:asciiTheme="majorHAnsi" w:hAnsiTheme="majorHAnsi" w:cstheme="majorHAnsi"/>
        </w:rPr>
        <w:t xml:space="preserve"> jsou vymezeny plochy bydlení v následujícím členění</w:t>
      </w:r>
      <w:r w:rsidRPr="006070EA">
        <w:rPr>
          <w:rFonts w:asciiTheme="majorHAnsi" w:hAnsiTheme="majorHAnsi" w:cstheme="majorHAnsi"/>
        </w:rPr>
        <w:t xml:space="preserve">: </w:t>
      </w:r>
    </w:p>
    <w:p w14:paraId="0E6875F4" w14:textId="77777777" w:rsidR="00552020" w:rsidRPr="006070EA" w:rsidRDefault="00552020" w:rsidP="00552020">
      <w:pPr>
        <w:pStyle w:val="Anadpistun"/>
        <w:rPr>
          <w:rFonts w:asciiTheme="majorHAnsi" w:hAnsiTheme="majorHAnsi" w:cstheme="majorHAnsi"/>
        </w:rPr>
      </w:pPr>
      <w:r w:rsidRPr="006070EA">
        <w:rPr>
          <w:rFonts w:asciiTheme="majorHAnsi" w:hAnsiTheme="majorHAnsi" w:cstheme="majorHAnsi"/>
        </w:rPr>
        <w:t>Bydlení hromadné (BH)</w:t>
      </w:r>
    </w:p>
    <w:p w14:paraId="5881B84D" w14:textId="04D6CBE3"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Plochy BH reprezentují bytové domy nebo soubory bytových domů a jsou vymezeny z důvodu stabilizace souborů bytových domů umístěných v</w:t>
      </w:r>
      <w:r w:rsidR="00982A60" w:rsidRPr="006070EA">
        <w:rPr>
          <w:rFonts w:asciiTheme="majorHAnsi" w:hAnsiTheme="majorHAnsi" w:cstheme="majorHAnsi"/>
        </w:rPr>
        <w:t xml:space="preserve"> převažující </w:t>
      </w:r>
      <w:r w:rsidRPr="006070EA">
        <w:rPr>
          <w:rFonts w:asciiTheme="majorHAnsi" w:hAnsiTheme="majorHAnsi" w:cstheme="majorHAnsi"/>
        </w:rPr>
        <w:t xml:space="preserve">zástavbě rodinných domů, zajištění vysoké kvality bydlení, vyloučení dopravní zátěže, zachování vysokého podílu veřejně přístupné zeleně a možností doplnění občanského vybavení lokálního významu. Vyloučeny jsou výrobní aktivity a nadmístní vybavenost, které by mohly narušit kvalitu obytného prostředí výrazným navýšením dopravní či hygienické zátěže. </w:t>
      </w:r>
    </w:p>
    <w:p w14:paraId="038857B0" w14:textId="4F3641B3"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Charakter a struktura zástavby vychází ze stávajícího charakteru zástavby bytových domů – prostorově výrazná zástavba umístěná ve volném prostoru s podílem veřejné zeleně. Stanovená maximální výška zástavby odpovídá stávajícím objektům bytových domů nebo je mírně vyšší</w:t>
      </w:r>
      <w:r w:rsidR="00982A60" w:rsidRPr="006070EA">
        <w:rPr>
          <w:rFonts w:asciiTheme="majorHAnsi" w:hAnsiTheme="majorHAnsi" w:cstheme="majorHAnsi"/>
        </w:rPr>
        <w:t xml:space="preserve"> (pro vytvoření rezervy)</w:t>
      </w:r>
      <w:r w:rsidRPr="006070EA">
        <w:rPr>
          <w:rFonts w:asciiTheme="majorHAnsi" w:hAnsiTheme="majorHAnsi" w:cstheme="majorHAnsi"/>
        </w:rPr>
        <w:t xml:space="preserve">. Koeficient maximálního zastavění pozemku je vymezen s ohledem na stávající zástavbu bytových domů a zajišťuje zachování měřítka a velikosti hmot této zástavby. Koeficient minimálního podílu zeleně na pozemku vychází z požadavku § 21 vyhlášky č. 501/2006 Sb. týkající se zajištění části pozemku bytového domu schopné vsakovat dešťovou vodu. Zároveň je stanovením koeficientu zajištěna vysoká kvalita obytného prostředí a dostatečný podíl zeleně v rámci obytné zástavby jako součást systému sídelní zeleně. </w:t>
      </w:r>
    </w:p>
    <w:p w14:paraId="60940C46" w14:textId="77777777" w:rsidR="00982A60" w:rsidRPr="006070EA" w:rsidRDefault="00982A60" w:rsidP="00982A60">
      <w:pPr>
        <w:pStyle w:val="Anadpistun"/>
        <w:rPr>
          <w:rFonts w:asciiTheme="majorHAnsi" w:hAnsiTheme="majorHAnsi" w:cstheme="majorHAnsi"/>
        </w:rPr>
      </w:pPr>
      <w:r w:rsidRPr="006070EA">
        <w:rPr>
          <w:rFonts w:asciiTheme="majorHAnsi" w:hAnsiTheme="majorHAnsi" w:cstheme="majorHAnsi"/>
        </w:rPr>
        <w:t>Bydlení individuální (BI)</w:t>
      </w:r>
    </w:p>
    <w:p w14:paraId="2AA7D583" w14:textId="6AF6299D" w:rsidR="00982A60" w:rsidRPr="006070EA" w:rsidRDefault="00982A60" w:rsidP="00982A60">
      <w:pPr>
        <w:pStyle w:val="Atext"/>
        <w:rPr>
          <w:rFonts w:asciiTheme="majorHAnsi" w:hAnsiTheme="majorHAnsi" w:cstheme="majorHAnsi"/>
        </w:rPr>
      </w:pPr>
      <w:r w:rsidRPr="006070EA">
        <w:rPr>
          <w:rFonts w:asciiTheme="majorHAnsi" w:hAnsiTheme="majorHAnsi" w:cstheme="majorHAnsi"/>
        </w:rPr>
        <w:t>Plochy BI reprezentují individuální bydlení v</w:t>
      </w:r>
      <w:r w:rsidR="002B7C96" w:rsidRPr="006070EA">
        <w:rPr>
          <w:rFonts w:asciiTheme="majorHAnsi" w:hAnsiTheme="majorHAnsi" w:cstheme="majorHAnsi"/>
        </w:rPr>
        <w:t xml:space="preserve"> Kostomlatech nad Labem </w:t>
      </w:r>
      <w:r w:rsidRPr="006070EA">
        <w:rPr>
          <w:rFonts w:asciiTheme="majorHAnsi" w:hAnsiTheme="majorHAnsi" w:cstheme="majorHAnsi"/>
        </w:rPr>
        <w:t>– plochy rodinných domů s příměsí nerušících obslužných funkcí místního významu, s umožněním lokálních ekonomických aktivit (drobné podnikání v oblasti služeb a</w:t>
      </w:r>
      <w:r w:rsidR="002B7C96" w:rsidRPr="006070EA">
        <w:rPr>
          <w:rFonts w:asciiTheme="majorHAnsi" w:hAnsiTheme="majorHAnsi" w:cstheme="majorHAnsi"/>
        </w:rPr>
        <w:t> </w:t>
      </w:r>
      <w:r w:rsidRPr="006070EA">
        <w:rPr>
          <w:rFonts w:asciiTheme="majorHAnsi" w:hAnsiTheme="majorHAnsi" w:cstheme="majorHAnsi"/>
        </w:rPr>
        <w:t>vybavenosti). Plochy BI zahrnují intenzivně urbanizovan</w:t>
      </w:r>
      <w:r w:rsidR="002B7C96" w:rsidRPr="006070EA">
        <w:rPr>
          <w:rFonts w:asciiTheme="majorHAnsi" w:hAnsiTheme="majorHAnsi" w:cstheme="majorHAnsi"/>
        </w:rPr>
        <w:t>é</w:t>
      </w:r>
      <w:r w:rsidRPr="006070EA">
        <w:rPr>
          <w:rFonts w:asciiTheme="majorHAnsi" w:hAnsiTheme="majorHAnsi" w:cstheme="majorHAnsi"/>
        </w:rPr>
        <w:t xml:space="preserve"> území </w:t>
      </w:r>
      <w:r w:rsidR="002B7C96" w:rsidRPr="006070EA">
        <w:rPr>
          <w:rFonts w:asciiTheme="majorHAnsi" w:hAnsiTheme="majorHAnsi" w:cstheme="majorHAnsi"/>
        </w:rPr>
        <w:t xml:space="preserve">hlavního sídla v území, </w:t>
      </w:r>
      <w:r w:rsidRPr="006070EA">
        <w:rPr>
          <w:rFonts w:asciiTheme="majorHAnsi" w:hAnsiTheme="majorHAnsi" w:cstheme="majorHAnsi"/>
        </w:rPr>
        <w:t xml:space="preserve">zajišťující zejména bydlení individuálního charakteru. </w:t>
      </w:r>
    </w:p>
    <w:p w14:paraId="03B6D4A4" w14:textId="32466E07" w:rsidR="00982A60" w:rsidRPr="006070EA" w:rsidRDefault="00982A60" w:rsidP="00982A60">
      <w:pPr>
        <w:pStyle w:val="Atext"/>
        <w:rPr>
          <w:rFonts w:asciiTheme="majorHAnsi" w:hAnsiTheme="majorHAnsi" w:cstheme="majorHAnsi"/>
        </w:rPr>
      </w:pPr>
      <w:r w:rsidRPr="006070EA">
        <w:rPr>
          <w:rFonts w:asciiTheme="majorHAnsi" w:hAnsiTheme="majorHAnsi" w:cstheme="majorHAnsi"/>
        </w:rPr>
        <w:t>Důvodem samostatného vymezení je stabilizace a ochrana rezidenčních čtvrtí individuálního bydlení v řešeném území, zajištění vysoké kvality obytného prostředí, vyloučení dopravní zátěže, zachování charakteru individuálního bydlení a</w:t>
      </w:r>
      <w:r w:rsidR="002B7C96" w:rsidRPr="006070EA">
        <w:rPr>
          <w:rFonts w:asciiTheme="majorHAnsi" w:hAnsiTheme="majorHAnsi" w:cstheme="majorHAnsi"/>
        </w:rPr>
        <w:t> </w:t>
      </w:r>
      <w:r w:rsidRPr="006070EA">
        <w:rPr>
          <w:rFonts w:asciiTheme="majorHAnsi" w:hAnsiTheme="majorHAnsi" w:cstheme="majorHAnsi"/>
        </w:rPr>
        <w:t>zachování možností doplnění občanského vybavení lokálního významu. Stanovením podmínek využití a prostorového uspořádání je zajištěno efektivní využití pro další rozvoj individuální obytné zástavby představující koncentrované bydlení v rodinných domech.</w:t>
      </w:r>
    </w:p>
    <w:p w14:paraId="18084716" w14:textId="77777777" w:rsidR="00982A60" w:rsidRPr="006070EA" w:rsidRDefault="00982A60" w:rsidP="00982A60">
      <w:pPr>
        <w:pStyle w:val="Atext"/>
        <w:rPr>
          <w:rFonts w:asciiTheme="majorHAnsi" w:hAnsiTheme="majorHAnsi" w:cstheme="majorHAnsi"/>
        </w:rPr>
      </w:pPr>
      <w:r w:rsidRPr="006070EA">
        <w:rPr>
          <w:rFonts w:asciiTheme="majorHAnsi" w:hAnsiTheme="majorHAnsi" w:cstheme="majorHAnsi"/>
        </w:rPr>
        <w:t xml:space="preserve">Umožněna je existence i případný rozvoj objektů individuální rekreace, vyloučeny jsou výrobní aktivity a nadmístní vybavenost, které by mohly narušit kvalitu obytného prostředí výrazným navýšením dopravní či hygienické zátěže. </w:t>
      </w:r>
    </w:p>
    <w:p w14:paraId="449EE4A9" w14:textId="5344222B" w:rsidR="00982A60" w:rsidRPr="006070EA" w:rsidRDefault="00982A60" w:rsidP="00982A60">
      <w:pPr>
        <w:pStyle w:val="Atext"/>
        <w:rPr>
          <w:rFonts w:asciiTheme="majorHAnsi" w:hAnsiTheme="majorHAnsi" w:cstheme="majorHAnsi"/>
        </w:rPr>
      </w:pPr>
      <w:r w:rsidRPr="006070EA">
        <w:rPr>
          <w:rFonts w:asciiTheme="majorHAnsi" w:hAnsiTheme="majorHAnsi" w:cstheme="majorHAnsi"/>
        </w:rPr>
        <w:t xml:space="preserve">Z hlediska stanovení prostorové struktury zástavby je zohledněna stávající struktura zástavby. </w:t>
      </w:r>
      <w:r w:rsidR="002B7C96" w:rsidRPr="006070EA">
        <w:rPr>
          <w:rFonts w:asciiTheme="majorHAnsi" w:hAnsiTheme="majorHAnsi" w:cstheme="majorHAnsi"/>
        </w:rPr>
        <w:t>J</w:t>
      </w:r>
      <w:r w:rsidRPr="006070EA">
        <w:rPr>
          <w:rFonts w:asciiTheme="majorHAnsi" w:hAnsiTheme="majorHAnsi" w:cstheme="majorHAnsi"/>
        </w:rPr>
        <w:t>e stanovena volná individuální struktura zástavby</w:t>
      </w:r>
      <w:r w:rsidR="002B7C96" w:rsidRPr="006070EA">
        <w:rPr>
          <w:rFonts w:asciiTheme="majorHAnsi" w:hAnsiTheme="majorHAnsi" w:cstheme="majorHAnsi"/>
        </w:rPr>
        <w:t xml:space="preserve"> v souladu se založenou urbanistickou strukturou</w:t>
      </w:r>
      <w:r w:rsidRPr="006070EA">
        <w:rPr>
          <w:rFonts w:asciiTheme="majorHAnsi" w:hAnsiTheme="majorHAnsi" w:cstheme="majorHAnsi"/>
        </w:rPr>
        <w:t xml:space="preserve">. Maximální výška zástavby vychází z výškové hladiny stávající obytné zástavby na území </w:t>
      </w:r>
      <w:r w:rsidR="002B7C96" w:rsidRPr="006070EA">
        <w:rPr>
          <w:rFonts w:asciiTheme="majorHAnsi" w:hAnsiTheme="majorHAnsi" w:cstheme="majorHAnsi"/>
        </w:rPr>
        <w:t>obce</w:t>
      </w:r>
      <w:r w:rsidRPr="006070EA">
        <w:rPr>
          <w:rFonts w:asciiTheme="majorHAnsi" w:hAnsiTheme="majorHAnsi" w:cstheme="majorHAnsi"/>
        </w:rPr>
        <w:t>.</w:t>
      </w:r>
      <w:r w:rsidR="002B7C96" w:rsidRPr="006070EA">
        <w:rPr>
          <w:rFonts w:asciiTheme="majorHAnsi" w:hAnsiTheme="majorHAnsi" w:cstheme="majorHAnsi"/>
        </w:rPr>
        <w:t xml:space="preserve"> </w:t>
      </w:r>
      <w:r w:rsidRPr="006070EA">
        <w:rPr>
          <w:rFonts w:asciiTheme="majorHAnsi" w:hAnsiTheme="majorHAnsi" w:cstheme="majorHAnsi"/>
        </w:rPr>
        <w:t>Koeficient maximálního zastavění pozemku vychází ze stávající individuální obytné zástavby a zajišťuje zachování měřítka a velikosti hmot této zástavby.</w:t>
      </w:r>
    </w:p>
    <w:p w14:paraId="1EB70821" w14:textId="77777777" w:rsidR="00982A60" w:rsidRPr="006070EA" w:rsidRDefault="00982A60" w:rsidP="00982A60">
      <w:pPr>
        <w:pStyle w:val="Atext"/>
        <w:rPr>
          <w:rFonts w:asciiTheme="majorHAnsi" w:hAnsiTheme="majorHAnsi" w:cstheme="majorHAnsi"/>
        </w:rPr>
      </w:pPr>
      <w:r w:rsidRPr="006070EA">
        <w:rPr>
          <w:rFonts w:asciiTheme="majorHAnsi" w:hAnsiTheme="majorHAnsi" w:cstheme="majorHAnsi"/>
        </w:rPr>
        <w:t xml:space="preserve">Koeficient minimálního podílu zeleně na pozemku vychází z požadavku § 21 vyhlášky č. 501/2006 Sb. týkající se zajištění části pozemku samostatně stojícího rodinného domu nebo stavby pro rodinnou rekreaci schopné vsakovat dešťovou vodu. Zároveň je stanovením koeficientu zajištěna vysoká kvalita obytného prostředí a dostatečný podíl zeleně v rámci individuální zástavby jako součást systému sídelní zeleně. </w:t>
      </w:r>
    </w:p>
    <w:p w14:paraId="264F6DDF" w14:textId="3A322CBD" w:rsidR="00982A60" w:rsidRPr="006070EA" w:rsidRDefault="00982A60" w:rsidP="00552020">
      <w:pPr>
        <w:pStyle w:val="Atext"/>
        <w:rPr>
          <w:rFonts w:asciiTheme="majorHAnsi" w:hAnsiTheme="majorHAnsi" w:cstheme="majorHAnsi"/>
        </w:rPr>
      </w:pPr>
      <w:r w:rsidRPr="006070EA">
        <w:rPr>
          <w:rFonts w:asciiTheme="majorHAnsi" w:hAnsiTheme="majorHAnsi" w:cstheme="majorHAnsi"/>
        </w:rPr>
        <w:t>Rozmezí výměry pro vymezování stavebního pozemku je stanoveno z důvodu zajištění efektivního využití ploch a</w:t>
      </w:r>
      <w:r w:rsidR="002B7C96" w:rsidRPr="006070EA">
        <w:rPr>
          <w:rFonts w:asciiTheme="majorHAnsi" w:hAnsiTheme="majorHAnsi" w:cstheme="majorHAnsi"/>
        </w:rPr>
        <w:t> </w:t>
      </w:r>
      <w:r w:rsidRPr="006070EA">
        <w:rPr>
          <w:rFonts w:asciiTheme="majorHAnsi" w:hAnsiTheme="majorHAnsi" w:cstheme="majorHAnsi"/>
        </w:rPr>
        <w:t>zamezení vzniku plošně rozsáhlých pozemků, které by znemožnily efektivně a hospodárně využívat zastavěné území, zastavitelné plochy a související veřejnou (zejména dopravní a technickou) infrastrukturu, nebo naopak příliš intenzivní zástavby (např. řadové RD s více bytovými jednotkami), která by mohla urbanisticky a provozně narušit obytné prostředí převážně individuální zástavby.</w:t>
      </w:r>
      <w:r w:rsidR="002B7C96" w:rsidRPr="006070EA">
        <w:rPr>
          <w:rFonts w:asciiTheme="majorHAnsi" w:hAnsiTheme="majorHAnsi" w:cstheme="majorHAnsi"/>
        </w:rPr>
        <w:t xml:space="preserve"> Minimální hodnota pro vymezení stavebního pozemku zohledňuje výměry stávajících rezerv v zastavěném území.</w:t>
      </w:r>
    </w:p>
    <w:p w14:paraId="2098BC21" w14:textId="77777777" w:rsidR="00552020" w:rsidRPr="006070EA" w:rsidRDefault="00552020" w:rsidP="002B7C96">
      <w:pPr>
        <w:pStyle w:val="ANADPIS4"/>
        <w:shd w:val="clear" w:color="auto" w:fill="auto"/>
        <w:rPr>
          <w:rFonts w:asciiTheme="majorHAnsi" w:hAnsiTheme="majorHAnsi" w:cstheme="majorHAnsi"/>
          <w:i/>
          <w:snapToGrid w:val="0"/>
          <w:u w:val="single"/>
        </w:rPr>
      </w:pPr>
      <w:r w:rsidRPr="006070EA">
        <w:rPr>
          <w:rFonts w:asciiTheme="majorHAnsi" w:hAnsiTheme="majorHAnsi" w:cstheme="majorHAnsi"/>
        </w:rPr>
        <w:t>PLOCHY OBČANSKÉHO VYBAVENÍ</w:t>
      </w:r>
    </w:p>
    <w:p w14:paraId="1E75F284" w14:textId="6D944ED5" w:rsidR="00552020" w:rsidRPr="006070EA" w:rsidRDefault="00552020" w:rsidP="00552020">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(6</w:t>
      </w:r>
      <w:r w:rsidR="0021590A">
        <w:rPr>
          <w:rFonts w:asciiTheme="majorHAnsi" w:hAnsiTheme="majorHAnsi" w:cstheme="majorHAnsi"/>
          <w:i/>
          <w:snapToGrid w:val="0"/>
          <w:u w:val="single"/>
        </w:rPr>
        <w:t>3</w:t>
      </w:r>
      <w:r w:rsidR="006C766E" w:rsidRPr="006070EA">
        <w:rPr>
          <w:rFonts w:asciiTheme="majorHAnsi" w:hAnsiTheme="majorHAnsi" w:cstheme="majorHAnsi"/>
          <w:i/>
          <w:snapToGrid w:val="0"/>
          <w:u w:val="single"/>
        </w:rPr>
        <w:t xml:space="preserve">) </w:t>
      </w:r>
      <w:r w:rsidR="0021590A">
        <w:rPr>
          <w:rFonts w:asciiTheme="majorHAnsi" w:hAnsiTheme="majorHAnsi" w:cstheme="majorHAnsi"/>
          <w:i/>
          <w:snapToGrid w:val="0"/>
          <w:u w:val="single"/>
        </w:rPr>
        <w:t>a</w:t>
      </w:r>
      <w:r w:rsidRPr="006070EA">
        <w:rPr>
          <w:rFonts w:asciiTheme="majorHAnsi" w:hAnsiTheme="majorHAnsi" w:cstheme="majorHAnsi"/>
          <w:i/>
          <w:snapToGrid w:val="0"/>
          <w:u w:val="single"/>
        </w:rPr>
        <w:t xml:space="preserve"> (6</w:t>
      </w:r>
      <w:r w:rsidR="0021590A">
        <w:rPr>
          <w:rFonts w:asciiTheme="majorHAnsi" w:hAnsiTheme="majorHAnsi" w:cstheme="majorHAnsi"/>
          <w:i/>
          <w:snapToGrid w:val="0"/>
          <w:u w:val="single"/>
        </w:rPr>
        <w:t>4</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2DE57218" w14:textId="3D9465E5"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V souladu s § 6 vyhlášky č. 501/2006 Sb. jsou vymezeny plochy občanského vybavení v následujícím členění: </w:t>
      </w:r>
    </w:p>
    <w:p w14:paraId="5A614DC3" w14:textId="77777777" w:rsidR="00552020" w:rsidRPr="006070EA" w:rsidRDefault="00552020" w:rsidP="00552020">
      <w:pPr>
        <w:pStyle w:val="Anadpistun"/>
        <w:rPr>
          <w:rFonts w:asciiTheme="majorHAnsi" w:hAnsiTheme="majorHAnsi" w:cstheme="majorHAnsi"/>
        </w:rPr>
      </w:pPr>
      <w:r w:rsidRPr="006070EA">
        <w:rPr>
          <w:rFonts w:asciiTheme="majorHAnsi" w:hAnsiTheme="majorHAnsi" w:cstheme="majorHAnsi"/>
        </w:rPr>
        <w:t>Občanské vybavení veřejné (OV)</w:t>
      </w:r>
    </w:p>
    <w:p w14:paraId="61F11904" w14:textId="2B9034DE"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Plochy OV jsou vymezeny z důvodu ochrany občanského vybavení veřejného charakteru – zejména stavby a areály pro vzdělávání a výchovu, sociální služby a péči o rodiny, zdravotní služby, kulturu, veřejnou správu, ochranu obyvatelstva</w:t>
      </w:r>
      <w:r w:rsidR="006C766E" w:rsidRPr="006070EA">
        <w:rPr>
          <w:rFonts w:asciiTheme="majorHAnsi" w:hAnsiTheme="majorHAnsi" w:cstheme="majorHAnsi"/>
        </w:rPr>
        <w:t xml:space="preserve"> a sportovní aktivity</w:t>
      </w:r>
      <w:r w:rsidRPr="006070EA">
        <w:rPr>
          <w:rFonts w:asciiTheme="majorHAnsi" w:hAnsiTheme="majorHAnsi" w:cstheme="majorHAnsi"/>
        </w:rPr>
        <w:t xml:space="preserve">. Důvodem pro jejich samostatné vymezení je nutnost usměrňovat ochranu a rozvoj občanského vybavení </w:t>
      </w:r>
      <w:r w:rsidRPr="006070EA">
        <w:rPr>
          <w:rFonts w:asciiTheme="majorHAnsi" w:hAnsiTheme="majorHAnsi" w:cstheme="majorHAnsi"/>
        </w:rPr>
        <w:lastRenderedPageBreak/>
        <w:t xml:space="preserve">na území obce, zachování významu daných zařízení v rámci sídelní struktury (např. mateřská a základní škola) a vhodného umístění těchto areálů v rámci urbanistické struktury sídla, které je žádoucí zachovat či rozvíjet v dané lokalitě. </w:t>
      </w:r>
    </w:p>
    <w:p w14:paraId="1C439644" w14:textId="77777777" w:rsidR="006C766E" w:rsidRPr="006070EA" w:rsidRDefault="006C766E" w:rsidP="006C766E">
      <w:pPr>
        <w:pStyle w:val="Atext"/>
        <w:rPr>
          <w:rFonts w:asciiTheme="majorHAnsi" w:hAnsiTheme="majorHAnsi" w:cstheme="majorHAnsi"/>
          <w:szCs w:val="18"/>
        </w:rPr>
      </w:pPr>
      <w:r w:rsidRPr="006070EA">
        <w:rPr>
          <w:rFonts w:asciiTheme="majorHAnsi" w:hAnsiTheme="majorHAnsi" w:cstheme="majorHAnsi"/>
        </w:rPr>
        <w:t xml:space="preserve">Plochy OV </w:t>
      </w:r>
      <w:r w:rsidRPr="006070EA">
        <w:rPr>
          <w:rFonts w:asciiTheme="majorHAnsi" w:hAnsiTheme="majorHAnsi" w:cstheme="majorHAnsi"/>
          <w:szCs w:val="18"/>
        </w:rPr>
        <w:t>zahrnují také objekty zařízení pro veřejné sportovní a rekreační využití (sportoviště). Důvodem pro jejich zahrnutí je zejména ochrana těchto ploch v rámci urbanistické struktury. Sportovní plochy jsou převážně nezastavěné (hrací plochy, dráhy, tréninkové louky apod.), proto je nezbytné tyto plochy chránit před zastavěním a změnou využití jako významné plochy veřejné infrastruktury sloužící rekreaci a sportovnímu vyžití obyvatel.</w:t>
      </w:r>
    </w:p>
    <w:p w14:paraId="79598CDC" w14:textId="5648EF28"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Pro plochy občanského vybavení je stanovena areálová struktura zástavby z důvodu zajištění nezbytných funkčních a provozních požadavků na tato specifická zařízení. Maximální výška zástavby je stanovena dle stávající převažující výšky staveb v rámci areálů OV se zohledněním stávajících prostorových parametrů staveb (např. základní škola) a rovněž z důvodu akcentace významu stavby občanského vybavení v rámci zástavby. Koeficient minimálního podílu zeleně na pozemku je stanoven z důvodu zajištění minimálního rozsahu ploch zeleně zejména pro účely hospodaření s dešťovou vodou na pozemku a případně rozvoje prvků modrozelené infrastruktury. </w:t>
      </w:r>
    </w:p>
    <w:p w14:paraId="499DAF03" w14:textId="77777777" w:rsidR="00552020" w:rsidRPr="006070EA" w:rsidRDefault="00552020" w:rsidP="00552020">
      <w:pPr>
        <w:pStyle w:val="Anadpistun"/>
        <w:rPr>
          <w:rFonts w:asciiTheme="majorHAnsi" w:hAnsiTheme="majorHAnsi" w:cstheme="majorHAnsi"/>
        </w:rPr>
      </w:pPr>
      <w:r w:rsidRPr="006070EA">
        <w:rPr>
          <w:rFonts w:asciiTheme="majorHAnsi" w:hAnsiTheme="majorHAnsi" w:cstheme="majorHAnsi"/>
        </w:rPr>
        <w:t>Občanské vybavení – hřbitovy (OH)</w:t>
      </w:r>
    </w:p>
    <w:p w14:paraId="414FF236" w14:textId="3BC086A2"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Plochy OH zahrnují veřejná pohřebiště a související stavby, zařízení a pozemky. Ochrana těchto ploch jako součásti veřejné infrastruktury je dána zákonem č. 256/2001 Sb., o pohřebnictví, a ochranou pietních míst dle zákona č. 122/2004 Sb., o válečných hrobech a pietních místech. Do ploch OH je zahrnut stávající areál hřbitova v jádrové části </w:t>
      </w:r>
      <w:r w:rsidR="00632EE2" w:rsidRPr="006070EA">
        <w:rPr>
          <w:rFonts w:asciiTheme="majorHAnsi" w:hAnsiTheme="majorHAnsi" w:cstheme="majorHAnsi"/>
        </w:rPr>
        <w:t>Kostomlat nad Labem</w:t>
      </w:r>
      <w:r w:rsidRPr="006070EA">
        <w:rPr>
          <w:rFonts w:asciiTheme="majorHAnsi" w:hAnsiTheme="majorHAnsi" w:cstheme="majorHAnsi"/>
        </w:rPr>
        <w:t>.</w:t>
      </w:r>
    </w:p>
    <w:p w14:paraId="698D0210" w14:textId="7EAA4AAB" w:rsidR="00552020" w:rsidRPr="006070EA" w:rsidRDefault="00552020" w:rsidP="00632EE2">
      <w:pPr>
        <w:pStyle w:val="Atext"/>
        <w:rPr>
          <w:rFonts w:asciiTheme="majorHAnsi" w:hAnsiTheme="majorHAnsi" w:cstheme="majorHAnsi"/>
        </w:rPr>
      </w:pPr>
      <w:r w:rsidRPr="006070EA">
        <w:rPr>
          <w:rFonts w:asciiTheme="majorHAnsi" w:hAnsiTheme="majorHAnsi" w:cstheme="majorHAnsi"/>
        </w:rPr>
        <w:t xml:space="preserve">Stanovena je areálová struktura zástavby z důvodu zajištění nezbytných funkčních a provozních požadavků potřebných pro provoz areálu, </w:t>
      </w:r>
      <w:r w:rsidR="00632EE2" w:rsidRPr="006070EA">
        <w:rPr>
          <w:rFonts w:asciiTheme="majorHAnsi" w:hAnsiTheme="majorHAnsi" w:cstheme="majorHAnsi"/>
        </w:rPr>
        <w:t>ostatní podmínky prostorového uspořádání nejsou s ohledem na specifický charakter těchto ploch stanoveny.</w:t>
      </w:r>
    </w:p>
    <w:p w14:paraId="242D717D" w14:textId="77777777" w:rsidR="00AC2742" w:rsidRPr="006070EA" w:rsidRDefault="00AC2742" w:rsidP="00AC2742">
      <w:pPr>
        <w:pStyle w:val="ANADPIS4"/>
        <w:shd w:val="clear" w:color="auto" w:fill="auto"/>
        <w:rPr>
          <w:rFonts w:asciiTheme="majorHAnsi" w:hAnsiTheme="majorHAnsi" w:cstheme="majorHAnsi"/>
        </w:rPr>
      </w:pPr>
      <w:r w:rsidRPr="006070EA">
        <w:rPr>
          <w:rFonts w:asciiTheme="majorHAnsi" w:hAnsiTheme="majorHAnsi" w:cstheme="majorHAnsi"/>
        </w:rPr>
        <w:t>PLOCHY VEŘEJNÝCH PROSTRANSTVÍ</w:t>
      </w:r>
    </w:p>
    <w:p w14:paraId="7E6791FC" w14:textId="5A0DF489" w:rsidR="00AC2742" w:rsidRPr="006070EA" w:rsidRDefault="00AC2742" w:rsidP="00AC2742">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(6</w:t>
      </w:r>
      <w:r w:rsidR="0021590A">
        <w:rPr>
          <w:rFonts w:asciiTheme="majorHAnsi" w:hAnsiTheme="majorHAnsi" w:cstheme="majorHAnsi"/>
          <w:i/>
          <w:snapToGrid w:val="0"/>
          <w:u w:val="single"/>
        </w:rPr>
        <w:t>5</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66587EFC" w14:textId="6C7CD752"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 xml:space="preserve">V souladu s § 7 vyhlášky č. 501/2006 Sb. jsou vymezeny plochy veřejných prostranství: </w:t>
      </w:r>
    </w:p>
    <w:p w14:paraId="6C0C6EEC" w14:textId="661876A0" w:rsidR="00AC2742" w:rsidRPr="006070EA" w:rsidRDefault="00AC2742" w:rsidP="00AC2742">
      <w:pPr>
        <w:pStyle w:val="Anadpistun"/>
        <w:rPr>
          <w:rFonts w:asciiTheme="majorHAnsi" w:hAnsiTheme="majorHAnsi" w:cstheme="majorHAnsi"/>
          <w:bCs/>
          <w:iCs/>
        </w:rPr>
      </w:pPr>
      <w:r w:rsidRPr="006070EA">
        <w:rPr>
          <w:rFonts w:asciiTheme="majorHAnsi" w:hAnsiTheme="majorHAnsi" w:cstheme="majorHAnsi"/>
          <w:bCs/>
          <w:iCs/>
        </w:rPr>
        <w:t>Veřejná prostranství všeobecná (PU)</w:t>
      </w:r>
    </w:p>
    <w:p w14:paraId="34084AB9" w14:textId="357B7142"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 xml:space="preserve">Plochy PU zahrnují veškeré stabilizované i návrhové plochy převážně zpevněných veřejně přístupných prostranství s výraznou prostorotvornou funkcí </w:t>
      </w:r>
      <w:r w:rsidRPr="006070EA">
        <w:rPr>
          <w:rFonts w:asciiTheme="majorHAnsi" w:hAnsiTheme="majorHAnsi" w:cstheme="majorHAnsi"/>
          <w:szCs w:val="18"/>
        </w:rPr>
        <w:t>(náves, ulice, samostatné chodníky, veřejná prostranství v sídlech, převážně nemotorové cesty, místní a účelové komunikace v krajině</w:t>
      </w:r>
      <w:r w:rsidRPr="006070EA">
        <w:rPr>
          <w:rFonts w:asciiTheme="majorHAnsi" w:hAnsiTheme="majorHAnsi" w:cstheme="majorHAnsi"/>
        </w:rPr>
        <w:t>. S ohledem na význam ve struktuře ploch veřejných prostranství jsou do těchto ploch zahrnuty také úseky místních komunikací, které mají významnou prostorotvornou, komunikační a sociální funkci, stejně jako významné mimosídelní cesty ve volné krajině zajišťující prostupnost území.</w:t>
      </w:r>
    </w:p>
    <w:p w14:paraId="3D275FC4" w14:textId="77777777"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 xml:space="preserve">Plochy veřejných prostranství jsou vymezeny z důvodu stanovení podmínek pro základní prostupnost území a dostupnost pozemků v řešeném území. Systém veřejných prostranství vytváří základní strukturu území, je nositelem veřejného života v území a veřejné infrastruktury – plochy veřejných prostranství v sobě integrují veřejnou dopravní a technickou infrastrukturu a v omezené míře také veřejnou zeleň. </w:t>
      </w:r>
    </w:p>
    <w:p w14:paraId="2A91C3C3" w14:textId="77777777"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V podmínkách prostorového uspořádání je stanovena možnost umisťování pouze jednotlivých solitérních objektů ve volném prostoru doplňujících využívání veřejných prostranství. Maximální výška staveb je omezena na 5 m, zároveň je stanovena maximální velikost zastavěné plochy objektu 20 m</w:t>
      </w:r>
      <w:r w:rsidRPr="006070EA">
        <w:rPr>
          <w:rFonts w:asciiTheme="majorHAnsi" w:hAnsiTheme="majorHAnsi" w:cstheme="majorHAnsi"/>
          <w:vertAlign w:val="superscript"/>
        </w:rPr>
        <w:t>2</w:t>
      </w:r>
      <w:r w:rsidRPr="006070EA">
        <w:rPr>
          <w:rFonts w:asciiTheme="majorHAnsi" w:hAnsiTheme="majorHAnsi" w:cstheme="majorHAnsi"/>
        </w:rPr>
        <w:t xml:space="preserve"> – důvodem je ochrana volného nezastavěného prostoru pro volný pohyb lidí, který představuje základní vlastnost a hodnotu veřejného prostranství; případné stavby by volný prostor neměly zásadně narušit, ale pouze vhodně doplňovat. </w:t>
      </w:r>
    </w:p>
    <w:p w14:paraId="3D8DE7AF" w14:textId="646B15CB" w:rsidR="00AC2742" w:rsidRPr="006070EA" w:rsidRDefault="00AC2742" w:rsidP="00AC2742">
      <w:pPr>
        <w:pStyle w:val="ANADPIS4"/>
        <w:shd w:val="clear" w:color="auto" w:fill="auto"/>
        <w:rPr>
          <w:rFonts w:asciiTheme="majorHAnsi" w:hAnsiTheme="majorHAnsi" w:cstheme="majorHAnsi"/>
        </w:rPr>
      </w:pPr>
      <w:r w:rsidRPr="006070EA">
        <w:rPr>
          <w:rFonts w:asciiTheme="majorHAnsi" w:hAnsiTheme="majorHAnsi" w:cstheme="majorHAnsi"/>
        </w:rPr>
        <w:t>PLOCHY ZELENĚ</w:t>
      </w:r>
    </w:p>
    <w:p w14:paraId="07FE0A8E" w14:textId="73F62FEF" w:rsidR="00AC2742" w:rsidRPr="006070EA" w:rsidRDefault="00AC2742" w:rsidP="00AC2742">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(6</w:t>
      </w:r>
      <w:r w:rsidR="0021590A">
        <w:rPr>
          <w:rFonts w:asciiTheme="majorHAnsi" w:hAnsiTheme="majorHAnsi" w:cstheme="majorHAnsi"/>
          <w:i/>
          <w:snapToGrid w:val="0"/>
          <w:u w:val="single"/>
        </w:rPr>
        <w:t>6</w:t>
      </w:r>
      <w:r w:rsidRPr="006070EA">
        <w:rPr>
          <w:rFonts w:asciiTheme="majorHAnsi" w:hAnsiTheme="majorHAnsi" w:cstheme="majorHAnsi"/>
          <w:i/>
          <w:snapToGrid w:val="0"/>
          <w:u w:val="single"/>
        </w:rPr>
        <w:t xml:space="preserve">) </w:t>
      </w:r>
      <w:r w:rsidR="0021590A">
        <w:rPr>
          <w:rFonts w:asciiTheme="majorHAnsi" w:hAnsiTheme="majorHAnsi" w:cstheme="majorHAnsi"/>
          <w:i/>
          <w:snapToGrid w:val="0"/>
          <w:u w:val="single"/>
        </w:rPr>
        <w:t>a</w:t>
      </w:r>
      <w:r w:rsidRPr="006070EA">
        <w:rPr>
          <w:rFonts w:asciiTheme="majorHAnsi" w:hAnsiTheme="majorHAnsi" w:cstheme="majorHAnsi"/>
          <w:i/>
          <w:snapToGrid w:val="0"/>
          <w:u w:val="single"/>
        </w:rPr>
        <w:t xml:space="preserve"> (6</w:t>
      </w:r>
      <w:r w:rsidR="0021590A">
        <w:rPr>
          <w:rFonts w:asciiTheme="majorHAnsi" w:hAnsiTheme="majorHAnsi" w:cstheme="majorHAnsi"/>
          <w:i/>
          <w:snapToGrid w:val="0"/>
          <w:u w:val="single"/>
        </w:rPr>
        <w:t>7</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4E5ECDEC" w14:textId="562A1C8A"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 xml:space="preserve">V souladu s § 7a vyhlášky č. 501/2006 Sb. jsou vymezeny plochy zeleně v následujícím členění: </w:t>
      </w:r>
    </w:p>
    <w:p w14:paraId="710E6B1E" w14:textId="4D2BCBCF" w:rsidR="00AC2742" w:rsidRPr="006070EA" w:rsidRDefault="00AC2742" w:rsidP="00AC2742">
      <w:pPr>
        <w:pStyle w:val="Anadpistun"/>
        <w:rPr>
          <w:rFonts w:asciiTheme="majorHAnsi" w:hAnsiTheme="majorHAnsi" w:cstheme="majorHAnsi"/>
          <w:bCs/>
          <w:iCs/>
        </w:rPr>
      </w:pPr>
      <w:r w:rsidRPr="006070EA">
        <w:rPr>
          <w:rFonts w:asciiTheme="majorHAnsi" w:hAnsiTheme="majorHAnsi" w:cstheme="majorHAnsi"/>
          <w:bCs/>
          <w:iCs/>
        </w:rPr>
        <w:t>Zeleň – parky a parkově upravené plochy (ZP)</w:t>
      </w:r>
    </w:p>
    <w:p w14:paraId="5130540F" w14:textId="5DFDBB71"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Plochy ZP zahrnují významné plochy zeleně v sídlech, výjimečně i v nezastavěném území (ve vazbě na urbanizované území), většinou parkově upravené a veřejně přístupné (veřejná zeleň v sídlech, samostatná dětská hřiště, parkově upravené plochy apod.). Jedná se zejména o parky a drobné plochy veřejně přístupné zeleně, kde má zeleň výraznou kompoziční a prostorotvornou funkci, čímž se stává neodmyslitelnou součástí veřejného prostranství a zvyšuje estetický účinek prostředí. Důvodem jejich vymezení je ochrana veřejné zeleně v sídlech a zajištění jejího veřejného užívání.</w:t>
      </w:r>
    </w:p>
    <w:p w14:paraId="4615AE86" w14:textId="77777777"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V podmínkách prostorového uspořádání je stanovena možnost umisťování pouze jednotlivých solitérních objektů ve volném prostoru doplňujících využívání veřejných prostranství. Maximální výška staveb je omezena na 5 m, zároveň je maximální zastavění pozemku omezeno koeficientem 0,1 a maximální velikost zastavěné plochy stavby 20 m</w:t>
      </w:r>
      <w:r w:rsidRPr="006070EA">
        <w:rPr>
          <w:rFonts w:asciiTheme="majorHAnsi" w:hAnsiTheme="majorHAnsi" w:cstheme="majorHAnsi"/>
          <w:vertAlign w:val="superscript"/>
        </w:rPr>
        <w:t>2</w:t>
      </w:r>
      <w:r w:rsidRPr="006070EA">
        <w:rPr>
          <w:rFonts w:asciiTheme="majorHAnsi" w:hAnsiTheme="majorHAnsi" w:cstheme="majorHAnsi"/>
        </w:rPr>
        <w:t xml:space="preserve"> – důvodem je ochrana volného nezastavěného prostoru pro volný pohyb lidí, který představuje základní vlastnost a hodnotu veřejné zeleně; případné stavby by volný prostor neměly zásadně narušit, ale pouze vhodně doplňovat s umožněním větších staveb než v plochách PV, neboť plochy veřejných prostranství s převahou zeleně slouží převážně pobytu lidí a s tím je spojena potřebnost </w:t>
      </w:r>
      <w:r w:rsidRPr="006070EA">
        <w:rPr>
          <w:rFonts w:asciiTheme="majorHAnsi" w:hAnsiTheme="majorHAnsi" w:cstheme="majorHAnsi"/>
        </w:rPr>
        <w:lastRenderedPageBreak/>
        <w:t xml:space="preserve">o něco většího zázemí pro tento pobyt. Stanoven je koeficient minimálního podílu zeleně na pozemku 0,8 pro zajištění dostatečného naplnění dané funkce a zachování volně přístupných ploch upravené zeleně pro každodenní rekreaci obyvatel. </w:t>
      </w:r>
    </w:p>
    <w:p w14:paraId="2C8EC485" w14:textId="7B81EEB0" w:rsidR="00AC2742" w:rsidRPr="006070EA" w:rsidRDefault="00AC2742" w:rsidP="00AC2742">
      <w:pPr>
        <w:pStyle w:val="Anadpistun"/>
        <w:rPr>
          <w:rFonts w:asciiTheme="majorHAnsi" w:hAnsiTheme="majorHAnsi" w:cstheme="majorHAnsi"/>
        </w:rPr>
      </w:pPr>
      <w:r w:rsidRPr="006070EA">
        <w:rPr>
          <w:rFonts w:asciiTheme="majorHAnsi" w:hAnsiTheme="majorHAnsi" w:cstheme="majorHAnsi"/>
        </w:rPr>
        <w:t>Zeleň krajinná (ZK)</w:t>
      </w:r>
    </w:p>
    <w:p w14:paraId="7C15F303" w14:textId="47CD1B3D" w:rsidR="00AC2742" w:rsidRPr="006070EA" w:rsidRDefault="00AC2742" w:rsidP="00AC2742">
      <w:pPr>
        <w:pStyle w:val="Atext"/>
        <w:rPr>
          <w:rFonts w:asciiTheme="majorHAnsi" w:hAnsiTheme="majorHAnsi" w:cstheme="majorHAnsi"/>
          <w:szCs w:val="18"/>
        </w:rPr>
      </w:pPr>
      <w:r w:rsidRPr="006070EA">
        <w:rPr>
          <w:rFonts w:asciiTheme="majorHAnsi" w:hAnsiTheme="majorHAnsi" w:cstheme="majorHAnsi"/>
        </w:rPr>
        <w:t xml:space="preserve">Plochy ZK zahrnují přírodní a krajinnou zeleň udržovanou v přírodě blízkém stavu </w:t>
      </w:r>
      <w:r w:rsidRPr="006070EA">
        <w:rPr>
          <w:rFonts w:asciiTheme="majorHAnsi" w:hAnsiTheme="majorHAnsi" w:cstheme="majorHAnsi"/>
          <w:szCs w:val="18"/>
        </w:rPr>
        <w:t xml:space="preserve">(sukcesní plochy, remízy mimo souvislý les, zeleň v okolí sídel, ekologicky stabilnější plochy v krajině, např. zeleň podél vodních toků), vyloučeno je jejich zemědělské využití, podpořena je jejich ekologicko – stabilizační funkce. V řešeném území zahrnují například pozemky trvalých travních porostů a zeleně v zastavěném území a ve vazbě na zastavěné území, dále pozemky zeleně a dlouhodobě nevyužívaných zahrad v krajině, které mají charakter přírodní zeleně, případně pozemky přírodní zeleně v kontaktu se zastavěným územím, tvořící přechodovou zónu mezi zastavěným územím a volnou krajinou. </w:t>
      </w:r>
    </w:p>
    <w:p w14:paraId="7118ABFA" w14:textId="77777777"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 xml:space="preserve">V podmínkách prostorového uspořádání je stanovena možnost umisťování pouze jednotlivých solitérních objektů pro zajištění doplňkových objektů zejména pro případné veřejné rekreační a sportovní využití ploch nebo pro vodohospodářské funkce. </w:t>
      </w:r>
    </w:p>
    <w:p w14:paraId="5A8A999E" w14:textId="77777777" w:rsidR="00AC2742" w:rsidRPr="006070EA" w:rsidRDefault="00AC2742" w:rsidP="00AC2742">
      <w:pPr>
        <w:pStyle w:val="Atext"/>
        <w:rPr>
          <w:rFonts w:asciiTheme="majorHAnsi" w:hAnsiTheme="majorHAnsi" w:cstheme="majorHAnsi"/>
        </w:rPr>
      </w:pPr>
      <w:r w:rsidRPr="006070EA">
        <w:rPr>
          <w:rFonts w:asciiTheme="majorHAnsi" w:hAnsiTheme="majorHAnsi" w:cstheme="majorHAnsi"/>
        </w:rPr>
        <w:t>Maximální výška staveb je omezena na 3 m, zároveň je maximální zastavění pozemku omezeno koeficientem 0,1 a maximální velikost zastavěné plochy stavby 20 m</w:t>
      </w:r>
      <w:r w:rsidRPr="006070EA">
        <w:rPr>
          <w:rFonts w:asciiTheme="majorHAnsi" w:hAnsiTheme="majorHAnsi" w:cstheme="majorHAnsi"/>
          <w:vertAlign w:val="superscript"/>
        </w:rPr>
        <w:t>2</w:t>
      </w:r>
      <w:r w:rsidRPr="006070EA">
        <w:rPr>
          <w:rFonts w:asciiTheme="majorHAnsi" w:hAnsiTheme="majorHAnsi" w:cstheme="majorHAnsi"/>
        </w:rPr>
        <w:t xml:space="preserve"> – důvodem je ochrana převážně nezastavěného prostoru a přírodního charakteru ploch. Stanoven je koeficient minimálního podílu zeleně na pozemku 0,9 pro zajištění dostatečného naplnění dané funkce a zachování převážně nezastavěného prostoru přírodní zeleně. </w:t>
      </w:r>
    </w:p>
    <w:p w14:paraId="5907C05E" w14:textId="77777777" w:rsidR="00632EE2" w:rsidRPr="006070EA" w:rsidRDefault="00632EE2" w:rsidP="00632EE2">
      <w:pPr>
        <w:pStyle w:val="ANADPIS4"/>
        <w:shd w:val="clear" w:color="auto" w:fill="auto"/>
        <w:rPr>
          <w:rFonts w:asciiTheme="majorHAnsi" w:hAnsiTheme="majorHAnsi" w:cstheme="majorHAnsi"/>
        </w:rPr>
      </w:pPr>
      <w:r w:rsidRPr="006070EA">
        <w:rPr>
          <w:rFonts w:asciiTheme="majorHAnsi" w:hAnsiTheme="majorHAnsi" w:cstheme="majorHAnsi"/>
        </w:rPr>
        <w:t>PLOCHY SMÍŠENÉ OBYTNÉ</w:t>
      </w:r>
    </w:p>
    <w:p w14:paraId="196BB922" w14:textId="767D1EB8" w:rsidR="00632EE2" w:rsidRPr="006070EA" w:rsidRDefault="00632EE2" w:rsidP="00632EE2">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w:t>
      </w:r>
      <w:r w:rsidR="0021590A">
        <w:rPr>
          <w:rFonts w:asciiTheme="majorHAnsi" w:hAnsiTheme="majorHAnsi" w:cstheme="majorHAnsi"/>
          <w:i/>
          <w:snapToGrid w:val="0"/>
          <w:u w:val="single"/>
        </w:rPr>
        <w:t>68</w:t>
      </w:r>
      <w:r w:rsidRPr="006070EA">
        <w:rPr>
          <w:rFonts w:asciiTheme="majorHAnsi" w:hAnsiTheme="majorHAnsi" w:cstheme="majorHAnsi"/>
          <w:i/>
          <w:snapToGrid w:val="0"/>
          <w:u w:val="single"/>
        </w:rPr>
        <w:t xml:space="preserve">) </w:t>
      </w:r>
      <w:r w:rsidR="0021590A">
        <w:rPr>
          <w:rFonts w:asciiTheme="majorHAnsi" w:hAnsiTheme="majorHAnsi" w:cstheme="majorHAnsi"/>
          <w:i/>
          <w:snapToGrid w:val="0"/>
          <w:u w:val="single"/>
        </w:rPr>
        <w:t>a</w:t>
      </w:r>
      <w:r w:rsidRPr="006070EA">
        <w:rPr>
          <w:rFonts w:asciiTheme="majorHAnsi" w:hAnsiTheme="majorHAnsi" w:cstheme="majorHAnsi"/>
          <w:i/>
          <w:snapToGrid w:val="0"/>
          <w:u w:val="single"/>
        </w:rPr>
        <w:t xml:space="preserve"> (</w:t>
      </w:r>
      <w:r w:rsidR="0021590A">
        <w:rPr>
          <w:rFonts w:asciiTheme="majorHAnsi" w:hAnsiTheme="majorHAnsi" w:cstheme="majorHAnsi"/>
          <w:i/>
          <w:snapToGrid w:val="0"/>
          <w:u w:val="single"/>
        </w:rPr>
        <w:t>69</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54A9FECE" w14:textId="2EBECA79"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t xml:space="preserve">V souladu s § 8 vyhlášky č. 501/2006 Sb. jsou vymezeny plochy smíšené obytné v následujícím členění: </w:t>
      </w:r>
    </w:p>
    <w:p w14:paraId="04A65C94" w14:textId="32D5EC8E" w:rsidR="00632EE2" w:rsidRPr="006070EA" w:rsidRDefault="00632EE2" w:rsidP="00632EE2">
      <w:pPr>
        <w:pStyle w:val="Anadpistun"/>
        <w:rPr>
          <w:rFonts w:asciiTheme="majorHAnsi" w:hAnsiTheme="majorHAnsi" w:cstheme="majorHAnsi"/>
        </w:rPr>
      </w:pPr>
      <w:r w:rsidRPr="006070EA">
        <w:rPr>
          <w:rFonts w:asciiTheme="majorHAnsi" w:hAnsiTheme="majorHAnsi" w:cstheme="majorHAnsi"/>
        </w:rPr>
        <w:t>Plochy smíšené obytné městské (SM)</w:t>
      </w:r>
    </w:p>
    <w:p w14:paraId="7D3A3ACE" w14:textId="6090305F"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t xml:space="preserve">Plochy SM představují polyfunkční plochy převážně jádrové zástavby v centrální části Kostomlat nad Labem s přirozeně historicky danou diverzitou (plochy bydlení s vyšším podílem občanského vybavení, obchodu, služeb, zahrnující zařízení veřejné správy, administrativy a nevýrobní ekonomické činnosti). </w:t>
      </w:r>
    </w:p>
    <w:p w14:paraId="3DEEF503" w14:textId="72FF68A4"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t xml:space="preserve">Z hlediska stanovení prostorové struktury zástavby je umožněna variabilní struktura zástavby odpovídající historicky definované zástavbě jádrové části sídla, která zahrnovala </w:t>
      </w:r>
      <w:r w:rsidR="001246DE" w:rsidRPr="006070EA">
        <w:rPr>
          <w:rFonts w:asciiTheme="majorHAnsi" w:hAnsiTheme="majorHAnsi" w:cstheme="majorHAnsi"/>
        </w:rPr>
        <w:t xml:space="preserve">převážně volnou až kompaktní individuální zástavbu </w:t>
      </w:r>
      <w:r w:rsidRPr="006070EA">
        <w:rPr>
          <w:rFonts w:asciiTheme="majorHAnsi" w:hAnsiTheme="majorHAnsi" w:cstheme="majorHAnsi"/>
        </w:rPr>
        <w:t xml:space="preserve">se zahradami, areály občanského vybavení, solitérní stavby atd. </w:t>
      </w:r>
    </w:p>
    <w:p w14:paraId="133A3774" w14:textId="137AE389"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t>Maximální výška zástavby je stanovena dle stávající převažující výšky zástavby v sídle pro zachování historicky definované výškové hladiny zástavby. Koeficient maximálního zastavění pozemku vychází ze stávajícího charakteru zástavby a</w:t>
      </w:r>
      <w:r w:rsidR="001246DE" w:rsidRPr="006070EA">
        <w:rPr>
          <w:rFonts w:asciiTheme="majorHAnsi" w:hAnsiTheme="majorHAnsi" w:cstheme="majorHAnsi"/>
        </w:rPr>
        <w:t> </w:t>
      </w:r>
      <w:r w:rsidRPr="006070EA">
        <w:rPr>
          <w:rFonts w:asciiTheme="majorHAnsi" w:hAnsiTheme="majorHAnsi" w:cstheme="majorHAnsi"/>
        </w:rPr>
        <w:t>zajišťuje zachování měřítka a velikosti hmot této zástavby, aby nedošlo k narušení prostorové struktury umístěním výrazně odlišných hmot. Koeficient minimálního podílu zeleně je stanoven z důvodu zajištění kvality převážně obytného prostředí a</w:t>
      </w:r>
      <w:r w:rsidR="001246DE" w:rsidRPr="006070EA">
        <w:rPr>
          <w:rFonts w:asciiTheme="majorHAnsi" w:hAnsiTheme="majorHAnsi" w:cstheme="majorHAnsi"/>
        </w:rPr>
        <w:t> </w:t>
      </w:r>
      <w:r w:rsidRPr="006070EA">
        <w:rPr>
          <w:rFonts w:asciiTheme="majorHAnsi" w:hAnsiTheme="majorHAnsi" w:cstheme="majorHAnsi"/>
        </w:rPr>
        <w:t xml:space="preserve">dostatečného podílu zeleně v rámci městské zástavby jako součásti systému sídelní zeleně. </w:t>
      </w:r>
    </w:p>
    <w:p w14:paraId="4970905E" w14:textId="77777777" w:rsidR="001246DE" w:rsidRPr="006070EA" w:rsidRDefault="001246DE" w:rsidP="001246DE">
      <w:pPr>
        <w:pStyle w:val="Atext"/>
        <w:rPr>
          <w:rFonts w:asciiTheme="majorHAnsi" w:hAnsiTheme="majorHAnsi" w:cstheme="majorHAnsi"/>
        </w:rPr>
      </w:pPr>
      <w:r w:rsidRPr="006070EA">
        <w:rPr>
          <w:rFonts w:asciiTheme="majorHAnsi" w:hAnsiTheme="majorHAnsi" w:cstheme="majorHAnsi"/>
        </w:rPr>
        <w:t>Rozmezí výměry pro vymezování stavebního pozemku je stanoveno z důvodu zajištění efektivního využití ploch a zamezení vzniku plošně rozsáhlých pozemků, které by znemožnily efektivně a hospodárně využívat zastavěné území, zastavitelné plochy a související veřejnou (zejména dopravní a technickou) infrastrukturu, nebo naopak příliš intenzivní zástavby (např. řadové RD s více bytovými jednotkami), která by mohla urbanisticky a provozně narušit obytné prostředí převážně individuální zástavby venkovského charakteru.</w:t>
      </w:r>
    </w:p>
    <w:p w14:paraId="72AA8C47" w14:textId="59883301" w:rsidR="00632EE2" w:rsidRPr="006070EA" w:rsidRDefault="00632EE2" w:rsidP="00632EE2">
      <w:pPr>
        <w:pStyle w:val="Anadpistun"/>
        <w:rPr>
          <w:rFonts w:asciiTheme="majorHAnsi" w:hAnsiTheme="majorHAnsi" w:cstheme="majorHAnsi"/>
        </w:rPr>
      </w:pPr>
      <w:r w:rsidRPr="006070EA">
        <w:rPr>
          <w:rFonts w:asciiTheme="majorHAnsi" w:hAnsiTheme="majorHAnsi" w:cstheme="majorHAnsi"/>
        </w:rPr>
        <w:t>Plochy smíšené obytné venkovské (SV)</w:t>
      </w:r>
    </w:p>
    <w:p w14:paraId="13D46A45" w14:textId="6DE45AD8"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t>Plochy SV zahrnují kromě hlavního podílu bydlení také objekty individuální rekreace a případné objekty a zařízení občanského vybavení veřejného i komerčního charakteru a tělovýchovných a sportovních zařízení s důrazem na zajišťování základních služeb a drobných ekonomických činností včetně nerušící výroby</w:t>
      </w:r>
      <w:r w:rsidR="001246DE" w:rsidRPr="006070EA">
        <w:rPr>
          <w:rFonts w:asciiTheme="majorHAnsi" w:hAnsiTheme="majorHAnsi" w:cstheme="majorHAnsi"/>
        </w:rPr>
        <w:t xml:space="preserve"> řemeslného a zemědělského charakteru</w:t>
      </w:r>
      <w:r w:rsidRPr="006070EA">
        <w:rPr>
          <w:rFonts w:asciiTheme="majorHAnsi" w:hAnsiTheme="majorHAnsi" w:cstheme="majorHAnsi"/>
        </w:rPr>
        <w:t xml:space="preserve">. Důvodem jejich vymezení je stabilizace a případný rozvoj individuálního bydlení </w:t>
      </w:r>
      <w:r w:rsidRPr="006070EA">
        <w:rPr>
          <w:rFonts w:asciiTheme="majorHAnsi" w:hAnsiTheme="majorHAnsi" w:cstheme="majorHAnsi"/>
          <w:szCs w:val="18"/>
        </w:rPr>
        <w:t xml:space="preserve">v rodinných domech venkovského charakteru, v nichž je funkce bydlení spojena s občanským vybavením, rekreací, hospodařením na přilehlých pozemcích, provozováním nerušících výrobních i nevýrobních služeb nebo chovem hospodářských zvířat a další drobnou převážně zemědělskou a výrobní činností. </w:t>
      </w:r>
    </w:p>
    <w:p w14:paraId="56FD90E3" w14:textId="3C636D7C"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t xml:space="preserve">Z hlediska stanovení prostorové struktury zástavby je zohledněna stávající a cílová struktura zástavby. </w:t>
      </w:r>
      <w:r w:rsidR="001246DE" w:rsidRPr="006070EA">
        <w:rPr>
          <w:rFonts w:asciiTheme="majorHAnsi" w:hAnsiTheme="majorHAnsi" w:cstheme="majorHAnsi"/>
        </w:rPr>
        <w:t>J</w:t>
      </w:r>
      <w:r w:rsidRPr="006070EA">
        <w:rPr>
          <w:rFonts w:asciiTheme="majorHAnsi" w:hAnsiTheme="majorHAnsi" w:cstheme="majorHAnsi"/>
        </w:rPr>
        <w:t xml:space="preserve">e stanovena volná individuální struktura zástavby bez zásadních urbanistických pravidel pro umisťování staveb. Maximální výška zástavby je stanovena dle stávající převažující výšky zástavby pro zachování historicky definované výškové hladiny sídel. </w:t>
      </w:r>
    </w:p>
    <w:p w14:paraId="58AC3AAA" w14:textId="77777777"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t>Koeficient maximálního zastavění pozemku vychází ze stávající individuální obytné zástavby a zajišťuje zachování měřítka a velikosti hmot této zástavby, aby nedošlo k narušení prostorové struktury umístěním výrazně odlišných hmot.</w:t>
      </w:r>
    </w:p>
    <w:p w14:paraId="625382AB" w14:textId="77777777"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t xml:space="preserve">Koeficient minimálního podílu zeleně na pozemku vychází z požadavku § 21 vyhlášky č. 501/2006 Sb. týkající se zajištění části pozemku samostatně stojícího rodinného domu nebo stavby pro rodinnou rekreaci schopné vsakovat dešťovou vodu. Zároveň je stanovením koeficientu zajištěna vysoká kvalita obytného prostředí a dostatečný podíl zeleně v rámci individuální zástavby jako součást systému sídelní zeleně. </w:t>
      </w:r>
    </w:p>
    <w:p w14:paraId="38C8BE14" w14:textId="699EF2AD" w:rsidR="00632EE2" w:rsidRPr="006070EA" w:rsidRDefault="00632EE2" w:rsidP="00632EE2">
      <w:pPr>
        <w:pStyle w:val="Atext"/>
        <w:rPr>
          <w:rFonts w:asciiTheme="majorHAnsi" w:hAnsiTheme="majorHAnsi" w:cstheme="majorHAnsi"/>
        </w:rPr>
      </w:pPr>
      <w:r w:rsidRPr="006070EA">
        <w:rPr>
          <w:rFonts w:asciiTheme="majorHAnsi" w:hAnsiTheme="majorHAnsi" w:cstheme="majorHAnsi"/>
        </w:rPr>
        <w:lastRenderedPageBreak/>
        <w:t>Rozmezí výměry pro vymezování stavebního pozemku je stanoveno z důvodu zajištění efektivního využití ploch a</w:t>
      </w:r>
      <w:r w:rsidR="001246DE" w:rsidRPr="006070EA">
        <w:rPr>
          <w:rFonts w:asciiTheme="majorHAnsi" w:hAnsiTheme="majorHAnsi" w:cstheme="majorHAnsi"/>
        </w:rPr>
        <w:t> </w:t>
      </w:r>
      <w:r w:rsidRPr="006070EA">
        <w:rPr>
          <w:rFonts w:asciiTheme="majorHAnsi" w:hAnsiTheme="majorHAnsi" w:cstheme="majorHAnsi"/>
        </w:rPr>
        <w:t>zamezení vzniku plošně rozsáhlých pozemků, které by znemožnily efektivně a hospodárně využívat zastavěné území, zastavitelné plochy a související veřejnou (zejména dopravní a technickou) infrastrukturu, nebo naopak příliš intenzivní zástavby (např. řadové RD s více bytovými jednotkami), která by mohla urbanisticky a provozně narušit obytné prostředí převážně individuální zástavby venkovského charakteru.</w:t>
      </w:r>
    </w:p>
    <w:p w14:paraId="4A172B34" w14:textId="77777777" w:rsidR="001246DE" w:rsidRPr="006070EA" w:rsidRDefault="001246DE" w:rsidP="001246DE">
      <w:pPr>
        <w:pStyle w:val="ANADPIS4"/>
        <w:shd w:val="clear" w:color="auto" w:fill="auto"/>
        <w:rPr>
          <w:rFonts w:asciiTheme="majorHAnsi" w:hAnsiTheme="majorHAnsi" w:cstheme="majorHAnsi"/>
        </w:rPr>
      </w:pPr>
      <w:r w:rsidRPr="006070EA">
        <w:rPr>
          <w:rFonts w:asciiTheme="majorHAnsi" w:hAnsiTheme="majorHAnsi" w:cstheme="majorHAnsi"/>
        </w:rPr>
        <w:t>PLOCHY DOPRAVNÍ INFRASTRUKTURY</w:t>
      </w:r>
    </w:p>
    <w:p w14:paraId="75E14214" w14:textId="40FC22A6" w:rsidR="001246DE" w:rsidRPr="006070EA" w:rsidRDefault="001246DE" w:rsidP="001246DE">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w:t>
      </w:r>
      <w:r w:rsidR="00AC2742" w:rsidRPr="006070EA">
        <w:rPr>
          <w:rFonts w:asciiTheme="majorHAnsi" w:hAnsiTheme="majorHAnsi" w:cstheme="majorHAnsi"/>
          <w:i/>
          <w:snapToGrid w:val="0"/>
          <w:u w:val="single"/>
        </w:rPr>
        <w:t>7</w:t>
      </w:r>
      <w:r w:rsidR="0021590A">
        <w:rPr>
          <w:rFonts w:asciiTheme="majorHAnsi" w:hAnsiTheme="majorHAnsi" w:cstheme="majorHAnsi"/>
          <w:i/>
          <w:snapToGrid w:val="0"/>
          <w:u w:val="single"/>
        </w:rPr>
        <w:t>0</w:t>
      </w:r>
      <w:r w:rsidRPr="006070EA">
        <w:rPr>
          <w:rFonts w:asciiTheme="majorHAnsi" w:hAnsiTheme="majorHAnsi" w:cstheme="majorHAnsi"/>
          <w:i/>
          <w:snapToGrid w:val="0"/>
          <w:u w:val="single"/>
        </w:rPr>
        <w:t xml:space="preserve">) </w:t>
      </w:r>
      <w:r w:rsidR="0021590A">
        <w:rPr>
          <w:rFonts w:asciiTheme="majorHAnsi" w:hAnsiTheme="majorHAnsi" w:cstheme="majorHAnsi"/>
          <w:i/>
          <w:snapToGrid w:val="0"/>
          <w:u w:val="single"/>
        </w:rPr>
        <w:t>-</w:t>
      </w:r>
      <w:r w:rsidRPr="006070EA">
        <w:rPr>
          <w:rFonts w:asciiTheme="majorHAnsi" w:hAnsiTheme="majorHAnsi" w:cstheme="majorHAnsi"/>
          <w:i/>
          <w:snapToGrid w:val="0"/>
          <w:u w:val="single"/>
        </w:rPr>
        <w:t xml:space="preserve"> (7</w:t>
      </w:r>
      <w:r w:rsidR="0021590A">
        <w:rPr>
          <w:rFonts w:asciiTheme="majorHAnsi" w:hAnsiTheme="majorHAnsi" w:cstheme="majorHAnsi"/>
          <w:i/>
          <w:snapToGrid w:val="0"/>
          <w:u w:val="single"/>
        </w:rPr>
        <w:t>2</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5DB0F173" w14:textId="5568B7AA" w:rsidR="001246DE" w:rsidRPr="006070EA" w:rsidRDefault="001246DE" w:rsidP="001246DE">
      <w:pPr>
        <w:pStyle w:val="Atext"/>
        <w:rPr>
          <w:rFonts w:asciiTheme="majorHAnsi" w:hAnsiTheme="majorHAnsi" w:cstheme="majorHAnsi"/>
        </w:rPr>
      </w:pPr>
      <w:r w:rsidRPr="006070EA">
        <w:rPr>
          <w:rFonts w:asciiTheme="majorHAnsi" w:hAnsiTheme="majorHAnsi" w:cstheme="majorHAnsi"/>
        </w:rPr>
        <w:t xml:space="preserve">V souladu s § 9 vyhlášky č. 501/2006 Sb. jsou vymezeny plochy dopravní infrastruktury v následujícím členění: </w:t>
      </w:r>
    </w:p>
    <w:p w14:paraId="6F0FC1CA" w14:textId="5931BA18" w:rsidR="001246DE" w:rsidRPr="006070EA" w:rsidRDefault="00AC2742" w:rsidP="001246DE">
      <w:pPr>
        <w:pStyle w:val="Anadpistun"/>
        <w:rPr>
          <w:rFonts w:asciiTheme="majorHAnsi" w:hAnsiTheme="majorHAnsi" w:cstheme="majorHAnsi"/>
        </w:rPr>
      </w:pPr>
      <w:r w:rsidRPr="006070EA">
        <w:rPr>
          <w:rFonts w:asciiTheme="majorHAnsi" w:hAnsiTheme="majorHAnsi" w:cstheme="majorHAnsi"/>
        </w:rPr>
        <w:t>Doprava</w:t>
      </w:r>
      <w:r w:rsidR="001E41A7" w:rsidRPr="006070EA">
        <w:rPr>
          <w:rFonts w:asciiTheme="majorHAnsi" w:hAnsiTheme="majorHAnsi" w:cstheme="majorHAnsi"/>
        </w:rPr>
        <w:t xml:space="preserve"> silniční</w:t>
      </w:r>
      <w:r w:rsidR="001246DE" w:rsidRPr="006070EA">
        <w:rPr>
          <w:rFonts w:asciiTheme="majorHAnsi" w:hAnsiTheme="majorHAnsi" w:cstheme="majorHAnsi"/>
        </w:rPr>
        <w:t xml:space="preserve"> (DS)</w:t>
      </w:r>
    </w:p>
    <w:p w14:paraId="4A8A553F" w14:textId="7DD88A5B" w:rsidR="001246DE" w:rsidRPr="006070EA" w:rsidRDefault="001246DE" w:rsidP="001246DE">
      <w:pPr>
        <w:pStyle w:val="Atext"/>
        <w:rPr>
          <w:rFonts w:asciiTheme="majorHAnsi" w:hAnsiTheme="majorHAnsi" w:cstheme="majorHAnsi"/>
        </w:rPr>
      </w:pPr>
      <w:r w:rsidRPr="006070EA">
        <w:rPr>
          <w:rFonts w:asciiTheme="majorHAnsi" w:hAnsiTheme="majorHAnsi" w:cstheme="majorHAnsi"/>
        </w:rPr>
        <w:t>Plochy DS zahrnují stabilizované i zastavitelné plochy komunikační sítě (silnice</w:t>
      </w:r>
      <w:r w:rsidR="001E41A7" w:rsidRPr="006070EA">
        <w:rPr>
          <w:rFonts w:asciiTheme="majorHAnsi" w:hAnsiTheme="majorHAnsi" w:cstheme="majorHAnsi"/>
        </w:rPr>
        <w:t xml:space="preserve"> II. a</w:t>
      </w:r>
      <w:r w:rsidRPr="006070EA">
        <w:rPr>
          <w:rFonts w:asciiTheme="majorHAnsi" w:hAnsiTheme="majorHAnsi" w:cstheme="majorHAnsi"/>
        </w:rPr>
        <w:t xml:space="preserve"> III. třídy, významné místní a</w:t>
      </w:r>
      <w:r w:rsidR="001E41A7" w:rsidRPr="006070EA">
        <w:rPr>
          <w:rFonts w:asciiTheme="majorHAnsi" w:hAnsiTheme="majorHAnsi" w:cstheme="majorHAnsi"/>
        </w:rPr>
        <w:t> </w:t>
      </w:r>
      <w:r w:rsidRPr="006070EA">
        <w:rPr>
          <w:rFonts w:asciiTheme="majorHAnsi" w:hAnsiTheme="majorHAnsi" w:cstheme="majorHAnsi"/>
        </w:rPr>
        <w:t>účelové komunikace, parkovací, manipulační a odstavné plochy). Důvodem vymezení těchto ploch je ochrana a rozvoj veřejné dopravní infrastruktury – zajištění dostatečné kapacitní dopravní obslužnosti území.</w:t>
      </w:r>
    </w:p>
    <w:p w14:paraId="563BF1FB" w14:textId="1E2D0E51" w:rsidR="001246DE" w:rsidRPr="006070EA" w:rsidRDefault="001246DE" w:rsidP="001246DE">
      <w:pPr>
        <w:pStyle w:val="Atext"/>
        <w:rPr>
          <w:rFonts w:asciiTheme="majorHAnsi" w:hAnsiTheme="majorHAnsi" w:cstheme="majorHAnsi"/>
        </w:rPr>
      </w:pPr>
      <w:r w:rsidRPr="006070EA">
        <w:rPr>
          <w:rFonts w:asciiTheme="majorHAnsi" w:hAnsiTheme="majorHAnsi" w:cstheme="majorHAnsi"/>
        </w:rPr>
        <w:t xml:space="preserve">Převážná část ploch DS je vymezena ve formě liniových ploch komunikací. Pro plochy DS je stanovena areálová struktura zástavby </w:t>
      </w:r>
      <w:r w:rsidR="001E41A7" w:rsidRPr="006070EA">
        <w:rPr>
          <w:rFonts w:asciiTheme="majorHAnsi" w:hAnsiTheme="majorHAnsi" w:cstheme="majorHAnsi"/>
        </w:rPr>
        <w:t xml:space="preserve">nebo solitérní stavby </w:t>
      </w:r>
      <w:r w:rsidRPr="006070EA">
        <w:rPr>
          <w:rFonts w:asciiTheme="majorHAnsi" w:hAnsiTheme="majorHAnsi" w:cstheme="majorHAnsi"/>
        </w:rPr>
        <w:t xml:space="preserve">z důvodu zajištění nezbytných funkčních a provozních požadavků na tato specifická zařízení. </w:t>
      </w:r>
    </w:p>
    <w:p w14:paraId="49F673E3" w14:textId="6575A5B2" w:rsidR="001246DE" w:rsidRPr="006070EA" w:rsidRDefault="00AC2742" w:rsidP="001246DE">
      <w:pPr>
        <w:pStyle w:val="Anadpistun"/>
        <w:rPr>
          <w:rFonts w:asciiTheme="majorHAnsi" w:hAnsiTheme="majorHAnsi" w:cstheme="majorHAnsi"/>
        </w:rPr>
      </w:pPr>
      <w:r w:rsidRPr="006070EA">
        <w:rPr>
          <w:rFonts w:asciiTheme="majorHAnsi" w:hAnsiTheme="majorHAnsi" w:cstheme="majorHAnsi"/>
        </w:rPr>
        <w:t>Doprava drážní</w:t>
      </w:r>
      <w:r w:rsidR="001246DE" w:rsidRPr="006070EA">
        <w:rPr>
          <w:rFonts w:asciiTheme="majorHAnsi" w:hAnsiTheme="majorHAnsi" w:cstheme="majorHAnsi"/>
        </w:rPr>
        <w:t xml:space="preserve"> (D</w:t>
      </w:r>
      <w:r w:rsidRPr="006070EA">
        <w:rPr>
          <w:rFonts w:asciiTheme="majorHAnsi" w:hAnsiTheme="majorHAnsi" w:cstheme="majorHAnsi"/>
        </w:rPr>
        <w:t>D</w:t>
      </w:r>
      <w:r w:rsidR="001246DE" w:rsidRPr="006070EA">
        <w:rPr>
          <w:rFonts w:asciiTheme="majorHAnsi" w:hAnsiTheme="majorHAnsi" w:cstheme="majorHAnsi"/>
        </w:rPr>
        <w:t>)</w:t>
      </w:r>
    </w:p>
    <w:p w14:paraId="0EC8AF93" w14:textId="76BA5415" w:rsidR="001246DE" w:rsidRPr="006070EA" w:rsidRDefault="001246DE" w:rsidP="001246DE">
      <w:pPr>
        <w:pStyle w:val="Atext"/>
        <w:rPr>
          <w:rFonts w:asciiTheme="majorHAnsi" w:hAnsiTheme="majorHAnsi" w:cstheme="majorHAnsi"/>
        </w:rPr>
      </w:pPr>
      <w:r w:rsidRPr="006070EA">
        <w:rPr>
          <w:rFonts w:asciiTheme="majorHAnsi" w:hAnsiTheme="majorHAnsi" w:cstheme="majorHAnsi"/>
        </w:rPr>
        <w:t>Plochy D</w:t>
      </w:r>
      <w:r w:rsidR="00AC2742" w:rsidRPr="006070EA">
        <w:rPr>
          <w:rFonts w:asciiTheme="majorHAnsi" w:hAnsiTheme="majorHAnsi" w:cstheme="majorHAnsi"/>
        </w:rPr>
        <w:t>D</w:t>
      </w:r>
      <w:r w:rsidRPr="006070EA">
        <w:rPr>
          <w:rFonts w:asciiTheme="majorHAnsi" w:hAnsiTheme="majorHAnsi" w:cstheme="majorHAnsi"/>
        </w:rPr>
        <w:t xml:space="preserve"> zahrnují stabilizované plochy drážní dopravy (obvod dráhy, železniční tratě včetně náspů, zářezů, opěrných zdí, mostů, kolejišť a doprovodné zeleně mimo tunelové úseky dráhy, dále pozemky zařízení pro drážní dopravu, například stanice, zastávky, nástupiště a přístupové cesty, provozní budovy a pozemky dep, opraven, vozoven, překladišť a</w:t>
      </w:r>
      <w:r w:rsidR="001E41A7" w:rsidRPr="006070EA">
        <w:rPr>
          <w:rFonts w:asciiTheme="majorHAnsi" w:hAnsiTheme="majorHAnsi" w:cstheme="majorHAnsi"/>
        </w:rPr>
        <w:t> </w:t>
      </w:r>
      <w:r w:rsidRPr="006070EA">
        <w:rPr>
          <w:rFonts w:asciiTheme="majorHAnsi" w:hAnsiTheme="majorHAnsi" w:cstheme="majorHAnsi"/>
        </w:rPr>
        <w:t>správních budov.). Důvodem vymezení je ochrana a rozvoj veřejné dopravní infrastruktury – zajištění dostatečné kapacitní dopravní obslužnosti území.</w:t>
      </w:r>
    </w:p>
    <w:p w14:paraId="72499822" w14:textId="4A5F8BFF" w:rsidR="001246DE" w:rsidRPr="006070EA" w:rsidRDefault="001246DE" w:rsidP="001246DE">
      <w:pPr>
        <w:pStyle w:val="Atext"/>
        <w:rPr>
          <w:rFonts w:asciiTheme="majorHAnsi" w:hAnsiTheme="majorHAnsi" w:cstheme="majorHAnsi"/>
        </w:rPr>
      </w:pPr>
      <w:r w:rsidRPr="006070EA">
        <w:rPr>
          <w:rFonts w:asciiTheme="majorHAnsi" w:hAnsiTheme="majorHAnsi" w:cstheme="majorHAnsi"/>
        </w:rPr>
        <w:t>Většina ploch D</w:t>
      </w:r>
      <w:r w:rsidR="00AC2742" w:rsidRPr="006070EA">
        <w:rPr>
          <w:rFonts w:asciiTheme="majorHAnsi" w:hAnsiTheme="majorHAnsi" w:cstheme="majorHAnsi"/>
        </w:rPr>
        <w:t>D</w:t>
      </w:r>
      <w:r w:rsidRPr="006070EA">
        <w:rPr>
          <w:rFonts w:asciiTheme="majorHAnsi" w:hAnsiTheme="majorHAnsi" w:cstheme="majorHAnsi"/>
        </w:rPr>
        <w:t xml:space="preserve"> je vymezena v rozsahu drážních pozemků s umístěním železniční tratě. Pro plochy D</w:t>
      </w:r>
      <w:r w:rsidR="00AC2742" w:rsidRPr="006070EA">
        <w:rPr>
          <w:rFonts w:asciiTheme="majorHAnsi" w:hAnsiTheme="majorHAnsi" w:cstheme="majorHAnsi"/>
        </w:rPr>
        <w:t>D</w:t>
      </w:r>
      <w:r w:rsidRPr="006070EA">
        <w:rPr>
          <w:rFonts w:asciiTheme="majorHAnsi" w:hAnsiTheme="majorHAnsi" w:cstheme="majorHAnsi"/>
        </w:rPr>
        <w:t xml:space="preserve"> je stanovena areálová struktura </w:t>
      </w:r>
      <w:r w:rsidR="001E41A7" w:rsidRPr="006070EA">
        <w:rPr>
          <w:rFonts w:asciiTheme="majorHAnsi" w:hAnsiTheme="majorHAnsi" w:cstheme="majorHAnsi"/>
        </w:rPr>
        <w:t xml:space="preserve">nebo solitérní stavby </w:t>
      </w:r>
      <w:r w:rsidRPr="006070EA">
        <w:rPr>
          <w:rFonts w:asciiTheme="majorHAnsi" w:hAnsiTheme="majorHAnsi" w:cstheme="majorHAnsi"/>
        </w:rPr>
        <w:t xml:space="preserve">zástavby z důvodu zajištění nezbytných funkčních a provozních požadavků na tato specifická zařízení s předpokladem možného rozvoje i jako nástupního místa pro turisty a návštěvníky území se zajištěním potřebné infrastruktury cestovního ruchu. </w:t>
      </w:r>
    </w:p>
    <w:p w14:paraId="77316954" w14:textId="2BFC550E" w:rsidR="003021D0" w:rsidRPr="006070EA" w:rsidRDefault="00AC2742" w:rsidP="003021D0">
      <w:pPr>
        <w:pStyle w:val="Anadpistun"/>
        <w:rPr>
          <w:rFonts w:asciiTheme="majorHAnsi" w:hAnsiTheme="majorHAnsi" w:cstheme="majorHAnsi"/>
        </w:rPr>
      </w:pPr>
      <w:r w:rsidRPr="006070EA">
        <w:rPr>
          <w:rFonts w:asciiTheme="majorHAnsi" w:hAnsiTheme="majorHAnsi" w:cstheme="majorHAnsi"/>
        </w:rPr>
        <w:t xml:space="preserve">Doprava </w:t>
      </w:r>
      <w:r w:rsidR="003021D0" w:rsidRPr="006070EA">
        <w:rPr>
          <w:rFonts w:asciiTheme="majorHAnsi" w:hAnsiTheme="majorHAnsi" w:cstheme="majorHAnsi"/>
        </w:rPr>
        <w:t>vodní (DV)</w:t>
      </w:r>
    </w:p>
    <w:p w14:paraId="3DA2BE1E" w14:textId="39264F72" w:rsidR="003021D0" w:rsidRPr="006070EA" w:rsidRDefault="003021D0" w:rsidP="003021D0">
      <w:pPr>
        <w:pStyle w:val="Atext"/>
        <w:rPr>
          <w:rFonts w:asciiTheme="majorHAnsi" w:hAnsiTheme="majorHAnsi" w:cstheme="majorHAnsi"/>
        </w:rPr>
      </w:pPr>
      <w:r w:rsidRPr="006070EA">
        <w:rPr>
          <w:rFonts w:asciiTheme="majorHAnsi" w:hAnsiTheme="majorHAnsi" w:cstheme="majorHAnsi"/>
        </w:rPr>
        <w:t>Plochy DV jsou vymezeny s přihlédnutím ke skutečnosti, že do řešeného území zasahuje Labská vodní cesta. Plochy DV zahrnují zpravidla pozemky určené pro vodní cesty</w:t>
      </w:r>
      <w:r w:rsidR="00537A18" w:rsidRPr="006070EA">
        <w:rPr>
          <w:rFonts w:asciiTheme="majorHAnsi" w:hAnsiTheme="majorHAnsi" w:cstheme="majorHAnsi"/>
        </w:rPr>
        <w:t xml:space="preserve">, pozemky nábřeží pro voní dopravu, pozemky zdymadel, přístavů a související pozemky dopravní a technické dopravy. </w:t>
      </w:r>
      <w:r w:rsidRPr="006070EA">
        <w:rPr>
          <w:rFonts w:asciiTheme="majorHAnsi" w:hAnsiTheme="majorHAnsi" w:cstheme="majorHAnsi"/>
        </w:rPr>
        <w:t xml:space="preserve">Důvodem vymezení je ochrana a rozvoj </w:t>
      </w:r>
      <w:r w:rsidR="00537A18" w:rsidRPr="006070EA">
        <w:rPr>
          <w:rFonts w:asciiTheme="majorHAnsi" w:hAnsiTheme="majorHAnsi" w:cstheme="majorHAnsi"/>
        </w:rPr>
        <w:t>vodní dopravy na řece Labi</w:t>
      </w:r>
      <w:r w:rsidRPr="006070EA">
        <w:rPr>
          <w:rFonts w:asciiTheme="majorHAnsi" w:hAnsiTheme="majorHAnsi" w:cstheme="majorHAnsi"/>
        </w:rPr>
        <w:t>.</w:t>
      </w:r>
    </w:p>
    <w:p w14:paraId="27644F74" w14:textId="7FFD0103" w:rsidR="003021D0" w:rsidRPr="006070EA" w:rsidRDefault="003021D0" w:rsidP="003021D0">
      <w:pPr>
        <w:pStyle w:val="Atext"/>
        <w:rPr>
          <w:rFonts w:asciiTheme="majorHAnsi" w:hAnsiTheme="majorHAnsi" w:cstheme="majorHAnsi"/>
        </w:rPr>
      </w:pPr>
      <w:r w:rsidRPr="006070EA">
        <w:rPr>
          <w:rFonts w:asciiTheme="majorHAnsi" w:hAnsiTheme="majorHAnsi" w:cstheme="majorHAnsi"/>
        </w:rPr>
        <w:t>Většina ploch D</w:t>
      </w:r>
      <w:r w:rsidR="00537A18" w:rsidRPr="006070EA">
        <w:rPr>
          <w:rFonts w:asciiTheme="majorHAnsi" w:hAnsiTheme="majorHAnsi" w:cstheme="majorHAnsi"/>
        </w:rPr>
        <w:t>V</w:t>
      </w:r>
      <w:r w:rsidRPr="006070EA">
        <w:rPr>
          <w:rFonts w:asciiTheme="majorHAnsi" w:hAnsiTheme="majorHAnsi" w:cstheme="majorHAnsi"/>
        </w:rPr>
        <w:t xml:space="preserve"> je vymezena v rozsahu </w:t>
      </w:r>
      <w:r w:rsidR="00537A18" w:rsidRPr="006070EA">
        <w:rPr>
          <w:rFonts w:asciiTheme="majorHAnsi" w:hAnsiTheme="majorHAnsi" w:cstheme="majorHAnsi"/>
        </w:rPr>
        <w:t xml:space="preserve">staveb a souvisejících pozemků, využívaných v souvislosti s dopravní funkcí řeky Labe (zdymadlo, hráze a okolní související pozemky a stavby). </w:t>
      </w:r>
    </w:p>
    <w:p w14:paraId="4E48E4B7" w14:textId="2902033B" w:rsidR="003021D0" w:rsidRPr="006070EA" w:rsidRDefault="003021D0" w:rsidP="003021D0">
      <w:pPr>
        <w:pStyle w:val="Atext"/>
        <w:rPr>
          <w:rFonts w:asciiTheme="majorHAnsi" w:hAnsiTheme="majorHAnsi" w:cstheme="majorHAnsi"/>
        </w:rPr>
      </w:pPr>
      <w:r w:rsidRPr="006070EA">
        <w:rPr>
          <w:rFonts w:asciiTheme="majorHAnsi" w:hAnsiTheme="majorHAnsi" w:cstheme="majorHAnsi"/>
        </w:rPr>
        <w:t>Pro plochy D</w:t>
      </w:r>
      <w:r w:rsidR="00537A18" w:rsidRPr="006070EA">
        <w:rPr>
          <w:rFonts w:asciiTheme="majorHAnsi" w:hAnsiTheme="majorHAnsi" w:cstheme="majorHAnsi"/>
        </w:rPr>
        <w:t>V</w:t>
      </w:r>
      <w:r w:rsidRPr="006070EA">
        <w:rPr>
          <w:rFonts w:asciiTheme="majorHAnsi" w:hAnsiTheme="majorHAnsi" w:cstheme="majorHAnsi"/>
        </w:rPr>
        <w:t xml:space="preserve"> je stanovena areálová struktura zástavby </w:t>
      </w:r>
      <w:r w:rsidR="001E41A7" w:rsidRPr="006070EA">
        <w:rPr>
          <w:rFonts w:asciiTheme="majorHAnsi" w:hAnsiTheme="majorHAnsi" w:cstheme="majorHAnsi"/>
        </w:rPr>
        <w:t xml:space="preserve">nebo solitérní stavby </w:t>
      </w:r>
      <w:r w:rsidRPr="006070EA">
        <w:rPr>
          <w:rFonts w:asciiTheme="majorHAnsi" w:hAnsiTheme="majorHAnsi" w:cstheme="majorHAnsi"/>
        </w:rPr>
        <w:t xml:space="preserve">z důvodu zajištění nezbytných funkčních a provozních požadavků na tato specifická zařízení s předpokladem možného rozvoje </w:t>
      </w:r>
      <w:r w:rsidR="00537A18" w:rsidRPr="006070EA">
        <w:rPr>
          <w:rFonts w:asciiTheme="majorHAnsi" w:hAnsiTheme="majorHAnsi" w:cstheme="majorHAnsi"/>
        </w:rPr>
        <w:t xml:space="preserve">Labské vodní cesty </w:t>
      </w:r>
      <w:r w:rsidRPr="006070EA">
        <w:rPr>
          <w:rFonts w:asciiTheme="majorHAnsi" w:hAnsiTheme="majorHAnsi" w:cstheme="majorHAnsi"/>
        </w:rPr>
        <w:t>i jako místa pro turisty a</w:t>
      </w:r>
      <w:r w:rsidR="00537A18" w:rsidRPr="006070EA">
        <w:rPr>
          <w:rFonts w:asciiTheme="majorHAnsi" w:hAnsiTheme="majorHAnsi" w:cstheme="majorHAnsi"/>
        </w:rPr>
        <w:t> </w:t>
      </w:r>
      <w:r w:rsidRPr="006070EA">
        <w:rPr>
          <w:rFonts w:asciiTheme="majorHAnsi" w:hAnsiTheme="majorHAnsi" w:cstheme="majorHAnsi"/>
        </w:rPr>
        <w:t xml:space="preserve">návštěvníky území se zajištěním potřebné infrastruktury cestovního ruchu. </w:t>
      </w:r>
    </w:p>
    <w:p w14:paraId="5D1D0813" w14:textId="77777777" w:rsidR="00C16799" w:rsidRPr="006070EA" w:rsidRDefault="00C16799" w:rsidP="00C16799">
      <w:pPr>
        <w:pStyle w:val="ANADPIS4"/>
        <w:shd w:val="clear" w:color="auto" w:fill="auto"/>
        <w:rPr>
          <w:rFonts w:asciiTheme="majorHAnsi" w:hAnsiTheme="majorHAnsi" w:cstheme="majorHAnsi"/>
        </w:rPr>
      </w:pPr>
      <w:r w:rsidRPr="006070EA">
        <w:rPr>
          <w:rFonts w:asciiTheme="majorHAnsi" w:hAnsiTheme="majorHAnsi" w:cstheme="majorHAnsi"/>
        </w:rPr>
        <w:t>PLOCHY TECHNICKÉ INFRASTRUKTURY</w:t>
      </w:r>
    </w:p>
    <w:p w14:paraId="3DCBA2E9" w14:textId="19290FFD" w:rsidR="00C16799" w:rsidRPr="006070EA" w:rsidRDefault="00C16799" w:rsidP="00C16799">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(7</w:t>
      </w:r>
      <w:r w:rsidR="0021590A">
        <w:rPr>
          <w:rFonts w:asciiTheme="majorHAnsi" w:hAnsiTheme="majorHAnsi" w:cstheme="majorHAnsi"/>
          <w:i/>
          <w:snapToGrid w:val="0"/>
          <w:u w:val="single"/>
        </w:rPr>
        <w:t>3</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48358E99" w14:textId="2C17B17B" w:rsidR="00C16799" w:rsidRPr="006070EA" w:rsidRDefault="00C16799" w:rsidP="00C16799">
      <w:pPr>
        <w:pStyle w:val="Atext"/>
        <w:rPr>
          <w:rFonts w:asciiTheme="majorHAnsi" w:hAnsiTheme="majorHAnsi" w:cstheme="majorHAnsi"/>
        </w:rPr>
      </w:pPr>
      <w:r w:rsidRPr="006070EA">
        <w:rPr>
          <w:rFonts w:asciiTheme="majorHAnsi" w:hAnsiTheme="majorHAnsi" w:cstheme="majorHAnsi"/>
        </w:rPr>
        <w:t xml:space="preserve">V souladu s § 10 vyhlášky č. 501/2006 Sb. je vymezena následující plocha technické infrastruktury: </w:t>
      </w:r>
    </w:p>
    <w:p w14:paraId="7623D769" w14:textId="2F96C9FE" w:rsidR="00C16799" w:rsidRPr="006070EA" w:rsidRDefault="00C16799" w:rsidP="00C16799">
      <w:pPr>
        <w:pStyle w:val="Anadpistun"/>
        <w:rPr>
          <w:rFonts w:asciiTheme="majorHAnsi" w:hAnsiTheme="majorHAnsi" w:cstheme="majorHAnsi"/>
        </w:rPr>
      </w:pPr>
      <w:r w:rsidRPr="006070EA">
        <w:rPr>
          <w:rFonts w:asciiTheme="majorHAnsi" w:hAnsiTheme="majorHAnsi" w:cstheme="majorHAnsi"/>
        </w:rPr>
        <w:t xml:space="preserve">Technická infrastruktura </w:t>
      </w:r>
      <w:r w:rsidR="00AC2742" w:rsidRPr="006070EA">
        <w:rPr>
          <w:rFonts w:asciiTheme="majorHAnsi" w:hAnsiTheme="majorHAnsi" w:cstheme="majorHAnsi"/>
        </w:rPr>
        <w:t>všeobecná</w:t>
      </w:r>
      <w:r w:rsidRPr="006070EA">
        <w:rPr>
          <w:rFonts w:asciiTheme="majorHAnsi" w:hAnsiTheme="majorHAnsi" w:cstheme="majorHAnsi"/>
        </w:rPr>
        <w:t xml:space="preserve"> (T</w:t>
      </w:r>
      <w:r w:rsidR="00AC2742" w:rsidRPr="006070EA">
        <w:rPr>
          <w:rFonts w:asciiTheme="majorHAnsi" w:hAnsiTheme="majorHAnsi" w:cstheme="majorHAnsi"/>
        </w:rPr>
        <w:t>U</w:t>
      </w:r>
      <w:r w:rsidRPr="006070EA">
        <w:rPr>
          <w:rFonts w:asciiTheme="majorHAnsi" w:hAnsiTheme="majorHAnsi" w:cstheme="majorHAnsi"/>
        </w:rPr>
        <w:t>)</w:t>
      </w:r>
    </w:p>
    <w:p w14:paraId="580BC909" w14:textId="25A7B0DF" w:rsidR="00C16799" w:rsidRPr="006070EA" w:rsidRDefault="00C16799" w:rsidP="00C16799">
      <w:pPr>
        <w:pStyle w:val="Atext"/>
        <w:rPr>
          <w:rFonts w:asciiTheme="majorHAnsi" w:hAnsiTheme="majorHAnsi" w:cstheme="majorHAnsi"/>
        </w:rPr>
      </w:pPr>
      <w:r w:rsidRPr="006070EA">
        <w:rPr>
          <w:rFonts w:asciiTheme="majorHAnsi" w:hAnsiTheme="majorHAnsi" w:cstheme="majorHAnsi"/>
        </w:rPr>
        <w:t>Plochy T</w:t>
      </w:r>
      <w:r w:rsidR="00AC2742" w:rsidRPr="006070EA">
        <w:rPr>
          <w:rFonts w:asciiTheme="majorHAnsi" w:hAnsiTheme="majorHAnsi" w:cstheme="majorHAnsi"/>
        </w:rPr>
        <w:t>U</w:t>
      </w:r>
      <w:r w:rsidRPr="006070EA">
        <w:rPr>
          <w:rFonts w:asciiTheme="majorHAnsi" w:hAnsiTheme="majorHAnsi" w:cstheme="majorHAnsi"/>
        </w:rPr>
        <w:t xml:space="preserve"> zahrnují zpravidla zařízení pro </w:t>
      </w:r>
      <w:r w:rsidRPr="006070EA">
        <w:rPr>
          <w:rFonts w:asciiTheme="majorHAnsi" w:hAnsiTheme="majorHAnsi" w:cstheme="majorHAnsi"/>
          <w:szCs w:val="18"/>
        </w:rPr>
        <w:t>zásobování pitnou vodou a odvádění a čištění odpadních vod (vodojem, čistírna odpadních vod), zařízení na energetických sítí a další plochy technické infrastruktury, které nelze zahrnout do jiných ploch s rozdílným způsobem. V daném případě jsou součástí ploch T</w:t>
      </w:r>
      <w:r w:rsidR="00AC2742" w:rsidRPr="006070EA">
        <w:rPr>
          <w:rFonts w:asciiTheme="majorHAnsi" w:hAnsiTheme="majorHAnsi" w:cstheme="majorHAnsi"/>
          <w:szCs w:val="18"/>
        </w:rPr>
        <w:t>U</w:t>
      </w:r>
      <w:r w:rsidRPr="006070EA">
        <w:rPr>
          <w:rFonts w:asciiTheme="majorHAnsi" w:hAnsiTheme="majorHAnsi" w:cstheme="majorHAnsi"/>
          <w:szCs w:val="18"/>
        </w:rPr>
        <w:t xml:space="preserve"> také stavby a zařízení pro nakládání s odpady (plochy skládek, sběrných dvorů ad.), vzhledem ke skutečnosti, že tyto areály není v řešeném území účelné vyčleňovat do samostatné plochy s rozdílným způsobem využití. Důvodem vymezení ploch T</w:t>
      </w:r>
      <w:r w:rsidR="00AC2742" w:rsidRPr="006070EA">
        <w:rPr>
          <w:rFonts w:asciiTheme="majorHAnsi" w:hAnsiTheme="majorHAnsi" w:cstheme="majorHAnsi"/>
          <w:szCs w:val="18"/>
        </w:rPr>
        <w:t>U</w:t>
      </w:r>
      <w:r w:rsidRPr="006070EA">
        <w:rPr>
          <w:rFonts w:asciiTheme="majorHAnsi" w:hAnsiTheme="majorHAnsi" w:cstheme="majorHAnsi"/>
          <w:szCs w:val="18"/>
        </w:rPr>
        <w:t xml:space="preserve"> je stabilizace, ochrana a případný rozvoj systémů veřejné technické infrastruktury. </w:t>
      </w:r>
    </w:p>
    <w:p w14:paraId="572C3BB4" w14:textId="0D5F9C32" w:rsidR="00C16799" w:rsidRPr="006070EA" w:rsidRDefault="00C16799" w:rsidP="00C16799">
      <w:pPr>
        <w:pStyle w:val="Atext"/>
        <w:rPr>
          <w:rFonts w:asciiTheme="majorHAnsi" w:hAnsiTheme="majorHAnsi" w:cstheme="majorHAnsi"/>
        </w:rPr>
      </w:pPr>
      <w:r w:rsidRPr="006070EA">
        <w:rPr>
          <w:rFonts w:asciiTheme="majorHAnsi" w:hAnsiTheme="majorHAnsi" w:cstheme="majorHAnsi"/>
        </w:rPr>
        <w:t xml:space="preserve">Stanovena je areálová struktura zástavby nebo solitérní objekty z důvodu zajištění nezbytných funkčních a provozních požadavků na tato specifická zařízení. </w:t>
      </w:r>
      <w:r w:rsidR="00A40962" w:rsidRPr="006070EA">
        <w:rPr>
          <w:rFonts w:asciiTheme="majorHAnsi" w:hAnsiTheme="majorHAnsi" w:cstheme="majorHAnsi"/>
          <w:szCs w:val="18"/>
        </w:rPr>
        <w:t>Maximální výška zástavby vychází z předpokladu, že případné budovy nebudou převyšovat okolní zástavbu.</w:t>
      </w:r>
      <w:r w:rsidRPr="006070EA">
        <w:rPr>
          <w:rFonts w:asciiTheme="majorHAnsi" w:hAnsiTheme="majorHAnsi" w:cstheme="majorHAnsi"/>
          <w:szCs w:val="18"/>
        </w:rPr>
        <w:t xml:space="preserve"> </w:t>
      </w:r>
    </w:p>
    <w:p w14:paraId="36EB5784" w14:textId="77777777" w:rsidR="00A40962" w:rsidRPr="006070EA" w:rsidRDefault="00A40962" w:rsidP="00A40962">
      <w:pPr>
        <w:pStyle w:val="ANADPIS4"/>
        <w:shd w:val="clear" w:color="auto" w:fill="auto"/>
        <w:rPr>
          <w:rFonts w:asciiTheme="majorHAnsi" w:hAnsiTheme="majorHAnsi" w:cstheme="majorHAnsi"/>
        </w:rPr>
      </w:pPr>
      <w:r w:rsidRPr="006070EA">
        <w:rPr>
          <w:rFonts w:asciiTheme="majorHAnsi" w:hAnsiTheme="majorHAnsi" w:cstheme="majorHAnsi"/>
        </w:rPr>
        <w:lastRenderedPageBreak/>
        <w:t>PLOCHY VÝROBY A SKLADOVÁNÍ</w:t>
      </w:r>
    </w:p>
    <w:p w14:paraId="7D892DF4" w14:textId="6D30916E" w:rsidR="00A40962" w:rsidRPr="006070EA" w:rsidRDefault="00A40962" w:rsidP="00A40962">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(7</w:t>
      </w:r>
      <w:r w:rsidR="0021590A">
        <w:rPr>
          <w:rFonts w:asciiTheme="majorHAnsi" w:hAnsiTheme="majorHAnsi" w:cstheme="majorHAnsi"/>
          <w:i/>
          <w:snapToGrid w:val="0"/>
          <w:u w:val="single"/>
        </w:rPr>
        <w:t>4</w:t>
      </w:r>
      <w:r w:rsidRPr="006070EA">
        <w:rPr>
          <w:rFonts w:asciiTheme="majorHAnsi" w:hAnsiTheme="majorHAnsi" w:cstheme="majorHAnsi"/>
          <w:i/>
          <w:snapToGrid w:val="0"/>
          <w:u w:val="single"/>
        </w:rPr>
        <w:t xml:space="preserve">) </w:t>
      </w:r>
      <w:r w:rsidR="0021590A">
        <w:rPr>
          <w:rFonts w:asciiTheme="majorHAnsi" w:hAnsiTheme="majorHAnsi" w:cstheme="majorHAnsi"/>
          <w:i/>
          <w:snapToGrid w:val="0"/>
          <w:u w:val="single"/>
        </w:rPr>
        <w:t>a</w:t>
      </w:r>
      <w:r w:rsidRPr="006070EA">
        <w:rPr>
          <w:rFonts w:asciiTheme="majorHAnsi" w:hAnsiTheme="majorHAnsi" w:cstheme="majorHAnsi"/>
          <w:i/>
          <w:snapToGrid w:val="0"/>
          <w:u w:val="single"/>
        </w:rPr>
        <w:t xml:space="preserve"> (7</w:t>
      </w:r>
      <w:r w:rsidR="0021590A">
        <w:rPr>
          <w:rFonts w:asciiTheme="majorHAnsi" w:hAnsiTheme="majorHAnsi" w:cstheme="majorHAnsi"/>
          <w:i/>
          <w:snapToGrid w:val="0"/>
          <w:u w:val="single"/>
        </w:rPr>
        <w:t>5</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12B4E307" w14:textId="1160DB77" w:rsidR="00A40962" w:rsidRPr="006070EA" w:rsidRDefault="00A40962" w:rsidP="00A40962">
      <w:pPr>
        <w:pStyle w:val="Zkladntextodsazen3"/>
        <w:spacing w:before="60" w:after="60" w:line="240" w:lineRule="auto"/>
        <w:ind w:left="0" w:firstLine="709"/>
        <w:jc w:val="both"/>
        <w:rPr>
          <w:rFonts w:asciiTheme="majorHAnsi" w:hAnsiTheme="majorHAnsi" w:cstheme="majorHAnsi"/>
          <w:sz w:val="18"/>
          <w:szCs w:val="20"/>
        </w:rPr>
      </w:pPr>
      <w:r w:rsidRPr="006070EA">
        <w:rPr>
          <w:rFonts w:asciiTheme="majorHAnsi" w:hAnsiTheme="majorHAnsi" w:cstheme="majorHAnsi"/>
          <w:sz w:val="18"/>
          <w:szCs w:val="20"/>
        </w:rPr>
        <w:t>V souladu s § 11 vyhlášky č. 501/2006 Sb. jsou vymezeny ploch</w:t>
      </w:r>
      <w:r w:rsidR="000840B7" w:rsidRPr="006070EA">
        <w:rPr>
          <w:rFonts w:asciiTheme="majorHAnsi" w:hAnsiTheme="majorHAnsi" w:cstheme="majorHAnsi"/>
          <w:sz w:val="18"/>
          <w:szCs w:val="20"/>
        </w:rPr>
        <w:t>y</w:t>
      </w:r>
      <w:r w:rsidRPr="006070EA">
        <w:rPr>
          <w:rFonts w:asciiTheme="majorHAnsi" w:hAnsiTheme="majorHAnsi" w:cstheme="majorHAnsi"/>
          <w:sz w:val="18"/>
          <w:szCs w:val="20"/>
        </w:rPr>
        <w:t xml:space="preserve"> výroby a skladování</w:t>
      </w:r>
      <w:r w:rsidR="000840B7" w:rsidRPr="006070EA">
        <w:rPr>
          <w:rFonts w:asciiTheme="majorHAnsi" w:hAnsiTheme="majorHAnsi" w:cstheme="majorHAnsi"/>
          <w:sz w:val="18"/>
          <w:szCs w:val="20"/>
        </w:rPr>
        <w:t xml:space="preserve"> v následujícím členění</w:t>
      </w:r>
      <w:r w:rsidRPr="006070EA">
        <w:rPr>
          <w:rFonts w:asciiTheme="majorHAnsi" w:hAnsiTheme="majorHAnsi" w:cstheme="majorHAnsi"/>
          <w:sz w:val="18"/>
          <w:szCs w:val="20"/>
        </w:rPr>
        <w:t xml:space="preserve">: </w:t>
      </w:r>
    </w:p>
    <w:p w14:paraId="071E084D" w14:textId="1C0181AE" w:rsidR="00A40962" w:rsidRPr="006070EA" w:rsidRDefault="00A40962" w:rsidP="00A40962">
      <w:pPr>
        <w:pStyle w:val="Nadpis30"/>
        <w:rPr>
          <w:rFonts w:asciiTheme="majorHAnsi" w:hAnsiTheme="majorHAnsi" w:cstheme="majorHAnsi"/>
          <w:lang w:val="cs-CZ"/>
        </w:rPr>
      </w:pPr>
      <w:r w:rsidRPr="006070EA">
        <w:rPr>
          <w:rFonts w:asciiTheme="majorHAnsi" w:hAnsiTheme="majorHAnsi" w:cstheme="majorHAnsi"/>
          <w:lang w:val="cs-CZ"/>
        </w:rPr>
        <w:t xml:space="preserve">Výroba </w:t>
      </w:r>
      <w:r w:rsidR="00AC2742" w:rsidRPr="006070EA">
        <w:rPr>
          <w:rFonts w:asciiTheme="majorHAnsi" w:hAnsiTheme="majorHAnsi" w:cstheme="majorHAnsi"/>
          <w:lang w:val="cs-CZ"/>
        </w:rPr>
        <w:t>lehká</w:t>
      </w:r>
      <w:r w:rsidRPr="006070EA">
        <w:rPr>
          <w:rFonts w:asciiTheme="majorHAnsi" w:hAnsiTheme="majorHAnsi" w:cstheme="majorHAnsi"/>
          <w:lang w:val="cs-CZ"/>
        </w:rPr>
        <w:t xml:space="preserve"> (VL)</w:t>
      </w:r>
    </w:p>
    <w:p w14:paraId="2631332A" w14:textId="6B816435" w:rsidR="00A40962" w:rsidRPr="006070EA" w:rsidRDefault="00A40962" w:rsidP="00A40962">
      <w:pPr>
        <w:pStyle w:val="Atext"/>
        <w:rPr>
          <w:rFonts w:asciiTheme="majorHAnsi" w:hAnsiTheme="majorHAnsi" w:cstheme="majorHAnsi"/>
        </w:rPr>
      </w:pPr>
      <w:r w:rsidRPr="006070EA">
        <w:rPr>
          <w:rFonts w:asciiTheme="majorHAnsi" w:hAnsiTheme="majorHAnsi" w:cstheme="majorHAnsi"/>
          <w:szCs w:val="18"/>
        </w:rPr>
        <w:t xml:space="preserve">Plochy VL jsou primárně určené pro provozování ekonomických aktivit charakteru lehké výroby bez negativního vlivu na okolí </w:t>
      </w:r>
      <w:r w:rsidRPr="006070EA">
        <w:rPr>
          <w:rFonts w:asciiTheme="majorHAnsi" w:hAnsiTheme="majorHAnsi" w:cstheme="majorHAnsi"/>
        </w:rPr>
        <w:t>areálu (zejména plochy podél silnice II/331 na východním okraji Kostomlat nad Labem)</w:t>
      </w:r>
      <w:r w:rsidRPr="006070EA">
        <w:rPr>
          <w:rFonts w:asciiTheme="majorHAnsi" w:hAnsiTheme="majorHAnsi" w:cstheme="majorHAnsi"/>
          <w:szCs w:val="18"/>
        </w:rPr>
        <w:t xml:space="preserve">. Důvod jejich samostatného vymezení spočívá ve vyšších nárocích na dopravní obsluhu a v nezbytnosti vyloučit v těchto plochách z důvodu možných negativních vlivů plošné bydlení. </w:t>
      </w:r>
      <w:r w:rsidRPr="006070EA">
        <w:rPr>
          <w:rFonts w:asciiTheme="majorHAnsi" w:hAnsiTheme="majorHAnsi" w:cstheme="majorHAnsi"/>
        </w:rPr>
        <w:t>Vymezením ploch jsou stabilizovány a případně rozvíjeny stávající výrobní a skladovací areály v řešeném území. Prostorová regulace těchto ploch je volnější a umožňuje vznik kapacitnějších provozů.</w:t>
      </w:r>
    </w:p>
    <w:p w14:paraId="488486C8" w14:textId="1DF539B6" w:rsidR="00A40962" w:rsidRPr="006070EA" w:rsidRDefault="00A40962" w:rsidP="00A40962">
      <w:pPr>
        <w:pStyle w:val="Atext"/>
        <w:rPr>
          <w:rFonts w:asciiTheme="majorHAnsi" w:hAnsiTheme="majorHAnsi" w:cstheme="majorHAnsi"/>
        </w:rPr>
      </w:pPr>
      <w:r w:rsidRPr="006070EA">
        <w:rPr>
          <w:rFonts w:asciiTheme="majorHAnsi" w:hAnsiTheme="majorHAnsi" w:cstheme="majorHAnsi"/>
        </w:rPr>
        <w:t xml:space="preserve">Stanovena je areálová struktura zástavby bez výrazné regulace, a to zejména s ohledem na specifické funkční a provozní požadavky výrobních areálů. Maximální </w:t>
      </w:r>
      <w:r w:rsidR="00263C24" w:rsidRPr="006070EA">
        <w:rPr>
          <w:rFonts w:asciiTheme="majorHAnsi" w:hAnsiTheme="majorHAnsi" w:cstheme="majorHAnsi"/>
        </w:rPr>
        <w:t xml:space="preserve">výška zástavby </w:t>
      </w:r>
      <w:r w:rsidRPr="006070EA">
        <w:rPr>
          <w:rFonts w:asciiTheme="majorHAnsi" w:hAnsiTheme="majorHAnsi" w:cstheme="majorHAnsi"/>
        </w:rPr>
        <w:t xml:space="preserve">je stanovena </w:t>
      </w:r>
      <w:r w:rsidR="00263C24" w:rsidRPr="006070EA">
        <w:rPr>
          <w:rFonts w:asciiTheme="majorHAnsi" w:hAnsiTheme="majorHAnsi" w:cstheme="majorHAnsi"/>
        </w:rPr>
        <w:t xml:space="preserve">s ohledem </w:t>
      </w:r>
      <w:r w:rsidRPr="006070EA">
        <w:rPr>
          <w:rFonts w:asciiTheme="majorHAnsi" w:hAnsiTheme="majorHAnsi" w:cstheme="majorHAnsi"/>
        </w:rPr>
        <w:t>na provozní požadavky charakteru ploch VL a je také odvozena od výškové hladiny stávajících výrobních areálů. Koeficient minimálního podílu zeleně na pozemku je stanoven z důvodu zajištění příznivého zapojení areálů do krajiny a zachování minimální retenční schopnosti území – zejména pro účely hospodaření s dešťovou vodou na pozemku (v souvislosti s obvyklým vyšším podílem zpevněných ploch – typicky kapacitní parkoviště a manipulační plochy) a případně rozvoje prvků modrozelené infrastruktury.</w:t>
      </w:r>
    </w:p>
    <w:p w14:paraId="407640E9" w14:textId="6930BBC7" w:rsidR="00A40962" w:rsidRPr="006070EA" w:rsidRDefault="00A40962" w:rsidP="00A40962">
      <w:pPr>
        <w:pStyle w:val="Nadpis30"/>
        <w:rPr>
          <w:rFonts w:asciiTheme="majorHAnsi" w:hAnsiTheme="majorHAnsi" w:cstheme="majorHAnsi"/>
        </w:rPr>
      </w:pPr>
      <w:r w:rsidRPr="006070EA">
        <w:rPr>
          <w:rFonts w:asciiTheme="majorHAnsi" w:hAnsiTheme="majorHAnsi" w:cstheme="majorHAnsi"/>
        </w:rPr>
        <w:t xml:space="preserve">Výroba zemědělská </w:t>
      </w:r>
      <w:r w:rsidR="00AC2742" w:rsidRPr="006070EA">
        <w:rPr>
          <w:rFonts w:asciiTheme="majorHAnsi" w:hAnsiTheme="majorHAnsi" w:cstheme="majorHAnsi"/>
          <w:lang w:val="cs-CZ"/>
        </w:rPr>
        <w:t xml:space="preserve">a lesnická </w:t>
      </w:r>
      <w:r w:rsidRPr="006070EA">
        <w:rPr>
          <w:rFonts w:asciiTheme="majorHAnsi" w:hAnsiTheme="majorHAnsi" w:cstheme="majorHAnsi"/>
        </w:rPr>
        <w:t>(VZ)</w:t>
      </w:r>
    </w:p>
    <w:p w14:paraId="13A4FB6C" w14:textId="325CB09A" w:rsidR="00A40962" w:rsidRPr="006070EA" w:rsidRDefault="00A40962" w:rsidP="00A40962">
      <w:pPr>
        <w:pStyle w:val="Atext"/>
        <w:rPr>
          <w:rFonts w:asciiTheme="majorHAnsi" w:hAnsiTheme="majorHAnsi" w:cstheme="majorHAnsi"/>
        </w:rPr>
      </w:pPr>
      <w:r w:rsidRPr="006070EA">
        <w:rPr>
          <w:rFonts w:asciiTheme="majorHAnsi" w:hAnsiTheme="majorHAnsi" w:cstheme="majorHAnsi"/>
        </w:rPr>
        <w:t>Jedná se o plochy primárně určené pro provozování ekonomických aktivit zemědělského charakteru. Důvod jejich samostatného vymezení spočívá ve vyšších nárocích na dopravní obsluhu (při větší rozloze) a v nezbytnosti vyloučit v těchto plochách z důvodu možných negativních vlivů plošné bydlení. Plochy zahrnují stabilizované areály zemědělské činnosti ve venkovský</w:t>
      </w:r>
      <w:r w:rsidR="00152F70" w:rsidRPr="006070EA">
        <w:rPr>
          <w:rFonts w:asciiTheme="majorHAnsi" w:hAnsiTheme="majorHAnsi" w:cstheme="majorHAnsi"/>
        </w:rPr>
        <w:t>ch sídlech řešeného území.</w:t>
      </w:r>
    </w:p>
    <w:p w14:paraId="3B4E0A5E" w14:textId="7779FDBA" w:rsidR="00A40962" w:rsidRPr="006070EA" w:rsidRDefault="00A40962" w:rsidP="00A40962">
      <w:pPr>
        <w:pStyle w:val="Atext"/>
        <w:rPr>
          <w:rFonts w:asciiTheme="majorHAnsi" w:hAnsiTheme="majorHAnsi" w:cstheme="majorHAnsi"/>
        </w:rPr>
      </w:pPr>
      <w:r w:rsidRPr="006070EA">
        <w:rPr>
          <w:rFonts w:asciiTheme="majorHAnsi" w:hAnsiTheme="majorHAnsi" w:cstheme="majorHAnsi"/>
        </w:rPr>
        <w:t>Stanovena je areálová struktura zástavby bez výrazné regulace, a to zejména s ohledem na specifické funkční a</w:t>
      </w:r>
      <w:r w:rsidR="00152F70" w:rsidRPr="006070EA">
        <w:rPr>
          <w:rFonts w:asciiTheme="majorHAnsi" w:hAnsiTheme="majorHAnsi" w:cstheme="majorHAnsi"/>
        </w:rPr>
        <w:t> </w:t>
      </w:r>
      <w:r w:rsidRPr="006070EA">
        <w:rPr>
          <w:rFonts w:asciiTheme="majorHAnsi" w:hAnsiTheme="majorHAnsi" w:cstheme="majorHAnsi"/>
        </w:rPr>
        <w:t xml:space="preserve">provozní požadavky výrobních areálů. </w:t>
      </w:r>
      <w:r w:rsidR="00263C24" w:rsidRPr="006070EA">
        <w:rPr>
          <w:rFonts w:asciiTheme="majorHAnsi" w:hAnsiTheme="majorHAnsi" w:cstheme="majorHAnsi"/>
        </w:rPr>
        <w:t>Maximální výška zástavby je stanovena s ohledem na provozní požadavky ploch charakteru VZ a je také odvozena od obvyklých výšek zemědělských výrobních areálů venkovského charakteru. Koeficient minimálního podílu zeleně na pozemku je stanoven z důvodu zajištění příznivého zapojení areálů do krajiny a zachování minimální retenční schopnosti území – zejména pro účely hospodaření s dešťovou vodou na pozemku (v souvislosti s obvyklým vyšším podílem zpevněných ploch – typicky kapacitní parkoviště a manipulační plochy) a případně rozvoje prvků modrozelené infrastruktury.</w:t>
      </w:r>
    </w:p>
    <w:p w14:paraId="5AD4446E" w14:textId="77777777" w:rsidR="00552020" w:rsidRPr="006070EA" w:rsidRDefault="00552020" w:rsidP="00DB1DE7">
      <w:pPr>
        <w:pStyle w:val="ANADPIS4"/>
        <w:shd w:val="clear" w:color="auto" w:fill="auto"/>
        <w:rPr>
          <w:rFonts w:asciiTheme="majorHAnsi" w:hAnsiTheme="majorHAnsi" w:cstheme="majorHAnsi"/>
        </w:rPr>
      </w:pPr>
      <w:r w:rsidRPr="006070EA">
        <w:rPr>
          <w:rFonts w:asciiTheme="majorHAnsi" w:hAnsiTheme="majorHAnsi" w:cstheme="majorHAnsi"/>
        </w:rPr>
        <w:t>PLOCHY VODNÍ A VODOHOSPODÁŘSKÉ</w:t>
      </w:r>
    </w:p>
    <w:p w14:paraId="1C520C6D" w14:textId="1AE71C01" w:rsidR="00552020" w:rsidRPr="006070EA" w:rsidRDefault="00552020" w:rsidP="00552020">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w:t>
      </w:r>
      <w:r w:rsidR="00AC2742" w:rsidRPr="006070EA">
        <w:rPr>
          <w:rFonts w:asciiTheme="majorHAnsi" w:hAnsiTheme="majorHAnsi" w:cstheme="majorHAnsi"/>
          <w:i/>
          <w:snapToGrid w:val="0"/>
          <w:u w:val="single"/>
        </w:rPr>
        <w:t>7</w:t>
      </w:r>
      <w:r w:rsidR="0021590A">
        <w:rPr>
          <w:rFonts w:asciiTheme="majorHAnsi" w:hAnsiTheme="majorHAnsi" w:cstheme="majorHAnsi"/>
          <w:i/>
          <w:snapToGrid w:val="0"/>
          <w:u w:val="single"/>
        </w:rPr>
        <w:t>6</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12B36A9F" w14:textId="156EEEFB"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V souladu s § 13 vyhlášky č. 501/2006 Sb. je vymezen následující typ plochy:</w:t>
      </w:r>
    </w:p>
    <w:p w14:paraId="080E1202" w14:textId="294E474F" w:rsidR="00552020" w:rsidRPr="006070EA" w:rsidRDefault="00AC2742" w:rsidP="00552020">
      <w:pPr>
        <w:pStyle w:val="Anadpistun"/>
        <w:rPr>
          <w:rFonts w:asciiTheme="majorHAnsi" w:hAnsiTheme="majorHAnsi" w:cstheme="majorHAnsi"/>
        </w:rPr>
      </w:pPr>
      <w:r w:rsidRPr="006070EA">
        <w:rPr>
          <w:rFonts w:asciiTheme="majorHAnsi" w:hAnsiTheme="majorHAnsi" w:cstheme="majorHAnsi"/>
        </w:rPr>
        <w:t>V</w:t>
      </w:r>
      <w:r w:rsidR="00552020" w:rsidRPr="006070EA">
        <w:rPr>
          <w:rFonts w:asciiTheme="majorHAnsi" w:hAnsiTheme="majorHAnsi" w:cstheme="majorHAnsi"/>
        </w:rPr>
        <w:t xml:space="preserve">odní a vodohospodářské </w:t>
      </w:r>
      <w:r w:rsidRPr="006070EA">
        <w:rPr>
          <w:rFonts w:asciiTheme="majorHAnsi" w:hAnsiTheme="majorHAnsi" w:cstheme="majorHAnsi"/>
        </w:rPr>
        <w:t xml:space="preserve">všeobecné </w:t>
      </w:r>
      <w:r w:rsidR="00552020" w:rsidRPr="006070EA">
        <w:rPr>
          <w:rFonts w:asciiTheme="majorHAnsi" w:hAnsiTheme="majorHAnsi" w:cstheme="majorHAnsi"/>
        </w:rPr>
        <w:t>(W</w:t>
      </w:r>
      <w:r w:rsidRPr="006070EA">
        <w:rPr>
          <w:rFonts w:asciiTheme="majorHAnsi" w:hAnsiTheme="majorHAnsi" w:cstheme="majorHAnsi"/>
        </w:rPr>
        <w:t>U</w:t>
      </w:r>
      <w:r w:rsidR="00552020" w:rsidRPr="006070EA">
        <w:rPr>
          <w:rFonts w:asciiTheme="majorHAnsi" w:hAnsiTheme="majorHAnsi" w:cstheme="majorHAnsi"/>
        </w:rPr>
        <w:t>)</w:t>
      </w:r>
    </w:p>
    <w:p w14:paraId="1ED58BB4" w14:textId="3B126D4D"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Plochy </w:t>
      </w:r>
      <w:r w:rsidR="00DB1DE7" w:rsidRPr="006070EA">
        <w:rPr>
          <w:rFonts w:asciiTheme="majorHAnsi" w:hAnsiTheme="majorHAnsi" w:cstheme="majorHAnsi"/>
        </w:rPr>
        <w:t>W</w:t>
      </w:r>
      <w:r w:rsidR="00AC2742" w:rsidRPr="006070EA">
        <w:rPr>
          <w:rFonts w:asciiTheme="majorHAnsi" w:hAnsiTheme="majorHAnsi" w:cstheme="majorHAnsi"/>
        </w:rPr>
        <w:t>U</w:t>
      </w:r>
      <w:r w:rsidR="00DB1DE7" w:rsidRPr="006070EA">
        <w:rPr>
          <w:rFonts w:asciiTheme="majorHAnsi" w:hAnsiTheme="majorHAnsi" w:cstheme="majorHAnsi"/>
        </w:rPr>
        <w:t xml:space="preserve"> </w:t>
      </w:r>
      <w:r w:rsidRPr="006070EA">
        <w:rPr>
          <w:rFonts w:asciiTheme="majorHAnsi" w:hAnsiTheme="majorHAnsi" w:cstheme="majorHAnsi"/>
        </w:rPr>
        <w:t xml:space="preserve">zahrnují vodní toky a plochy v zastavěném i nezastavěném území (potoky, rybníky a vodní nádrže), pozemky staveb a zařízení vodního hospodářství. Jejich funkce je především ekologicko – stabilizační, ochranná a estetická; vymezením ploch jsou tyto funkce potvrzeny a vytvořeny jsou tak podmínky pro jejich ochranu, obnovu a rozvoj ve vazbě na zákon č. 254/2001 Sb. o vodách a o změně některých zákonů (vodní zákon) a jeho prováděcích předpisů. </w:t>
      </w:r>
    </w:p>
    <w:p w14:paraId="015D3BFB" w14:textId="6F5A8916" w:rsidR="00552020" w:rsidRPr="006070EA" w:rsidRDefault="00552020" w:rsidP="00552020">
      <w:pPr>
        <w:pStyle w:val="Atext"/>
        <w:rPr>
          <w:rFonts w:asciiTheme="majorHAnsi" w:hAnsiTheme="majorHAnsi" w:cstheme="majorHAnsi"/>
          <w:szCs w:val="18"/>
        </w:rPr>
      </w:pPr>
      <w:r w:rsidRPr="006070EA">
        <w:rPr>
          <w:rFonts w:asciiTheme="majorHAnsi" w:hAnsiTheme="majorHAnsi" w:cstheme="majorHAnsi"/>
          <w:szCs w:val="18"/>
        </w:rPr>
        <w:t>Možnosti umisťování staveb dle § 18 odst. 5 stavebního zákona jsou upřesněny, resp. omezeny z důvodu ochrany krajinného rázu a ochrany nezastavěného území. Stavby, zařízení a jiná opatření, které zlepší podmínky využití nezastavěného území pro účely rekreace a cestovního ruchu lze umístit za podmínky, že negativním způsobem neovlivní vodohospodářské a</w:t>
      </w:r>
      <w:r w:rsidR="00521642" w:rsidRPr="006070EA">
        <w:rPr>
          <w:rFonts w:asciiTheme="majorHAnsi" w:hAnsiTheme="majorHAnsi" w:cstheme="majorHAnsi"/>
          <w:szCs w:val="18"/>
        </w:rPr>
        <w:t> </w:t>
      </w:r>
      <w:r w:rsidRPr="006070EA">
        <w:rPr>
          <w:rFonts w:asciiTheme="majorHAnsi" w:hAnsiTheme="majorHAnsi" w:cstheme="majorHAnsi"/>
          <w:szCs w:val="18"/>
        </w:rPr>
        <w:t xml:space="preserve">ekologické funkce vodních prvků, jejichž ochrana je ve veřejném zájmu. Těžba nerostů je zcela vyloučena z důvodu ochrany krajinného rázu ve veřejném zájmu. </w:t>
      </w:r>
    </w:p>
    <w:p w14:paraId="70D2B983" w14:textId="7F49F52B" w:rsidR="00552020" w:rsidRDefault="00552020" w:rsidP="00552020">
      <w:pPr>
        <w:pStyle w:val="Atext"/>
        <w:rPr>
          <w:rFonts w:asciiTheme="majorHAnsi" w:hAnsiTheme="majorHAnsi" w:cstheme="majorHAnsi"/>
        </w:rPr>
      </w:pPr>
      <w:r w:rsidRPr="006070EA">
        <w:rPr>
          <w:rFonts w:asciiTheme="majorHAnsi" w:hAnsiTheme="majorHAnsi" w:cstheme="majorHAnsi"/>
        </w:rPr>
        <w:t xml:space="preserve">V případě povolování staveb dle § 18 odst. 5 stavebního zákona je stanovena maximální výška staveb a maximální velikost zastavěné plochy objektu, která je nižší než v ostatních plochách nezastavěného území z důvodu vyšší ochrany vodních prvků a souvisejících břehových porostů a údolních niv. Důvodem prostorové regulace je zejména ochrana ploch přímo souvisejících s vodními prvky a zajištění jejich převažující ekologické funkce. </w:t>
      </w:r>
    </w:p>
    <w:p w14:paraId="5F23D2AC" w14:textId="77777777" w:rsidR="00552020" w:rsidRPr="006070EA" w:rsidRDefault="00552020" w:rsidP="00DB1DE7">
      <w:pPr>
        <w:pStyle w:val="ANADPIS4"/>
        <w:shd w:val="clear" w:color="auto" w:fill="auto"/>
        <w:rPr>
          <w:rFonts w:asciiTheme="majorHAnsi" w:hAnsiTheme="majorHAnsi" w:cstheme="majorHAnsi"/>
        </w:rPr>
      </w:pPr>
      <w:r w:rsidRPr="006070EA">
        <w:rPr>
          <w:rFonts w:asciiTheme="majorHAnsi" w:hAnsiTheme="majorHAnsi" w:cstheme="majorHAnsi"/>
        </w:rPr>
        <w:t>PLOCHY ZEMĚDĚLSKÉ</w:t>
      </w:r>
    </w:p>
    <w:p w14:paraId="7C55EE11" w14:textId="7BEF4699" w:rsidR="00552020" w:rsidRPr="006070EA" w:rsidRDefault="00552020" w:rsidP="00DB1DE7">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w:t>
      </w:r>
      <w:r w:rsidR="00AC2742" w:rsidRPr="006070EA">
        <w:rPr>
          <w:rFonts w:asciiTheme="majorHAnsi" w:hAnsiTheme="majorHAnsi" w:cstheme="majorHAnsi"/>
          <w:i/>
          <w:snapToGrid w:val="0"/>
          <w:u w:val="single"/>
        </w:rPr>
        <w:t>7</w:t>
      </w:r>
      <w:r w:rsidR="0021590A">
        <w:rPr>
          <w:rFonts w:asciiTheme="majorHAnsi" w:hAnsiTheme="majorHAnsi" w:cstheme="majorHAnsi"/>
          <w:i/>
          <w:snapToGrid w:val="0"/>
          <w:u w:val="single"/>
        </w:rPr>
        <w:t>7</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079AFD5D" w14:textId="534F6D47"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V souladu s § 14 vyhlášky č. 501/2006 Sb. je vymezen následující typ plochy:</w:t>
      </w:r>
    </w:p>
    <w:p w14:paraId="5FF67D93" w14:textId="082FD4EB" w:rsidR="00552020" w:rsidRPr="006070EA" w:rsidRDefault="00AC2742" w:rsidP="00552020">
      <w:pPr>
        <w:pStyle w:val="Anadpistun"/>
        <w:rPr>
          <w:rFonts w:asciiTheme="majorHAnsi" w:hAnsiTheme="majorHAnsi" w:cstheme="majorHAnsi"/>
        </w:rPr>
      </w:pPr>
      <w:r w:rsidRPr="006070EA">
        <w:rPr>
          <w:rFonts w:asciiTheme="majorHAnsi" w:hAnsiTheme="majorHAnsi" w:cstheme="majorHAnsi"/>
        </w:rPr>
        <w:t>Z</w:t>
      </w:r>
      <w:r w:rsidR="00552020" w:rsidRPr="006070EA">
        <w:rPr>
          <w:rFonts w:asciiTheme="majorHAnsi" w:hAnsiTheme="majorHAnsi" w:cstheme="majorHAnsi"/>
        </w:rPr>
        <w:t xml:space="preserve">emědělské </w:t>
      </w:r>
      <w:r w:rsidRPr="006070EA">
        <w:rPr>
          <w:rFonts w:asciiTheme="majorHAnsi" w:hAnsiTheme="majorHAnsi" w:cstheme="majorHAnsi"/>
        </w:rPr>
        <w:t xml:space="preserve">všeobecné </w:t>
      </w:r>
      <w:r w:rsidR="00552020" w:rsidRPr="006070EA">
        <w:rPr>
          <w:rFonts w:asciiTheme="majorHAnsi" w:hAnsiTheme="majorHAnsi" w:cstheme="majorHAnsi"/>
        </w:rPr>
        <w:t>(</w:t>
      </w:r>
      <w:r w:rsidRPr="006070EA">
        <w:rPr>
          <w:rFonts w:asciiTheme="majorHAnsi" w:hAnsiTheme="majorHAnsi" w:cstheme="majorHAnsi"/>
        </w:rPr>
        <w:t>AU</w:t>
      </w:r>
      <w:r w:rsidR="00552020" w:rsidRPr="006070EA">
        <w:rPr>
          <w:rFonts w:asciiTheme="majorHAnsi" w:hAnsiTheme="majorHAnsi" w:cstheme="majorHAnsi"/>
        </w:rPr>
        <w:t>)</w:t>
      </w:r>
    </w:p>
    <w:p w14:paraId="0E3C515D" w14:textId="5418FB20"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Plochy </w:t>
      </w:r>
      <w:r w:rsidR="00AC2742" w:rsidRPr="006070EA">
        <w:rPr>
          <w:rFonts w:asciiTheme="majorHAnsi" w:hAnsiTheme="majorHAnsi" w:cstheme="majorHAnsi"/>
        </w:rPr>
        <w:t>AU</w:t>
      </w:r>
      <w:r w:rsidRPr="006070EA">
        <w:rPr>
          <w:rFonts w:asciiTheme="majorHAnsi" w:hAnsiTheme="majorHAnsi" w:cstheme="majorHAnsi"/>
        </w:rPr>
        <w:t xml:space="preserve"> představují plochy s převažujícím využitím pro zemědělskou produkci, zahrnují zejména pozemky zemědělského půdního fondu (ZPF) v rozsahu intenzivně využívaných pozemků pro zemědělskou produkci - zejména je tvoří orná půda, trvalé travní porosty a související pozemky včetně zemědělských účelových komunikací, pozemky staveb a zařízení </w:t>
      </w:r>
      <w:r w:rsidRPr="006070EA">
        <w:rPr>
          <w:rFonts w:asciiTheme="majorHAnsi" w:hAnsiTheme="majorHAnsi" w:cstheme="majorHAnsi"/>
        </w:rPr>
        <w:lastRenderedPageBreak/>
        <w:t xml:space="preserve">zemědělského hospodářství účelové komunikace, drobná krajinná zeleň, vodní prvky atd. Ochrana zemědělské půdy je stanovena na podkladě zákona o ochraně zemědělského půdního fondu č. 334/1992 Sb. včetně prováděcích předpisů. </w:t>
      </w:r>
    </w:p>
    <w:p w14:paraId="3B0A11E9" w14:textId="0DB7B6A4" w:rsidR="00552020" w:rsidRPr="006070EA" w:rsidRDefault="00552020" w:rsidP="00552020">
      <w:pPr>
        <w:pStyle w:val="Atext"/>
        <w:rPr>
          <w:rFonts w:asciiTheme="majorHAnsi" w:hAnsiTheme="majorHAnsi" w:cstheme="majorHAnsi"/>
          <w:szCs w:val="18"/>
        </w:rPr>
      </w:pPr>
      <w:r w:rsidRPr="006070EA">
        <w:rPr>
          <w:rFonts w:asciiTheme="majorHAnsi" w:hAnsiTheme="majorHAnsi" w:cstheme="majorHAnsi"/>
          <w:szCs w:val="18"/>
        </w:rPr>
        <w:t>Možnosti umisťování staveb dle § 18 odst. 5 stavebního zákona jsou upřesněny</w:t>
      </w:r>
      <w:r w:rsidR="00521642" w:rsidRPr="006070EA">
        <w:rPr>
          <w:rFonts w:asciiTheme="majorHAnsi" w:hAnsiTheme="majorHAnsi" w:cstheme="majorHAnsi"/>
          <w:szCs w:val="18"/>
        </w:rPr>
        <w:t>,</w:t>
      </w:r>
      <w:r w:rsidRPr="006070EA">
        <w:rPr>
          <w:rFonts w:asciiTheme="majorHAnsi" w:hAnsiTheme="majorHAnsi" w:cstheme="majorHAnsi"/>
          <w:szCs w:val="18"/>
        </w:rPr>
        <w:t xml:space="preserve"> resp. omezeny z důvodu ochrany krajinného rázu a ochrany nezastavěného území. Stavby, zařízení a jiná opatření pro zemědělství a lesnictví lze v nezastavěném území umístit za podmínek, že nebudou vytvářet nároky na dopravní a technickou infrastrukturu a bude prokázána jejich vazba na přilehlé pozemky, tedy potvrzena nezbytnost umístění stavby pro konkrétní hospodaření. Těžba nerostů je zcela vyloučena z důvodu ochrany krajinného rázu ve veřejném zájmu. </w:t>
      </w:r>
    </w:p>
    <w:p w14:paraId="0C5DE92C" w14:textId="5BE66654" w:rsidR="00552020" w:rsidRDefault="00552020" w:rsidP="00552020">
      <w:pPr>
        <w:pStyle w:val="Atext"/>
        <w:rPr>
          <w:rFonts w:asciiTheme="majorHAnsi" w:hAnsiTheme="majorHAnsi" w:cstheme="majorHAnsi"/>
          <w:szCs w:val="18"/>
        </w:rPr>
      </w:pPr>
      <w:r w:rsidRPr="006070EA">
        <w:rPr>
          <w:rFonts w:asciiTheme="majorHAnsi" w:hAnsiTheme="majorHAnsi" w:cstheme="majorHAnsi"/>
        </w:rPr>
        <w:t>V případě povolování staveb dle § 18 odst. 5 stavebního zákona je stanovena maximální výška staveb a maximální velikost zastavěné plochy stavby zejména z důvodů zachování a rozvoje zemědělského využívání krajiny a umožnění nezbytných staveb pro hospodaření v krajině (např. seníky, přístřešky pro dobytek, sušárny apod.). Důvodem prostorové regulace je zejména ochrana krajinného rázu a omezení prostorových parametrů staveb, aby nedošlo k narušení volné krajiny umístěním nevhodné, pohledově exponované stavby, ale zároveň jsou podmínky nastaveny v dostatečném rozsahu pro zajišťování zemědělské produkce. P</w:t>
      </w:r>
      <w:r w:rsidRPr="006070EA">
        <w:rPr>
          <w:rFonts w:asciiTheme="majorHAnsi" w:hAnsiTheme="majorHAnsi" w:cstheme="majorHAnsi"/>
          <w:szCs w:val="18"/>
        </w:rPr>
        <w:t xml:space="preserve">řípadné stavby by neměly převyšovat vzrostlou vegetaci krajinné zeleně a z hlediska měřítka a hmoty nenarušovat měřítko volné krajiny a krajinné horizonty v dálkových pohledech. </w:t>
      </w:r>
    </w:p>
    <w:p w14:paraId="6F480C18" w14:textId="4242ED10" w:rsidR="00D04899" w:rsidRPr="006070EA" w:rsidRDefault="00D04899" w:rsidP="00D04899">
      <w:pPr>
        <w:pStyle w:val="Atext"/>
        <w:rPr>
          <w:rFonts w:asciiTheme="majorHAnsi" w:hAnsiTheme="majorHAnsi" w:cstheme="majorHAnsi"/>
        </w:rPr>
      </w:pPr>
      <w:r w:rsidRPr="00A76411">
        <w:rPr>
          <w:rFonts w:asciiTheme="majorHAnsi" w:hAnsiTheme="majorHAnsi" w:cstheme="majorHAnsi"/>
        </w:rPr>
        <w:t xml:space="preserve">V rámci ploch AU je obdobně jako </w:t>
      </w:r>
      <w:r w:rsidR="00831223" w:rsidRPr="00A76411">
        <w:rPr>
          <w:rFonts w:asciiTheme="majorHAnsi" w:hAnsiTheme="majorHAnsi" w:cstheme="majorHAnsi"/>
        </w:rPr>
        <w:t xml:space="preserve">v plochách MU.zp, které spolu s plochami AU spoluutváří převážnou část </w:t>
      </w:r>
      <w:r w:rsidRPr="00A76411">
        <w:rPr>
          <w:rFonts w:asciiTheme="majorHAnsi" w:hAnsiTheme="majorHAnsi" w:cstheme="majorHAnsi"/>
        </w:rPr>
        <w:t xml:space="preserve">volné </w:t>
      </w:r>
      <w:r w:rsidR="00831223" w:rsidRPr="00A76411">
        <w:rPr>
          <w:rFonts w:asciiTheme="majorHAnsi" w:hAnsiTheme="majorHAnsi" w:cstheme="majorHAnsi"/>
        </w:rPr>
        <w:t>krajiny</w:t>
      </w:r>
      <w:r w:rsidRPr="00A76411">
        <w:rPr>
          <w:rFonts w:asciiTheme="majorHAnsi" w:hAnsiTheme="majorHAnsi" w:cstheme="majorHAnsi"/>
        </w:rPr>
        <w:t>, vyloučeno umisťovat výrobny energie z</w:t>
      </w:r>
      <w:r w:rsidR="00831223" w:rsidRPr="00A76411">
        <w:rPr>
          <w:rFonts w:asciiTheme="majorHAnsi" w:hAnsiTheme="majorHAnsi" w:cstheme="majorHAnsi"/>
        </w:rPr>
        <w:t>e slunečního záření (fotovoltaické elektrárny, FVE)</w:t>
      </w:r>
      <w:r w:rsidRPr="00A76411">
        <w:rPr>
          <w:rFonts w:asciiTheme="majorHAnsi" w:hAnsiTheme="majorHAnsi" w:cstheme="majorHAnsi"/>
        </w:rPr>
        <w:t xml:space="preserve"> z důvodu veřejného zájmu na ochraně přírodních a krajinných hodnot území, které jsou klíčové pro zachování kvalitního životního prostředí, posílení krajinného rázu a přírodních hodnot (zejména krajinářsky cenné lokality, volné zemědělské pozemky) a rovněž pro možný rozvoj cestovního ruchu a rekreace. S ohledem na charakter celého území je umisťování výroben energie z</w:t>
      </w:r>
      <w:r w:rsidR="00831223" w:rsidRPr="00A76411">
        <w:rPr>
          <w:rFonts w:asciiTheme="majorHAnsi" w:hAnsiTheme="majorHAnsi" w:cstheme="majorHAnsi"/>
        </w:rPr>
        <w:t xml:space="preserve"> FVE </w:t>
      </w:r>
      <w:r w:rsidRPr="00A76411">
        <w:rPr>
          <w:rFonts w:asciiTheme="majorHAnsi" w:hAnsiTheme="majorHAnsi" w:cstheme="majorHAnsi"/>
        </w:rPr>
        <w:t>vyloučeno ve volné krajině bez předchozího prověření (např. v rámci změny územního plánu), a to přesto, že výroba energie z obnovitelných zdrojů je rovněž ve veřejném zájmu. Ochrana krajinného rázu, přírodních hodnot a s tím související možnost využití rekreačního potenciálu území jsou rovněž ve veřejném zájmu, který je spatřován zejména v rámci zajištění ochrany přírodně a krajinářsky významných území. Případný rozvoj výroben energie z obnovitelných zdrojů je tedy nutné směřovat především do ploch urbanizovaného území (zastavěné území a zastavitelné plochy), v </w:t>
      </w:r>
      <w:proofErr w:type="gramStart"/>
      <w:r w:rsidRPr="00A76411">
        <w:rPr>
          <w:rFonts w:asciiTheme="majorHAnsi" w:hAnsiTheme="majorHAnsi" w:cstheme="majorHAnsi"/>
        </w:rPr>
        <w:t>rámci</w:t>
      </w:r>
      <w:proofErr w:type="gramEnd"/>
      <w:r w:rsidRPr="00A76411">
        <w:rPr>
          <w:rFonts w:asciiTheme="majorHAnsi" w:hAnsiTheme="majorHAnsi" w:cstheme="majorHAnsi"/>
        </w:rPr>
        <w:t xml:space="preserve"> kterých jsou jejich realizace a provoz umožněny za podmínky, že se jedná o technická zařízení staveb. </w:t>
      </w:r>
      <w:r w:rsidR="00831223" w:rsidRPr="00A76411">
        <w:rPr>
          <w:rFonts w:asciiTheme="majorHAnsi" w:hAnsiTheme="majorHAnsi" w:cstheme="majorHAnsi"/>
        </w:rPr>
        <w:t>Na plochách pro zemědělství se omezuje velikost výrobny elektřiny s instalovaným výkonem nad 50 kW z důvodu zamezení vzniku velkých FVE parků, které by narušily krajinný ráz a ovlivnily hlavní způsob využití, kterým je zemědělská výroba a pozemky ZPF. Splnění požadavků § 19 odst. 1 písm. j) zákona č. 183/2006 Sb., tj. požadavek na vymezování ploch pro výrobny z obnovitelných zdrojů, je zajištěno tak, že umístění těchto staveb umožňují ostatní plochy s rozdílným způsobem využití.</w:t>
      </w:r>
    </w:p>
    <w:p w14:paraId="09C6E214" w14:textId="77777777" w:rsidR="00552020" w:rsidRPr="006070EA" w:rsidRDefault="00552020" w:rsidP="00521642">
      <w:pPr>
        <w:pStyle w:val="ANADPIS4"/>
        <w:shd w:val="clear" w:color="auto" w:fill="auto"/>
        <w:rPr>
          <w:rFonts w:asciiTheme="majorHAnsi" w:hAnsiTheme="majorHAnsi" w:cstheme="majorHAnsi"/>
        </w:rPr>
      </w:pPr>
      <w:r w:rsidRPr="006070EA">
        <w:rPr>
          <w:rFonts w:asciiTheme="majorHAnsi" w:hAnsiTheme="majorHAnsi" w:cstheme="majorHAnsi"/>
        </w:rPr>
        <w:t>PLOCHY LESNÍ</w:t>
      </w:r>
    </w:p>
    <w:p w14:paraId="2DDBC95F" w14:textId="7D453081" w:rsidR="00552020" w:rsidRPr="006070EA" w:rsidRDefault="00552020" w:rsidP="00552020">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w:t>
      </w:r>
      <w:r w:rsidR="0021590A">
        <w:rPr>
          <w:rFonts w:asciiTheme="majorHAnsi" w:hAnsiTheme="majorHAnsi" w:cstheme="majorHAnsi"/>
          <w:i/>
          <w:snapToGrid w:val="0"/>
          <w:u w:val="single"/>
        </w:rPr>
        <w:t>7</w:t>
      </w:r>
      <w:r w:rsidR="00AC2742" w:rsidRPr="006070EA">
        <w:rPr>
          <w:rFonts w:asciiTheme="majorHAnsi" w:hAnsiTheme="majorHAnsi" w:cstheme="majorHAnsi"/>
          <w:i/>
          <w:snapToGrid w:val="0"/>
          <w:u w:val="single"/>
        </w:rPr>
        <w:t>8</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63C90C83" w14:textId="30F0798F"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V souladu s § 15 vyhlášky č. 501/2006 Sb. je vymezen následující typ plochy:</w:t>
      </w:r>
    </w:p>
    <w:p w14:paraId="32F1F6FA" w14:textId="509771F3" w:rsidR="00552020" w:rsidRPr="006070EA" w:rsidRDefault="00AC2742" w:rsidP="00552020">
      <w:pPr>
        <w:pStyle w:val="Anadpistun"/>
        <w:rPr>
          <w:rFonts w:asciiTheme="majorHAnsi" w:hAnsiTheme="majorHAnsi" w:cstheme="majorHAnsi"/>
        </w:rPr>
      </w:pPr>
      <w:r w:rsidRPr="006070EA">
        <w:rPr>
          <w:rFonts w:asciiTheme="majorHAnsi" w:hAnsiTheme="majorHAnsi" w:cstheme="majorHAnsi"/>
        </w:rPr>
        <w:t>L</w:t>
      </w:r>
      <w:r w:rsidR="00552020" w:rsidRPr="006070EA">
        <w:rPr>
          <w:rFonts w:asciiTheme="majorHAnsi" w:hAnsiTheme="majorHAnsi" w:cstheme="majorHAnsi"/>
        </w:rPr>
        <w:t xml:space="preserve">esní </w:t>
      </w:r>
      <w:r w:rsidRPr="006070EA">
        <w:rPr>
          <w:rFonts w:asciiTheme="majorHAnsi" w:hAnsiTheme="majorHAnsi" w:cstheme="majorHAnsi"/>
        </w:rPr>
        <w:t xml:space="preserve">všeobecné </w:t>
      </w:r>
      <w:r w:rsidR="00552020" w:rsidRPr="006070EA">
        <w:rPr>
          <w:rFonts w:asciiTheme="majorHAnsi" w:hAnsiTheme="majorHAnsi" w:cstheme="majorHAnsi"/>
        </w:rPr>
        <w:t>(</w:t>
      </w:r>
      <w:r w:rsidRPr="006070EA">
        <w:rPr>
          <w:rFonts w:asciiTheme="majorHAnsi" w:hAnsiTheme="majorHAnsi" w:cstheme="majorHAnsi"/>
        </w:rPr>
        <w:t>LU</w:t>
      </w:r>
      <w:r w:rsidR="00552020" w:rsidRPr="006070EA">
        <w:rPr>
          <w:rFonts w:asciiTheme="majorHAnsi" w:hAnsiTheme="majorHAnsi" w:cstheme="majorHAnsi"/>
        </w:rPr>
        <w:t>)</w:t>
      </w:r>
    </w:p>
    <w:p w14:paraId="1CA10C36" w14:textId="499F92F0" w:rsidR="00552020" w:rsidRPr="006070EA" w:rsidRDefault="00552020" w:rsidP="00552020">
      <w:pPr>
        <w:pStyle w:val="Atext"/>
        <w:rPr>
          <w:rFonts w:asciiTheme="majorHAnsi" w:hAnsiTheme="majorHAnsi" w:cstheme="majorHAnsi"/>
          <w:szCs w:val="18"/>
        </w:rPr>
      </w:pPr>
      <w:r w:rsidRPr="006070EA">
        <w:rPr>
          <w:rFonts w:asciiTheme="majorHAnsi" w:hAnsiTheme="majorHAnsi" w:cstheme="majorHAnsi"/>
        </w:rPr>
        <w:t xml:space="preserve">Jedná se o </w:t>
      </w:r>
      <w:r w:rsidRPr="006070EA">
        <w:rPr>
          <w:rFonts w:asciiTheme="majorHAnsi" w:hAnsiTheme="majorHAnsi" w:cstheme="majorHAnsi"/>
          <w:szCs w:val="18"/>
        </w:rPr>
        <w:t>plochy s převažujícím využitím pro lesní produkci, zahrnují zejména pozemky určené k plnění funkcí lesa (PUPFL), ale i další zpravidla navazující plochy vzrostlé zeleně charakteru lesního porostu, pozemky staveb a zařízení lesního hospodářství a pozemky související dopravní a technické infrastruktury (plochy lesa včetně mýtin, okrajové zeleně, lesních cest apod.).</w:t>
      </w:r>
      <w:r w:rsidR="00521642" w:rsidRPr="006070EA">
        <w:rPr>
          <w:rFonts w:asciiTheme="majorHAnsi" w:hAnsiTheme="majorHAnsi" w:cstheme="majorHAnsi"/>
          <w:szCs w:val="18"/>
        </w:rPr>
        <w:t xml:space="preserve"> </w:t>
      </w:r>
      <w:r w:rsidRPr="006070EA">
        <w:rPr>
          <w:rFonts w:asciiTheme="majorHAnsi" w:hAnsiTheme="majorHAnsi" w:cstheme="majorHAnsi"/>
          <w:szCs w:val="18"/>
        </w:rPr>
        <w:t>Důvodem pro jejich vymezení je ochrana lesů</w:t>
      </w:r>
      <w:r w:rsidR="00521642" w:rsidRPr="006070EA">
        <w:rPr>
          <w:rFonts w:asciiTheme="majorHAnsi" w:hAnsiTheme="majorHAnsi" w:cstheme="majorHAnsi"/>
          <w:szCs w:val="18"/>
        </w:rPr>
        <w:t>.</w:t>
      </w:r>
    </w:p>
    <w:p w14:paraId="60B49FD9" w14:textId="2BBEA830" w:rsidR="00552020" w:rsidRPr="006070EA" w:rsidRDefault="00552020" w:rsidP="00552020">
      <w:pPr>
        <w:pStyle w:val="Atext"/>
        <w:rPr>
          <w:rFonts w:asciiTheme="majorHAnsi" w:hAnsiTheme="majorHAnsi" w:cstheme="majorHAnsi"/>
          <w:szCs w:val="18"/>
        </w:rPr>
      </w:pPr>
      <w:r w:rsidRPr="006070EA">
        <w:rPr>
          <w:rFonts w:asciiTheme="majorHAnsi" w:hAnsiTheme="majorHAnsi" w:cstheme="majorHAnsi"/>
          <w:szCs w:val="18"/>
        </w:rPr>
        <w:t>Možnosti umisťování staveb dle § 18 odst. 5 stavebního zákona jsou upřesněny</w:t>
      </w:r>
      <w:r w:rsidR="00521642" w:rsidRPr="006070EA">
        <w:rPr>
          <w:rFonts w:asciiTheme="majorHAnsi" w:hAnsiTheme="majorHAnsi" w:cstheme="majorHAnsi"/>
          <w:szCs w:val="18"/>
        </w:rPr>
        <w:t>,</w:t>
      </w:r>
      <w:r w:rsidRPr="006070EA">
        <w:rPr>
          <w:rFonts w:asciiTheme="majorHAnsi" w:hAnsiTheme="majorHAnsi" w:cstheme="majorHAnsi"/>
          <w:szCs w:val="18"/>
        </w:rPr>
        <w:t xml:space="preserve"> resp. omezeny z důvodu ochrany krajinného rázu a ochrany nezastavěného území. Stavby, zařízení a jiná opatření pro zemědělství a lesnictví lze v nezastavěném území umístit za podmínek, že nebudou vytvářet nároky na dopravní a technickou infrastrukturu a bude prokázána jejich vazba na přilehlé pozemky, tedy potvrzena nezbytnost umístění stavby pro konkrétní hospodaření. Stavby, zařízení a jiná opatření, které zlepší podmínky využití nezastavěného území pro účely rekreace a cestovního ruchu lze v nezastavěném území umístit za</w:t>
      </w:r>
      <w:r w:rsidR="005C2834" w:rsidRPr="006070EA">
        <w:rPr>
          <w:rFonts w:asciiTheme="majorHAnsi" w:hAnsiTheme="majorHAnsi" w:cstheme="majorHAnsi"/>
          <w:szCs w:val="18"/>
        </w:rPr>
        <w:t xml:space="preserve"> stanovených</w:t>
      </w:r>
      <w:r w:rsidRPr="006070EA">
        <w:rPr>
          <w:rFonts w:asciiTheme="majorHAnsi" w:hAnsiTheme="majorHAnsi" w:cstheme="majorHAnsi"/>
          <w:szCs w:val="18"/>
        </w:rPr>
        <w:t xml:space="preserve"> podmínek</w:t>
      </w:r>
      <w:r w:rsidR="005C2834" w:rsidRPr="006070EA">
        <w:rPr>
          <w:rFonts w:asciiTheme="majorHAnsi" w:hAnsiTheme="majorHAnsi" w:cstheme="majorHAnsi"/>
          <w:szCs w:val="18"/>
        </w:rPr>
        <w:t xml:space="preserve">, a to </w:t>
      </w:r>
      <w:r w:rsidRPr="006070EA">
        <w:rPr>
          <w:rFonts w:asciiTheme="majorHAnsi" w:hAnsiTheme="majorHAnsi" w:cstheme="majorHAnsi"/>
          <w:szCs w:val="18"/>
        </w:rPr>
        <w:t xml:space="preserve">z důvodu ochrany nezastavěného území a volné krajiny ve veřejném zájmu. Těžba nerostů je zcela vyloučena z důvodu ochrany krajinného rázu ve veřejném zájmu. </w:t>
      </w:r>
    </w:p>
    <w:p w14:paraId="0C653575" w14:textId="280A273B" w:rsidR="00552020" w:rsidRDefault="00552020" w:rsidP="00552020">
      <w:pPr>
        <w:pStyle w:val="Atext"/>
        <w:rPr>
          <w:rFonts w:asciiTheme="majorHAnsi" w:hAnsiTheme="majorHAnsi" w:cstheme="majorHAnsi"/>
          <w:szCs w:val="18"/>
        </w:rPr>
      </w:pPr>
      <w:r w:rsidRPr="006070EA">
        <w:rPr>
          <w:rFonts w:asciiTheme="majorHAnsi" w:hAnsiTheme="majorHAnsi" w:cstheme="majorHAnsi"/>
        </w:rPr>
        <w:t xml:space="preserve">V případě povolování staveb dle § 18 odst. 5 stavebního zákona je stanovena maximální výška staveb a maximální velikost zastavěné plochy stavby. Důvodem prostorové regulace je zejména ochrana krajinného rázu a omezení prostorových parametrů staveb, aby nedošlo k narušení volné krajiny umístěním nevhodné, případně také pohledově exponované stavby - </w:t>
      </w:r>
      <w:r w:rsidRPr="006070EA">
        <w:rPr>
          <w:rFonts w:asciiTheme="majorHAnsi" w:hAnsiTheme="majorHAnsi" w:cstheme="majorHAnsi"/>
          <w:szCs w:val="18"/>
        </w:rPr>
        <w:t xml:space="preserve">– případné stavby by neměly převyšovat vzrostlou vegetaci krajinné zeleně a z hlediska měřítka a hmoty nenarušovat měřítko volné krajiny a krajinné horizonty v dálkových pohledech. Zároveň jsou prostorové regulace stanoveny tak, aby v rámci nich bylo možné umístit doplňkovou stavbu pro lesní hospodaření, stavby pro rozvoj veřejné rekreace a cestovního ruchu a další stavby vodohospodářské, protipovodňové atd. </w:t>
      </w:r>
    </w:p>
    <w:p w14:paraId="68DAC03E" w14:textId="3A0922A6" w:rsidR="006D146A" w:rsidRPr="006070EA" w:rsidRDefault="006D146A" w:rsidP="006D146A">
      <w:pPr>
        <w:pStyle w:val="ANADPIS4"/>
        <w:shd w:val="clear" w:color="auto" w:fill="auto"/>
        <w:rPr>
          <w:rFonts w:asciiTheme="majorHAnsi" w:hAnsiTheme="majorHAnsi" w:cstheme="majorHAnsi"/>
        </w:rPr>
      </w:pPr>
      <w:r w:rsidRPr="006070EA">
        <w:rPr>
          <w:rFonts w:asciiTheme="majorHAnsi" w:hAnsiTheme="majorHAnsi" w:cstheme="majorHAnsi"/>
        </w:rPr>
        <w:t>PLOCHY PŘÍRODNÍ</w:t>
      </w:r>
    </w:p>
    <w:p w14:paraId="2B0E034F" w14:textId="4C50B28A" w:rsidR="006D146A" w:rsidRPr="006070EA" w:rsidRDefault="006D146A" w:rsidP="006D146A">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w:t>
      </w:r>
      <w:r w:rsidR="0021590A">
        <w:rPr>
          <w:rFonts w:asciiTheme="majorHAnsi" w:hAnsiTheme="majorHAnsi" w:cstheme="majorHAnsi"/>
          <w:i/>
          <w:snapToGrid w:val="0"/>
          <w:u w:val="single"/>
        </w:rPr>
        <w:t>79</w:t>
      </w:r>
      <w:r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53A1C00B" w14:textId="422F6AF2" w:rsidR="006D146A" w:rsidRPr="006070EA" w:rsidRDefault="006D146A" w:rsidP="006D146A">
      <w:pPr>
        <w:pStyle w:val="Atext"/>
        <w:rPr>
          <w:rFonts w:asciiTheme="majorHAnsi" w:hAnsiTheme="majorHAnsi" w:cstheme="majorHAnsi"/>
        </w:rPr>
      </w:pPr>
      <w:r w:rsidRPr="006070EA">
        <w:rPr>
          <w:rFonts w:asciiTheme="majorHAnsi" w:hAnsiTheme="majorHAnsi" w:cstheme="majorHAnsi"/>
        </w:rPr>
        <w:t>V souladu s § 1</w:t>
      </w:r>
      <w:r w:rsidR="00C267B7" w:rsidRPr="006070EA">
        <w:rPr>
          <w:rFonts w:asciiTheme="majorHAnsi" w:hAnsiTheme="majorHAnsi" w:cstheme="majorHAnsi"/>
        </w:rPr>
        <w:t>6</w:t>
      </w:r>
      <w:r w:rsidRPr="006070EA">
        <w:rPr>
          <w:rFonts w:asciiTheme="majorHAnsi" w:hAnsiTheme="majorHAnsi" w:cstheme="majorHAnsi"/>
        </w:rPr>
        <w:t xml:space="preserve"> vyhlášky č. 501/2006 Sb. je vymezen následující typ plochy:</w:t>
      </w:r>
    </w:p>
    <w:p w14:paraId="07C3B467" w14:textId="11C5403C" w:rsidR="006D146A" w:rsidRPr="006070EA" w:rsidRDefault="00AC2742" w:rsidP="006D146A">
      <w:pPr>
        <w:pStyle w:val="Anadpistun"/>
        <w:rPr>
          <w:rFonts w:asciiTheme="majorHAnsi" w:hAnsiTheme="majorHAnsi" w:cstheme="majorHAnsi"/>
        </w:rPr>
      </w:pPr>
      <w:r w:rsidRPr="006070EA">
        <w:rPr>
          <w:rFonts w:asciiTheme="majorHAnsi" w:hAnsiTheme="majorHAnsi" w:cstheme="majorHAnsi"/>
        </w:rPr>
        <w:lastRenderedPageBreak/>
        <w:t>P</w:t>
      </w:r>
      <w:r w:rsidR="00C267B7" w:rsidRPr="006070EA">
        <w:rPr>
          <w:rFonts w:asciiTheme="majorHAnsi" w:hAnsiTheme="majorHAnsi" w:cstheme="majorHAnsi"/>
        </w:rPr>
        <w:t xml:space="preserve">řírodní </w:t>
      </w:r>
      <w:r w:rsidRPr="006070EA">
        <w:rPr>
          <w:rFonts w:asciiTheme="majorHAnsi" w:hAnsiTheme="majorHAnsi" w:cstheme="majorHAnsi"/>
        </w:rPr>
        <w:t xml:space="preserve">všeobecné </w:t>
      </w:r>
      <w:r w:rsidR="00C267B7" w:rsidRPr="006070EA">
        <w:rPr>
          <w:rFonts w:asciiTheme="majorHAnsi" w:hAnsiTheme="majorHAnsi" w:cstheme="majorHAnsi"/>
        </w:rPr>
        <w:t>(</w:t>
      </w:r>
      <w:r w:rsidRPr="006070EA">
        <w:rPr>
          <w:rFonts w:asciiTheme="majorHAnsi" w:hAnsiTheme="majorHAnsi" w:cstheme="majorHAnsi"/>
        </w:rPr>
        <w:t>NU</w:t>
      </w:r>
      <w:r w:rsidR="00C267B7" w:rsidRPr="006070EA">
        <w:rPr>
          <w:rFonts w:asciiTheme="majorHAnsi" w:hAnsiTheme="majorHAnsi" w:cstheme="majorHAnsi"/>
        </w:rPr>
        <w:t>)</w:t>
      </w:r>
    </w:p>
    <w:p w14:paraId="79EC79C7" w14:textId="0B26D134" w:rsidR="006D146A" w:rsidRPr="006070EA" w:rsidRDefault="006D146A" w:rsidP="006D146A">
      <w:pPr>
        <w:pStyle w:val="Atext"/>
        <w:rPr>
          <w:rFonts w:asciiTheme="majorHAnsi" w:hAnsiTheme="majorHAnsi" w:cstheme="majorHAnsi"/>
        </w:rPr>
      </w:pPr>
      <w:r w:rsidRPr="006070EA">
        <w:rPr>
          <w:rFonts w:asciiTheme="majorHAnsi" w:hAnsiTheme="majorHAnsi" w:cstheme="majorHAnsi"/>
        </w:rPr>
        <w:t xml:space="preserve">Plochy </w:t>
      </w:r>
      <w:r w:rsidR="00AC2742" w:rsidRPr="006070EA">
        <w:rPr>
          <w:rFonts w:asciiTheme="majorHAnsi" w:hAnsiTheme="majorHAnsi" w:cstheme="majorHAnsi"/>
        </w:rPr>
        <w:t>NU</w:t>
      </w:r>
      <w:r w:rsidR="00C267B7" w:rsidRPr="006070EA">
        <w:rPr>
          <w:rFonts w:asciiTheme="majorHAnsi" w:hAnsiTheme="majorHAnsi" w:cstheme="majorHAnsi"/>
        </w:rPr>
        <w:t xml:space="preserve"> jsou plochy s převažující přírodní funkcí zahrnující mimo jiné zvláště chráněné plochy, plochy evropsky významných lokalit, pozemky smluvně chráněné, prvky ÚSES apod. Obvykle se vymezují za účelem zajištění podmínek pro ochrany přírody a krajiny. V ÚP Kostomlaty nad Labem jsou vymezeny pro skladebné části ÚSES – biocentra.</w:t>
      </w:r>
      <w:r w:rsidRPr="006070EA">
        <w:rPr>
          <w:rFonts w:asciiTheme="majorHAnsi" w:hAnsiTheme="majorHAnsi" w:cstheme="majorHAnsi"/>
        </w:rPr>
        <w:t xml:space="preserve"> </w:t>
      </w:r>
    </w:p>
    <w:p w14:paraId="2AC5D276" w14:textId="528D7A6E" w:rsidR="006D146A" w:rsidRPr="006070EA" w:rsidRDefault="006D146A" w:rsidP="006D146A">
      <w:pPr>
        <w:pStyle w:val="Atext"/>
        <w:rPr>
          <w:rFonts w:asciiTheme="majorHAnsi" w:hAnsiTheme="majorHAnsi" w:cstheme="majorHAnsi"/>
          <w:szCs w:val="18"/>
        </w:rPr>
      </w:pPr>
      <w:r w:rsidRPr="006070EA">
        <w:rPr>
          <w:rFonts w:asciiTheme="majorHAnsi" w:hAnsiTheme="majorHAnsi" w:cstheme="majorHAnsi"/>
          <w:szCs w:val="18"/>
        </w:rPr>
        <w:t xml:space="preserve">Možnosti umisťování staveb dle § 18 odst. 5 stavebního zákona jsou upřesněny, resp. omezeny z důvodu ochrany krajinného rázu a ochrany </w:t>
      </w:r>
      <w:r w:rsidR="00C267B7" w:rsidRPr="006070EA">
        <w:rPr>
          <w:rFonts w:asciiTheme="majorHAnsi" w:hAnsiTheme="majorHAnsi" w:cstheme="majorHAnsi"/>
          <w:szCs w:val="18"/>
        </w:rPr>
        <w:t>přírodních hodnot a ÚSES</w:t>
      </w:r>
      <w:r w:rsidRPr="006070EA">
        <w:rPr>
          <w:rFonts w:asciiTheme="majorHAnsi" w:hAnsiTheme="majorHAnsi" w:cstheme="majorHAnsi"/>
          <w:szCs w:val="18"/>
        </w:rPr>
        <w:t xml:space="preserve">. Stavby, zařízení a jiná opatření pro zemědělství a lesnictví </w:t>
      </w:r>
      <w:r w:rsidR="00C267B7" w:rsidRPr="006070EA">
        <w:rPr>
          <w:rFonts w:asciiTheme="majorHAnsi" w:hAnsiTheme="majorHAnsi" w:cstheme="majorHAnsi"/>
          <w:szCs w:val="18"/>
        </w:rPr>
        <w:t>a s</w:t>
      </w:r>
      <w:r w:rsidRPr="006070EA">
        <w:rPr>
          <w:rFonts w:asciiTheme="majorHAnsi" w:hAnsiTheme="majorHAnsi" w:cstheme="majorHAnsi"/>
          <w:szCs w:val="18"/>
        </w:rPr>
        <w:t xml:space="preserve">tavby, zařízení a jiná opatření, které zlepší podmínky využití nezastavěného území pro účely rekreace a cestovního ruchu </w:t>
      </w:r>
      <w:r w:rsidR="00C267B7" w:rsidRPr="006070EA">
        <w:rPr>
          <w:rFonts w:asciiTheme="majorHAnsi" w:hAnsiTheme="majorHAnsi" w:cstheme="majorHAnsi"/>
          <w:szCs w:val="18"/>
        </w:rPr>
        <w:t>jsou vyloučeny.</w:t>
      </w:r>
      <w:r w:rsidRPr="006070EA">
        <w:rPr>
          <w:rFonts w:asciiTheme="majorHAnsi" w:hAnsiTheme="majorHAnsi" w:cstheme="majorHAnsi"/>
          <w:szCs w:val="18"/>
        </w:rPr>
        <w:t xml:space="preserve"> Těžba nerostů je zcela vyloučena z důvodu ochrany krajinného rázu ve veřejném zájmu. </w:t>
      </w:r>
    </w:p>
    <w:p w14:paraId="0227D0C3" w14:textId="0D658EF2" w:rsidR="006D146A" w:rsidRDefault="006D146A" w:rsidP="006D146A">
      <w:pPr>
        <w:pStyle w:val="Atext"/>
        <w:rPr>
          <w:rFonts w:asciiTheme="majorHAnsi" w:hAnsiTheme="majorHAnsi" w:cstheme="majorHAnsi"/>
          <w:szCs w:val="18"/>
        </w:rPr>
      </w:pPr>
      <w:r w:rsidRPr="006070EA">
        <w:rPr>
          <w:rFonts w:asciiTheme="majorHAnsi" w:hAnsiTheme="majorHAnsi" w:cstheme="majorHAnsi"/>
          <w:szCs w:val="18"/>
        </w:rPr>
        <w:t xml:space="preserve">Z hlediska možnosti umisťování staveb dle § 18 odst. 5 stavebního zákona </w:t>
      </w:r>
      <w:r w:rsidR="00C267B7" w:rsidRPr="006070EA">
        <w:rPr>
          <w:rFonts w:asciiTheme="majorHAnsi" w:hAnsiTheme="majorHAnsi" w:cstheme="majorHAnsi"/>
          <w:szCs w:val="18"/>
        </w:rPr>
        <w:t xml:space="preserve">není umožněno umožňovat stavby, resp. </w:t>
      </w:r>
      <w:r w:rsidRPr="006070EA">
        <w:rPr>
          <w:rFonts w:asciiTheme="majorHAnsi" w:hAnsiTheme="majorHAnsi" w:cstheme="majorHAnsi"/>
          <w:szCs w:val="18"/>
        </w:rPr>
        <w:t xml:space="preserve">je stanovena maximální výška </w:t>
      </w:r>
      <w:r w:rsidR="00C267B7" w:rsidRPr="006070EA">
        <w:rPr>
          <w:rFonts w:asciiTheme="majorHAnsi" w:hAnsiTheme="majorHAnsi" w:cstheme="majorHAnsi"/>
          <w:szCs w:val="18"/>
        </w:rPr>
        <w:t xml:space="preserve">stavby 0 m a </w:t>
      </w:r>
      <w:r w:rsidRPr="006070EA">
        <w:rPr>
          <w:rFonts w:asciiTheme="majorHAnsi" w:hAnsiTheme="majorHAnsi" w:cstheme="majorHAnsi"/>
          <w:szCs w:val="18"/>
        </w:rPr>
        <w:t xml:space="preserve">maximální velikost zastavěné plochy stavby </w:t>
      </w:r>
      <w:r w:rsidR="00C267B7" w:rsidRPr="006070EA">
        <w:rPr>
          <w:rFonts w:asciiTheme="majorHAnsi" w:hAnsiTheme="majorHAnsi" w:cstheme="majorHAnsi"/>
          <w:szCs w:val="18"/>
        </w:rPr>
        <w:t>0 m</w:t>
      </w:r>
      <w:r w:rsidR="00C267B7" w:rsidRPr="006070EA">
        <w:rPr>
          <w:rFonts w:asciiTheme="majorHAnsi" w:hAnsiTheme="majorHAnsi" w:cstheme="majorHAnsi"/>
          <w:szCs w:val="18"/>
          <w:vertAlign w:val="superscript"/>
        </w:rPr>
        <w:t>2</w:t>
      </w:r>
      <w:r w:rsidR="00C267B7" w:rsidRPr="006070EA">
        <w:rPr>
          <w:rFonts w:asciiTheme="majorHAnsi" w:hAnsiTheme="majorHAnsi" w:cstheme="majorHAnsi"/>
          <w:szCs w:val="18"/>
        </w:rPr>
        <w:t xml:space="preserve">, a to z důvodu potřeby zajištění </w:t>
      </w:r>
      <w:r w:rsidRPr="006070EA">
        <w:rPr>
          <w:rFonts w:asciiTheme="majorHAnsi" w:hAnsiTheme="majorHAnsi" w:cstheme="majorHAnsi"/>
          <w:szCs w:val="18"/>
        </w:rPr>
        <w:t>ochran</w:t>
      </w:r>
      <w:r w:rsidR="00C267B7" w:rsidRPr="006070EA">
        <w:rPr>
          <w:rFonts w:asciiTheme="majorHAnsi" w:hAnsiTheme="majorHAnsi" w:cstheme="majorHAnsi"/>
          <w:szCs w:val="18"/>
        </w:rPr>
        <w:t>y přírodní funkce ploch N</w:t>
      </w:r>
      <w:r w:rsidR="00AC2742" w:rsidRPr="006070EA">
        <w:rPr>
          <w:rFonts w:asciiTheme="majorHAnsi" w:hAnsiTheme="majorHAnsi" w:cstheme="majorHAnsi"/>
          <w:szCs w:val="18"/>
        </w:rPr>
        <w:t>U</w:t>
      </w:r>
      <w:r w:rsidR="00C267B7" w:rsidRPr="006070EA">
        <w:rPr>
          <w:rFonts w:asciiTheme="majorHAnsi" w:hAnsiTheme="majorHAnsi" w:cstheme="majorHAnsi"/>
          <w:szCs w:val="18"/>
        </w:rPr>
        <w:t>.</w:t>
      </w:r>
    </w:p>
    <w:p w14:paraId="21C07304" w14:textId="77777777" w:rsidR="00552020" w:rsidRPr="006070EA" w:rsidRDefault="00552020" w:rsidP="006D146A">
      <w:pPr>
        <w:pStyle w:val="ANADPIS4"/>
        <w:shd w:val="clear" w:color="auto" w:fill="auto"/>
        <w:rPr>
          <w:rFonts w:asciiTheme="majorHAnsi" w:hAnsiTheme="majorHAnsi" w:cstheme="majorHAnsi"/>
        </w:rPr>
      </w:pPr>
      <w:r w:rsidRPr="006070EA">
        <w:rPr>
          <w:rFonts w:asciiTheme="majorHAnsi" w:hAnsiTheme="majorHAnsi" w:cstheme="majorHAnsi"/>
        </w:rPr>
        <w:t>PLOCHY SMÍŠENÉ NEZASTAVĚNÉHO ÚZEMÍ</w:t>
      </w:r>
    </w:p>
    <w:p w14:paraId="6F092C0E" w14:textId="2128145E" w:rsidR="00552020" w:rsidRPr="006070EA" w:rsidRDefault="00552020" w:rsidP="00552020">
      <w:pPr>
        <w:pStyle w:val="Anadpistun"/>
        <w:tabs>
          <w:tab w:val="right" w:pos="9639"/>
        </w:tabs>
        <w:jc w:val="right"/>
        <w:rPr>
          <w:rFonts w:asciiTheme="majorHAnsi" w:hAnsiTheme="majorHAnsi" w:cstheme="majorHAnsi"/>
          <w:b w:val="0"/>
        </w:rPr>
      </w:pPr>
      <w:r w:rsidRPr="006070EA">
        <w:rPr>
          <w:rFonts w:asciiTheme="majorHAnsi" w:hAnsiTheme="majorHAnsi" w:cstheme="majorHAnsi"/>
          <w:b w:val="0"/>
          <w:i/>
          <w:snapToGrid w:val="0"/>
          <w:u w:val="single"/>
        </w:rPr>
        <w:t xml:space="preserve">Odůvodnění odst. </w:t>
      </w:r>
      <w:r w:rsidRPr="006070EA">
        <w:rPr>
          <w:rFonts w:asciiTheme="majorHAnsi" w:hAnsiTheme="majorHAnsi" w:cstheme="majorHAnsi"/>
          <w:i/>
          <w:snapToGrid w:val="0"/>
          <w:u w:val="single"/>
        </w:rPr>
        <w:t>(8</w:t>
      </w:r>
      <w:r w:rsidR="0021590A">
        <w:rPr>
          <w:rFonts w:asciiTheme="majorHAnsi" w:hAnsiTheme="majorHAnsi" w:cstheme="majorHAnsi"/>
          <w:i/>
          <w:snapToGrid w:val="0"/>
          <w:u w:val="single"/>
        </w:rPr>
        <w:t>0</w:t>
      </w:r>
      <w:r w:rsidRPr="006070EA">
        <w:rPr>
          <w:rFonts w:asciiTheme="majorHAnsi" w:hAnsiTheme="majorHAnsi" w:cstheme="majorHAnsi"/>
          <w:i/>
          <w:snapToGrid w:val="0"/>
          <w:u w:val="single"/>
        </w:rPr>
        <w:t>)</w:t>
      </w:r>
      <w:r w:rsidR="006D146A" w:rsidRPr="006070EA">
        <w:rPr>
          <w:rFonts w:asciiTheme="majorHAnsi" w:hAnsiTheme="majorHAnsi" w:cstheme="majorHAnsi"/>
          <w:i/>
          <w:snapToGrid w:val="0"/>
          <w:u w:val="single"/>
        </w:rPr>
        <w:t xml:space="preserve"> – (8</w:t>
      </w:r>
      <w:r w:rsidR="0021590A">
        <w:rPr>
          <w:rFonts w:asciiTheme="majorHAnsi" w:hAnsiTheme="majorHAnsi" w:cstheme="majorHAnsi"/>
          <w:i/>
          <w:snapToGrid w:val="0"/>
          <w:u w:val="single"/>
        </w:rPr>
        <w:t>2</w:t>
      </w:r>
      <w:r w:rsidR="006D146A" w:rsidRPr="006070EA">
        <w:rPr>
          <w:rFonts w:asciiTheme="majorHAnsi" w:hAnsiTheme="majorHAnsi" w:cstheme="majorHAnsi"/>
          <w:i/>
          <w:snapToGrid w:val="0"/>
          <w:u w:val="single"/>
        </w:rPr>
        <w:t xml:space="preserve">) </w:t>
      </w:r>
      <w:r w:rsidRPr="006070EA">
        <w:rPr>
          <w:rFonts w:asciiTheme="majorHAnsi" w:hAnsiTheme="majorHAnsi" w:cstheme="majorHAnsi"/>
          <w:b w:val="0"/>
          <w:i/>
          <w:snapToGrid w:val="0"/>
          <w:u w:val="single"/>
        </w:rPr>
        <w:t>výrokové části</w:t>
      </w:r>
    </w:p>
    <w:p w14:paraId="4DEBF97D" w14:textId="70367C72" w:rsidR="00552020" w:rsidRPr="006070EA" w:rsidRDefault="00552020" w:rsidP="00552020">
      <w:pPr>
        <w:pStyle w:val="Atext"/>
        <w:rPr>
          <w:rFonts w:asciiTheme="majorHAnsi" w:hAnsiTheme="majorHAnsi" w:cstheme="majorHAnsi"/>
        </w:rPr>
      </w:pPr>
      <w:r w:rsidRPr="006070EA">
        <w:rPr>
          <w:rFonts w:asciiTheme="majorHAnsi" w:hAnsiTheme="majorHAnsi" w:cstheme="majorHAnsi"/>
        </w:rPr>
        <w:t>V souladu s § 17 vyhlášky č. 501/2006 Sb. j</w:t>
      </w:r>
      <w:r w:rsidR="005C2834" w:rsidRPr="006070EA">
        <w:rPr>
          <w:rFonts w:asciiTheme="majorHAnsi" w:hAnsiTheme="majorHAnsi" w:cstheme="majorHAnsi"/>
        </w:rPr>
        <w:t>sou</w:t>
      </w:r>
      <w:r w:rsidRPr="006070EA">
        <w:rPr>
          <w:rFonts w:asciiTheme="majorHAnsi" w:hAnsiTheme="majorHAnsi" w:cstheme="majorHAnsi"/>
        </w:rPr>
        <w:t xml:space="preserve"> vymezen</w:t>
      </w:r>
      <w:r w:rsidR="005C2834" w:rsidRPr="006070EA">
        <w:rPr>
          <w:rFonts w:asciiTheme="majorHAnsi" w:hAnsiTheme="majorHAnsi" w:cstheme="majorHAnsi"/>
        </w:rPr>
        <w:t>y</w:t>
      </w:r>
      <w:r w:rsidRPr="006070EA">
        <w:rPr>
          <w:rFonts w:asciiTheme="majorHAnsi" w:hAnsiTheme="majorHAnsi" w:cstheme="majorHAnsi"/>
        </w:rPr>
        <w:t xml:space="preserve"> následující typ plochy</w:t>
      </w:r>
      <w:r w:rsidR="005C2834" w:rsidRPr="006070EA">
        <w:rPr>
          <w:rFonts w:asciiTheme="majorHAnsi" w:hAnsiTheme="majorHAnsi" w:cstheme="majorHAnsi"/>
        </w:rPr>
        <w:t xml:space="preserve"> smíšené nezastavěného území</w:t>
      </w:r>
      <w:r w:rsidRPr="006070EA">
        <w:rPr>
          <w:rFonts w:asciiTheme="majorHAnsi" w:hAnsiTheme="majorHAnsi" w:cstheme="majorHAnsi"/>
        </w:rPr>
        <w:t>:</w:t>
      </w:r>
    </w:p>
    <w:p w14:paraId="70CF1988" w14:textId="47A078A9" w:rsidR="00552020" w:rsidRPr="006070EA" w:rsidRDefault="00463154" w:rsidP="00552020">
      <w:pPr>
        <w:pStyle w:val="Anadpistun"/>
        <w:rPr>
          <w:rFonts w:asciiTheme="majorHAnsi" w:hAnsiTheme="majorHAnsi" w:cstheme="majorHAnsi"/>
        </w:rPr>
      </w:pPr>
      <w:r w:rsidRPr="006070EA">
        <w:rPr>
          <w:rFonts w:asciiTheme="majorHAnsi" w:hAnsiTheme="majorHAnsi" w:cstheme="majorHAnsi"/>
        </w:rPr>
        <w:t>S</w:t>
      </w:r>
      <w:r w:rsidR="00552020" w:rsidRPr="006070EA">
        <w:rPr>
          <w:rFonts w:asciiTheme="majorHAnsi" w:hAnsiTheme="majorHAnsi" w:cstheme="majorHAnsi"/>
        </w:rPr>
        <w:t xml:space="preserve">míšené nezastavěného území </w:t>
      </w:r>
      <w:r w:rsidR="005C2834" w:rsidRPr="006070EA">
        <w:rPr>
          <w:rFonts w:asciiTheme="majorHAnsi" w:hAnsiTheme="majorHAnsi" w:cstheme="majorHAnsi"/>
        </w:rPr>
        <w:t>– zeměděls</w:t>
      </w:r>
      <w:r w:rsidRPr="006070EA">
        <w:rPr>
          <w:rFonts w:asciiTheme="majorHAnsi" w:hAnsiTheme="majorHAnsi" w:cstheme="majorHAnsi"/>
        </w:rPr>
        <w:t>tví extenzivní</w:t>
      </w:r>
      <w:r w:rsidR="005C2834" w:rsidRPr="006070EA">
        <w:rPr>
          <w:rFonts w:asciiTheme="majorHAnsi" w:hAnsiTheme="majorHAnsi" w:cstheme="majorHAnsi"/>
        </w:rPr>
        <w:t xml:space="preserve">, přírodní </w:t>
      </w:r>
      <w:r w:rsidRPr="006070EA">
        <w:rPr>
          <w:rFonts w:asciiTheme="majorHAnsi" w:hAnsiTheme="majorHAnsi" w:cstheme="majorHAnsi"/>
        </w:rPr>
        <w:t xml:space="preserve">priority </w:t>
      </w:r>
      <w:r w:rsidR="00552020" w:rsidRPr="006070EA">
        <w:rPr>
          <w:rFonts w:asciiTheme="majorHAnsi" w:hAnsiTheme="majorHAnsi" w:cstheme="majorHAnsi"/>
        </w:rPr>
        <w:t>(</w:t>
      </w:r>
      <w:proofErr w:type="gramStart"/>
      <w:r w:rsidRPr="006070EA">
        <w:rPr>
          <w:rFonts w:asciiTheme="majorHAnsi" w:hAnsiTheme="majorHAnsi" w:cstheme="majorHAnsi"/>
        </w:rPr>
        <w:t>MU.zp</w:t>
      </w:r>
      <w:proofErr w:type="gramEnd"/>
      <w:r w:rsidR="00552020" w:rsidRPr="006070EA">
        <w:rPr>
          <w:rFonts w:asciiTheme="majorHAnsi" w:hAnsiTheme="majorHAnsi" w:cstheme="majorHAnsi"/>
        </w:rPr>
        <w:t>)</w:t>
      </w:r>
    </w:p>
    <w:p w14:paraId="57E5DAE0" w14:textId="7DA75476" w:rsidR="005C2834" w:rsidRPr="006070EA" w:rsidRDefault="00463154" w:rsidP="005C2834">
      <w:pPr>
        <w:pStyle w:val="Anadpistun"/>
        <w:rPr>
          <w:rFonts w:asciiTheme="majorHAnsi" w:hAnsiTheme="majorHAnsi" w:cstheme="majorHAnsi"/>
        </w:rPr>
      </w:pPr>
      <w:r w:rsidRPr="006070EA">
        <w:rPr>
          <w:rFonts w:asciiTheme="majorHAnsi" w:hAnsiTheme="majorHAnsi" w:cstheme="majorHAnsi"/>
        </w:rPr>
        <w:t>S</w:t>
      </w:r>
      <w:r w:rsidR="005C2834" w:rsidRPr="006070EA">
        <w:rPr>
          <w:rFonts w:asciiTheme="majorHAnsi" w:hAnsiTheme="majorHAnsi" w:cstheme="majorHAnsi"/>
        </w:rPr>
        <w:t xml:space="preserve">míšené nezastavěného území – sportovní </w:t>
      </w:r>
      <w:r w:rsidRPr="006070EA">
        <w:rPr>
          <w:rFonts w:asciiTheme="majorHAnsi" w:hAnsiTheme="majorHAnsi" w:cstheme="majorHAnsi"/>
        </w:rPr>
        <w:t xml:space="preserve">využití </w:t>
      </w:r>
      <w:r w:rsidR="005C2834" w:rsidRPr="006070EA">
        <w:rPr>
          <w:rFonts w:asciiTheme="majorHAnsi" w:hAnsiTheme="majorHAnsi" w:cstheme="majorHAnsi"/>
        </w:rPr>
        <w:t>(</w:t>
      </w:r>
      <w:proofErr w:type="gramStart"/>
      <w:r w:rsidRPr="006070EA">
        <w:rPr>
          <w:rFonts w:asciiTheme="majorHAnsi" w:hAnsiTheme="majorHAnsi" w:cstheme="majorHAnsi"/>
        </w:rPr>
        <w:t>MU.s</w:t>
      </w:r>
      <w:proofErr w:type="gramEnd"/>
      <w:r w:rsidR="005C2834" w:rsidRPr="006070EA">
        <w:rPr>
          <w:rFonts w:asciiTheme="majorHAnsi" w:hAnsiTheme="majorHAnsi" w:cstheme="majorHAnsi"/>
        </w:rPr>
        <w:t>)</w:t>
      </w:r>
    </w:p>
    <w:p w14:paraId="3B3649DF" w14:textId="6A8B06D6" w:rsidR="005C2834" w:rsidRPr="006070EA" w:rsidRDefault="00463154" w:rsidP="005C2834">
      <w:pPr>
        <w:pStyle w:val="Anadpistun"/>
        <w:rPr>
          <w:rFonts w:asciiTheme="majorHAnsi" w:hAnsiTheme="majorHAnsi" w:cstheme="majorHAnsi"/>
        </w:rPr>
      </w:pPr>
      <w:r w:rsidRPr="006070EA">
        <w:rPr>
          <w:rFonts w:asciiTheme="majorHAnsi" w:hAnsiTheme="majorHAnsi" w:cstheme="majorHAnsi"/>
        </w:rPr>
        <w:t>S</w:t>
      </w:r>
      <w:r w:rsidR="005C2834" w:rsidRPr="006070EA">
        <w:rPr>
          <w:rFonts w:asciiTheme="majorHAnsi" w:hAnsiTheme="majorHAnsi" w:cstheme="majorHAnsi"/>
        </w:rPr>
        <w:t>míšené nezastavěného území – rekrea</w:t>
      </w:r>
      <w:r w:rsidRPr="006070EA">
        <w:rPr>
          <w:rFonts w:asciiTheme="majorHAnsi" w:hAnsiTheme="majorHAnsi" w:cstheme="majorHAnsi"/>
        </w:rPr>
        <w:t>ce</w:t>
      </w:r>
      <w:r w:rsidR="005C2834" w:rsidRPr="006070EA">
        <w:rPr>
          <w:rFonts w:asciiTheme="majorHAnsi" w:hAnsiTheme="majorHAnsi" w:cstheme="majorHAnsi"/>
        </w:rPr>
        <w:t xml:space="preserve"> </w:t>
      </w:r>
      <w:r w:rsidR="00031360" w:rsidRPr="006070EA">
        <w:rPr>
          <w:rFonts w:asciiTheme="majorHAnsi" w:hAnsiTheme="majorHAnsi" w:cstheme="majorHAnsi"/>
        </w:rPr>
        <w:t>nepobytov</w:t>
      </w:r>
      <w:r w:rsidRPr="006070EA">
        <w:rPr>
          <w:rFonts w:asciiTheme="majorHAnsi" w:hAnsiTheme="majorHAnsi" w:cstheme="majorHAnsi"/>
        </w:rPr>
        <w:t>á</w:t>
      </w:r>
      <w:r w:rsidR="00031360" w:rsidRPr="006070EA">
        <w:rPr>
          <w:rFonts w:asciiTheme="majorHAnsi" w:hAnsiTheme="majorHAnsi" w:cstheme="majorHAnsi"/>
        </w:rPr>
        <w:t xml:space="preserve"> </w:t>
      </w:r>
      <w:r w:rsidR="005C2834" w:rsidRPr="006070EA">
        <w:rPr>
          <w:rFonts w:asciiTheme="majorHAnsi" w:hAnsiTheme="majorHAnsi" w:cstheme="majorHAnsi"/>
        </w:rPr>
        <w:t>(</w:t>
      </w:r>
      <w:proofErr w:type="gramStart"/>
      <w:r w:rsidRPr="006070EA">
        <w:rPr>
          <w:rFonts w:asciiTheme="majorHAnsi" w:hAnsiTheme="majorHAnsi" w:cstheme="majorHAnsi"/>
        </w:rPr>
        <w:t>MU.r</w:t>
      </w:r>
      <w:proofErr w:type="gramEnd"/>
      <w:r w:rsidR="005C2834" w:rsidRPr="006070EA">
        <w:rPr>
          <w:rFonts w:asciiTheme="majorHAnsi" w:hAnsiTheme="majorHAnsi" w:cstheme="majorHAnsi"/>
        </w:rPr>
        <w:t>)</w:t>
      </w:r>
    </w:p>
    <w:p w14:paraId="36E0372B" w14:textId="59759403" w:rsidR="005C2834" w:rsidRPr="006070EA" w:rsidRDefault="00552020" w:rsidP="00552020">
      <w:pPr>
        <w:pStyle w:val="Atext"/>
        <w:rPr>
          <w:rFonts w:asciiTheme="majorHAnsi" w:hAnsiTheme="majorHAnsi" w:cstheme="majorHAnsi"/>
        </w:rPr>
      </w:pPr>
      <w:r w:rsidRPr="006070EA">
        <w:rPr>
          <w:rFonts w:asciiTheme="majorHAnsi" w:hAnsiTheme="majorHAnsi" w:cstheme="majorHAnsi"/>
        </w:rPr>
        <w:t xml:space="preserve">Plochy </w:t>
      </w:r>
      <w:r w:rsidR="00463154" w:rsidRPr="006070EA">
        <w:rPr>
          <w:rFonts w:asciiTheme="majorHAnsi" w:hAnsiTheme="majorHAnsi" w:cstheme="majorHAnsi"/>
        </w:rPr>
        <w:t>MU</w:t>
      </w:r>
      <w:r w:rsidRPr="006070EA">
        <w:rPr>
          <w:rFonts w:asciiTheme="majorHAnsi" w:hAnsiTheme="majorHAnsi" w:cstheme="majorHAnsi"/>
        </w:rPr>
        <w:t xml:space="preserve"> jsou plochy funkčně nejednoznačné, převážně </w:t>
      </w:r>
      <w:r w:rsidRPr="006070EA">
        <w:rPr>
          <w:rFonts w:asciiTheme="majorHAnsi" w:hAnsiTheme="majorHAnsi" w:cstheme="majorHAnsi"/>
          <w:szCs w:val="18"/>
        </w:rPr>
        <w:t xml:space="preserve">pozemky zemědělského půdního fondu (zejména extenzivně využívané) </w:t>
      </w:r>
      <w:r w:rsidRPr="006070EA">
        <w:rPr>
          <w:rFonts w:asciiTheme="majorHAnsi" w:hAnsiTheme="majorHAnsi" w:cstheme="majorHAnsi"/>
        </w:rPr>
        <w:t>plnící také mimoprodukční funkci</w:t>
      </w:r>
      <w:r w:rsidRPr="006070EA">
        <w:rPr>
          <w:rFonts w:asciiTheme="majorHAnsi" w:hAnsiTheme="majorHAnsi" w:cstheme="majorHAnsi"/>
          <w:szCs w:val="18"/>
        </w:rPr>
        <w:t>, přechodové plochy mezi lesními, přírodními a zemědělskými plochami, doprovodné porosty vodních ploch a toků.</w:t>
      </w:r>
      <w:r w:rsidRPr="006070EA">
        <w:rPr>
          <w:rFonts w:asciiTheme="majorHAnsi" w:hAnsiTheme="majorHAnsi" w:cstheme="majorHAnsi"/>
        </w:rPr>
        <w:t xml:space="preserve"> Za</w:t>
      </w:r>
      <w:r w:rsidRPr="006070EA">
        <w:rPr>
          <w:rFonts w:asciiTheme="majorHAnsi" w:hAnsiTheme="majorHAnsi" w:cstheme="majorHAnsi"/>
          <w:szCs w:val="18"/>
        </w:rPr>
        <w:t>hrnují krajinnou zeleň (zejména zeleň plošná, skupinová, liniová, solitérní, ochranná, izolační, břehové porosty a ostatní zeleň) a extenzivně zemědělsky využívané plochy nebo intenzivně zemědělsky užívané plochy s vysokým podílem krajinné zeleně</w:t>
      </w:r>
      <w:r w:rsidRPr="006070EA">
        <w:rPr>
          <w:rFonts w:asciiTheme="majorHAnsi" w:hAnsiTheme="majorHAnsi" w:cstheme="majorHAnsi"/>
        </w:rPr>
        <w:t xml:space="preserve">. Rozdílem ve vymezení ploch zemědělských </w:t>
      </w:r>
      <w:r w:rsidR="00463154" w:rsidRPr="006070EA">
        <w:rPr>
          <w:rFonts w:asciiTheme="majorHAnsi" w:hAnsiTheme="majorHAnsi" w:cstheme="majorHAnsi"/>
        </w:rPr>
        <w:t xml:space="preserve">všeobecných </w:t>
      </w:r>
      <w:r w:rsidRPr="006070EA">
        <w:rPr>
          <w:rFonts w:asciiTheme="majorHAnsi" w:hAnsiTheme="majorHAnsi" w:cstheme="majorHAnsi"/>
        </w:rPr>
        <w:t>(</w:t>
      </w:r>
      <w:r w:rsidR="00463154" w:rsidRPr="006070EA">
        <w:rPr>
          <w:rFonts w:asciiTheme="majorHAnsi" w:hAnsiTheme="majorHAnsi" w:cstheme="majorHAnsi"/>
        </w:rPr>
        <w:t>AU</w:t>
      </w:r>
      <w:r w:rsidRPr="006070EA">
        <w:rPr>
          <w:rFonts w:asciiTheme="majorHAnsi" w:hAnsiTheme="majorHAnsi" w:cstheme="majorHAnsi"/>
        </w:rPr>
        <w:t>) a smíšených nezastavěného území (</w:t>
      </w:r>
      <w:r w:rsidR="00463154" w:rsidRPr="006070EA">
        <w:rPr>
          <w:rFonts w:asciiTheme="majorHAnsi" w:hAnsiTheme="majorHAnsi" w:cstheme="majorHAnsi"/>
        </w:rPr>
        <w:t>MU</w:t>
      </w:r>
      <w:r w:rsidRPr="006070EA">
        <w:rPr>
          <w:rFonts w:asciiTheme="majorHAnsi" w:hAnsiTheme="majorHAnsi" w:cstheme="majorHAnsi"/>
        </w:rPr>
        <w:t xml:space="preserve">) je podíl krajinné zeleně, který je výrazně vyšší v plochách </w:t>
      </w:r>
      <w:r w:rsidR="005C2834" w:rsidRPr="006070EA">
        <w:rPr>
          <w:rFonts w:asciiTheme="majorHAnsi" w:hAnsiTheme="majorHAnsi" w:cstheme="majorHAnsi"/>
        </w:rPr>
        <w:t>NS</w:t>
      </w:r>
      <w:r w:rsidRPr="006070EA">
        <w:rPr>
          <w:rFonts w:asciiTheme="majorHAnsi" w:hAnsiTheme="majorHAnsi" w:cstheme="majorHAnsi"/>
        </w:rPr>
        <w:t>.</w:t>
      </w:r>
    </w:p>
    <w:p w14:paraId="5413708A" w14:textId="42760A87" w:rsidR="00552020" w:rsidRPr="006070EA" w:rsidRDefault="005C2834" w:rsidP="00552020">
      <w:pPr>
        <w:pStyle w:val="Atext"/>
        <w:rPr>
          <w:rFonts w:asciiTheme="majorHAnsi" w:hAnsiTheme="majorHAnsi" w:cstheme="majorHAnsi"/>
          <w:szCs w:val="18"/>
        </w:rPr>
      </w:pPr>
      <w:r w:rsidRPr="006070EA">
        <w:rPr>
          <w:rFonts w:asciiTheme="majorHAnsi" w:hAnsiTheme="majorHAnsi" w:cstheme="majorHAnsi"/>
        </w:rPr>
        <w:t xml:space="preserve">Pro akcentaci potřeby rozvoje různých funkcí v krajině jsou vymezeny různé kategorie dle převažujícího účelu jejich vymezení. Plochy </w:t>
      </w:r>
      <w:r w:rsidRPr="006070EA">
        <w:rPr>
          <w:rFonts w:asciiTheme="majorHAnsi" w:hAnsiTheme="majorHAnsi" w:cstheme="majorHAnsi"/>
          <w:i/>
          <w:iCs w:val="0"/>
        </w:rPr>
        <w:t>smíšené nezastavěného území – zeměděls</w:t>
      </w:r>
      <w:r w:rsidR="00463154" w:rsidRPr="006070EA">
        <w:rPr>
          <w:rFonts w:asciiTheme="majorHAnsi" w:hAnsiTheme="majorHAnsi" w:cstheme="majorHAnsi"/>
          <w:i/>
          <w:iCs w:val="0"/>
        </w:rPr>
        <w:t>tví extenzivní</w:t>
      </w:r>
      <w:r w:rsidRPr="006070EA">
        <w:rPr>
          <w:rFonts w:asciiTheme="majorHAnsi" w:hAnsiTheme="majorHAnsi" w:cstheme="majorHAnsi"/>
          <w:i/>
          <w:iCs w:val="0"/>
        </w:rPr>
        <w:t>, přírodní</w:t>
      </w:r>
      <w:r w:rsidR="00044350" w:rsidRPr="006070EA">
        <w:rPr>
          <w:rFonts w:asciiTheme="majorHAnsi" w:hAnsiTheme="majorHAnsi" w:cstheme="majorHAnsi"/>
        </w:rPr>
        <w:t xml:space="preserve"> </w:t>
      </w:r>
      <w:r w:rsidR="00463154" w:rsidRPr="006070EA">
        <w:rPr>
          <w:rFonts w:asciiTheme="majorHAnsi" w:hAnsiTheme="majorHAnsi" w:cstheme="majorHAnsi"/>
        </w:rPr>
        <w:t xml:space="preserve">priority </w:t>
      </w:r>
      <w:r w:rsidR="00044350" w:rsidRPr="006070EA">
        <w:rPr>
          <w:rFonts w:asciiTheme="majorHAnsi" w:hAnsiTheme="majorHAnsi" w:cstheme="majorHAnsi"/>
        </w:rPr>
        <w:t>(</w:t>
      </w:r>
      <w:proofErr w:type="gramStart"/>
      <w:r w:rsidR="00463154" w:rsidRPr="006070EA">
        <w:rPr>
          <w:rFonts w:asciiTheme="majorHAnsi" w:hAnsiTheme="majorHAnsi" w:cstheme="majorHAnsi"/>
        </w:rPr>
        <w:t>MU.zp</w:t>
      </w:r>
      <w:proofErr w:type="gramEnd"/>
      <w:r w:rsidR="00044350" w:rsidRPr="006070EA">
        <w:rPr>
          <w:rFonts w:asciiTheme="majorHAnsi" w:hAnsiTheme="majorHAnsi" w:cstheme="majorHAnsi"/>
        </w:rPr>
        <w:t xml:space="preserve">) jsou vymezeny především pro podporu ekologicko-stabilizační funkce, zahrnují významný podíl krajinné zeleně a s jejich vymezením souvisí také vymezení skladebných částí ÚSES (biokoridorů). Plochy </w:t>
      </w:r>
      <w:r w:rsidR="00044350" w:rsidRPr="006070EA">
        <w:rPr>
          <w:rFonts w:asciiTheme="majorHAnsi" w:hAnsiTheme="majorHAnsi" w:cstheme="majorHAnsi"/>
          <w:i/>
          <w:iCs w:val="0"/>
        </w:rPr>
        <w:t>smíšené nezastavěného území – sportovní</w:t>
      </w:r>
      <w:r w:rsidR="00463154" w:rsidRPr="006070EA">
        <w:rPr>
          <w:rFonts w:asciiTheme="majorHAnsi" w:hAnsiTheme="majorHAnsi" w:cstheme="majorHAnsi"/>
          <w:i/>
          <w:iCs w:val="0"/>
        </w:rPr>
        <w:t xml:space="preserve"> využití</w:t>
      </w:r>
      <w:r w:rsidR="00044350" w:rsidRPr="006070EA">
        <w:rPr>
          <w:rFonts w:asciiTheme="majorHAnsi" w:hAnsiTheme="majorHAnsi" w:cstheme="majorHAnsi"/>
        </w:rPr>
        <w:t xml:space="preserve"> (</w:t>
      </w:r>
      <w:proofErr w:type="gramStart"/>
      <w:r w:rsidR="00463154" w:rsidRPr="006070EA">
        <w:rPr>
          <w:rFonts w:asciiTheme="majorHAnsi" w:hAnsiTheme="majorHAnsi" w:cstheme="majorHAnsi"/>
        </w:rPr>
        <w:t>MU.s</w:t>
      </w:r>
      <w:proofErr w:type="gramEnd"/>
      <w:r w:rsidR="00044350" w:rsidRPr="006070EA">
        <w:rPr>
          <w:rFonts w:asciiTheme="majorHAnsi" w:hAnsiTheme="majorHAnsi" w:cstheme="majorHAnsi"/>
        </w:rPr>
        <w:t>) souvisí se sportovním využitím části řešeného území (areál u Rozkoše) a konkrétními záměry na využití částí krajiny (letiště sportovních modelů mezi Hroněticemi a Vápenskem). Územní plán zohledňuje intenzivní využití krajiny řešeného území a ve snaze o</w:t>
      </w:r>
      <w:r w:rsidR="00031360" w:rsidRPr="006070EA">
        <w:rPr>
          <w:rFonts w:asciiTheme="majorHAnsi" w:hAnsiTheme="majorHAnsi" w:cstheme="majorHAnsi"/>
        </w:rPr>
        <w:t xml:space="preserve"> </w:t>
      </w:r>
      <w:r w:rsidR="00044350" w:rsidRPr="006070EA">
        <w:rPr>
          <w:rFonts w:asciiTheme="majorHAnsi" w:hAnsiTheme="majorHAnsi" w:cstheme="majorHAnsi"/>
        </w:rPr>
        <w:t xml:space="preserve">zvýšení </w:t>
      </w:r>
      <w:r w:rsidR="00031360" w:rsidRPr="006070EA">
        <w:rPr>
          <w:rFonts w:asciiTheme="majorHAnsi" w:hAnsiTheme="majorHAnsi" w:cstheme="majorHAnsi"/>
        </w:rPr>
        <w:t xml:space="preserve">jejího </w:t>
      </w:r>
      <w:r w:rsidR="00044350" w:rsidRPr="006070EA">
        <w:rPr>
          <w:rFonts w:asciiTheme="majorHAnsi" w:hAnsiTheme="majorHAnsi" w:cstheme="majorHAnsi"/>
        </w:rPr>
        <w:t xml:space="preserve">rekreačního využití a </w:t>
      </w:r>
      <w:r w:rsidR="00031360" w:rsidRPr="006070EA">
        <w:rPr>
          <w:rFonts w:asciiTheme="majorHAnsi" w:hAnsiTheme="majorHAnsi" w:cstheme="majorHAnsi"/>
        </w:rPr>
        <w:t xml:space="preserve">za účelem </w:t>
      </w:r>
      <w:r w:rsidR="00044350" w:rsidRPr="006070EA">
        <w:rPr>
          <w:rFonts w:asciiTheme="majorHAnsi" w:hAnsiTheme="majorHAnsi" w:cstheme="majorHAnsi"/>
        </w:rPr>
        <w:t>vytvoření přechodové zóny mezi zastavěným územím hlavního sídla Kostomlat nad Labem a</w:t>
      </w:r>
      <w:r w:rsidR="00031360" w:rsidRPr="006070EA">
        <w:rPr>
          <w:rFonts w:asciiTheme="majorHAnsi" w:hAnsiTheme="majorHAnsi" w:cstheme="majorHAnsi"/>
        </w:rPr>
        <w:t> </w:t>
      </w:r>
      <w:r w:rsidR="00044350" w:rsidRPr="006070EA">
        <w:rPr>
          <w:rFonts w:asciiTheme="majorHAnsi" w:hAnsiTheme="majorHAnsi" w:cstheme="majorHAnsi"/>
        </w:rPr>
        <w:t xml:space="preserve">volné </w:t>
      </w:r>
      <w:r w:rsidR="00031360" w:rsidRPr="006070EA">
        <w:rPr>
          <w:rFonts w:asciiTheme="majorHAnsi" w:hAnsiTheme="majorHAnsi" w:cstheme="majorHAnsi"/>
        </w:rPr>
        <w:t xml:space="preserve">intenzivně </w:t>
      </w:r>
      <w:r w:rsidR="00044350" w:rsidRPr="006070EA">
        <w:rPr>
          <w:rFonts w:asciiTheme="majorHAnsi" w:hAnsiTheme="majorHAnsi" w:cstheme="majorHAnsi"/>
        </w:rPr>
        <w:t xml:space="preserve">zemědělsky využívané krajiny </w:t>
      </w:r>
      <w:r w:rsidR="00031360" w:rsidRPr="006070EA">
        <w:rPr>
          <w:rFonts w:asciiTheme="majorHAnsi" w:hAnsiTheme="majorHAnsi" w:cstheme="majorHAnsi"/>
        </w:rPr>
        <w:t xml:space="preserve">vymezuje plochy </w:t>
      </w:r>
      <w:r w:rsidR="00031360" w:rsidRPr="006070EA">
        <w:rPr>
          <w:rFonts w:asciiTheme="majorHAnsi" w:hAnsiTheme="majorHAnsi" w:cstheme="majorHAnsi"/>
          <w:i/>
          <w:iCs w:val="0"/>
        </w:rPr>
        <w:t>smíšené nezastavěného území – rekrea</w:t>
      </w:r>
      <w:r w:rsidR="00463154" w:rsidRPr="006070EA">
        <w:rPr>
          <w:rFonts w:asciiTheme="majorHAnsi" w:hAnsiTheme="majorHAnsi" w:cstheme="majorHAnsi"/>
          <w:i/>
          <w:iCs w:val="0"/>
        </w:rPr>
        <w:t>ce</w:t>
      </w:r>
      <w:r w:rsidR="00031360" w:rsidRPr="006070EA">
        <w:rPr>
          <w:rFonts w:asciiTheme="majorHAnsi" w:hAnsiTheme="majorHAnsi" w:cstheme="majorHAnsi"/>
          <w:i/>
          <w:iCs w:val="0"/>
        </w:rPr>
        <w:t xml:space="preserve"> nepobytov</w:t>
      </w:r>
      <w:r w:rsidR="00463154" w:rsidRPr="006070EA">
        <w:rPr>
          <w:rFonts w:asciiTheme="majorHAnsi" w:hAnsiTheme="majorHAnsi" w:cstheme="majorHAnsi"/>
          <w:i/>
          <w:iCs w:val="0"/>
        </w:rPr>
        <w:t>á</w:t>
      </w:r>
      <w:r w:rsidR="00031360" w:rsidRPr="006070EA">
        <w:rPr>
          <w:rFonts w:asciiTheme="majorHAnsi" w:hAnsiTheme="majorHAnsi" w:cstheme="majorHAnsi"/>
        </w:rPr>
        <w:t xml:space="preserve"> (</w:t>
      </w:r>
      <w:proofErr w:type="gramStart"/>
      <w:r w:rsidR="00463154" w:rsidRPr="006070EA">
        <w:rPr>
          <w:rFonts w:asciiTheme="majorHAnsi" w:hAnsiTheme="majorHAnsi" w:cstheme="majorHAnsi"/>
        </w:rPr>
        <w:t>MU.r</w:t>
      </w:r>
      <w:proofErr w:type="gramEnd"/>
      <w:r w:rsidR="00031360" w:rsidRPr="006070EA">
        <w:rPr>
          <w:rFonts w:asciiTheme="majorHAnsi" w:hAnsiTheme="majorHAnsi" w:cstheme="majorHAnsi"/>
        </w:rPr>
        <w:t>).</w:t>
      </w:r>
    </w:p>
    <w:p w14:paraId="08D13AF9" w14:textId="2AF8455C" w:rsidR="00552020" w:rsidRPr="006070EA" w:rsidRDefault="00552020" w:rsidP="00552020">
      <w:pPr>
        <w:pStyle w:val="Atext"/>
        <w:rPr>
          <w:rFonts w:asciiTheme="majorHAnsi" w:hAnsiTheme="majorHAnsi" w:cstheme="majorHAnsi"/>
          <w:szCs w:val="18"/>
        </w:rPr>
      </w:pPr>
      <w:r w:rsidRPr="006070EA">
        <w:rPr>
          <w:rFonts w:asciiTheme="majorHAnsi" w:hAnsiTheme="majorHAnsi" w:cstheme="majorHAnsi"/>
          <w:szCs w:val="18"/>
        </w:rPr>
        <w:t>Důvodem pro</w:t>
      </w:r>
      <w:r w:rsidR="00031360" w:rsidRPr="006070EA">
        <w:rPr>
          <w:rFonts w:asciiTheme="majorHAnsi" w:hAnsiTheme="majorHAnsi" w:cstheme="majorHAnsi"/>
          <w:szCs w:val="18"/>
        </w:rPr>
        <w:t xml:space="preserve"> vymezení ploch smíšených nezastavěného území (</w:t>
      </w:r>
      <w:r w:rsidR="00463154" w:rsidRPr="006070EA">
        <w:rPr>
          <w:rFonts w:asciiTheme="majorHAnsi" w:hAnsiTheme="majorHAnsi" w:cstheme="majorHAnsi"/>
          <w:szCs w:val="18"/>
        </w:rPr>
        <w:t>MU</w:t>
      </w:r>
      <w:r w:rsidR="00031360" w:rsidRPr="006070EA">
        <w:rPr>
          <w:rFonts w:asciiTheme="majorHAnsi" w:hAnsiTheme="majorHAnsi" w:cstheme="majorHAnsi"/>
          <w:szCs w:val="18"/>
        </w:rPr>
        <w:t>)</w:t>
      </w:r>
      <w:r w:rsidRPr="006070EA">
        <w:rPr>
          <w:rFonts w:asciiTheme="majorHAnsi" w:hAnsiTheme="majorHAnsi" w:cstheme="majorHAnsi"/>
          <w:szCs w:val="18"/>
        </w:rPr>
        <w:t xml:space="preserve"> je zajištění vhodného způsobu zemědělského využití s vysokým podílem krajinné zeleně, která je součástí hlavního využití ploch, podpora ekologických funkcí krajiny mimo jiné v dílčích úsecích biokoridorů ÚSES. </w:t>
      </w:r>
    </w:p>
    <w:p w14:paraId="5DD017F4" w14:textId="2E1B62A8" w:rsidR="00552020" w:rsidRPr="006070EA" w:rsidRDefault="00552020" w:rsidP="00552020">
      <w:pPr>
        <w:pStyle w:val="Atext"/>
        <w:rPr>
          <w:rFonts w:asciiTheme="majorHAnsi" w:hAnsiTheme="majorHAnsi" w:cstheme="majorHAnsi"/>
          <w:szCs w:val="18"/>
        </w:rPr>
      </w:pPr>
      <w:r w:rsidRPr="006070EA">
        <w:rPr>
          <w:rFonts w:asciiTheme="majorHAnsi" w:hAnsiTheme="majorHAnsi" w:cstheme="majorHAnsi"/>
          <w:szCs w:val="18"/>
        </w:rPr>
        <w:t>Možnosti umisťování staveb dle § 18 odst. 5 stavebního zákona jsou upřesněny</w:t>
      </w:r>
      <w:r w:rsidR="00031360" w:rsidRPr="006070EA">
        <w:rPr>
          <w:rFonts w:asciiTheme="majorHAnsi" w:hAnsiTheme="majorHAnsi" w:cstheme="majorHAnsi"/>
          <w:szCs w:val="18"/>
        </w:rPr>
        <w:t>,</w:t>
      </w:r>
      <w:r w:rsidRPr="006070EA">
        <w:rPr>
          <w:rFonts w:asciiTheme="majorHAnsi" w:hAnsiTheme="majorHAnsi" w:cstheme="majorHAnsi"/>
          <w:szCs w:val="18"/>
        </w:rPr>
        <w:t xml:space="preserve"> resp. omezeny z důvodu ochrany krajinného rázu a ochrany nezastavěného území. Stavby, zařízení a jiná opatření pro zemědělství a lesnictví a stavby, zařízení a</w:t>
      </w:r>
      <w:r w:rsidR="00463154" w:rsidRPr="006070EA">
        <w:rPr>
          <w:rFonts w:asciiTheme="majorHAnsi" w:hAnsiTheme="majorHAnsi" w:cstheme="majorHAnsi"/>
          <w:szCs w:val="18"/>
        </w:rPr>
        <w:t> </w:t>
      </w:r>
      <w:r w:rsidRPr="006070EA">
        <w:rPr>
          <w:rFonts w:asciiTheme="majorHAnsi" w:hAnsiTheme="majorHAnsi" w:cstheme="majorHAnsi"/>
          <w:szCs w:val="18"/>
        </w:rPr>
        <w:t xml:space="preserve">jiná opatření, které zlepší podmínky využití nezastavěného území pro účely rekreace a cestovního ruchu lze v nezastavěném území umístit za </w:t>
      </w:r>
      <w:r w:rsidR="00031360" w:rsidRPr="006070EA">
        <w:rPr>
          <w:rFonts w:asciiTheme="majorHAnsi" w:hAnsiTheme="majorHAnsi" w:cstheme="majorHAnsi"/>
          <w:szCs w:val="18"/>
        </w:rPr>
        <w:t xml:space="preserve">stanovených </w:t>
      </w:r>
      <w:r w:rsidRPr="006070EA">
        <w:rPr>
          <w:rFonts w:asciiTheme="majorHAnsi" w:hAnsiTheme="majorHAnsi" w:cstheme="majorHAnsi"/>
          <w:szCs w:val="18"/>
        </w:rPr>
        <w:t>podmínek</w:t>
      </w:r>
      <w:r w:rsidR="00031360" w:rsidRPr="006070EA">
        <w:rPr>
          <w:rFonts w:asciiTheme="majorHAnsi" w:hAnsiTheme="majorHAnsi" w:cstheme="majorHAnsi"/>
          <w:szCs w:val="18"/>
        </w:rPr>
        <w:t>, a to</w:t>
      </w:r>
      <w:r w:rsidR="00463154" w:rsidRPr="006070EA">
        <w:rPr>
          <w:rFonts w:asciiTheme="majorHAnsi" w:hAnsiTheme="majorHAnsi" w:cstheme="majorHAnsi"/>
          <w:szCs w:val="18"/>
        </w:rPr>
        <w:t xml:space="preserve"> </w:t>
      </w:r>
      <w:r w:rsidRPr="006070EA">
        <w:rPr>
          <w:rFonts w:asciiTheme="majorHAnsi" w:hAnsiTheme="majorHAnsi" w:cstheme="majorHAnsi"/>
          <w:szCs w:val="18"/>
        </w:rPr>
        <w:t xml:space="preserve">z důvodu ochrany nezastavěného území a volné krajiny ve veřejném zájmu. Těžba nerostů je zcela vyloučena z důvodu ochrany krajinného rázu ve veřejném zájmu. </w:t>
      </w:r>
    </w:p>
    <w:p w14:paraId="5434DF32" w14:textId="6B639703" w:rsidR="003B36CA" w:rsidRDefault="00552020" w:rsidP="00552020">
      <w:pPr>
        <w:pStyle w:val="Atext"/>
        <w:rPr>
          <w:rFonts w:asciiTheme="majorHAnsi" w:hAnsiTheme="majorHAnsi" w:cstheme="majorHAnsi"/>
          <w:szCs w:val="18"/>
        </w:rPr>
      </w:pPr>
      <w:r w:rsidRPr="006070EA">
        <w:rPr>
          <w:rFonts w:asciiTheme="majorHAnsi" w:hAnsiTheme="majorHAnsi" w:cstheme="majorHAnsi"/>
          <w:szCs w:val="18"/>
        </w:rPr>
        <w:t>Z hlediska možnosti umisťování staveb dle § 18 odst. 5 stavebního zákona je stanovena maximální výška a</w:t>
      </w:r>
      <w:r w:rsidR="00BE2477" w:rsidRPr="006070EA">
        <w:rPr>
          <w:rFonts w:asciiTheme="majorHAnsi" w:hAnsiTheme="majorHAnsi" w:cstheme="majorHAnsi"/>
          <w:szCs w:val="18"/>
        </w:rPr>
        <w:t> </w:t>
      </w:r>
      <w:r w:rsidRPr="006070EA">
        <w:rPr>
          <w:rFonts w:asciiTheme="majorHAnsi" w:hAnsiTheme="majorHAnsi" w:cstheme="majorHAnsi"/>
          <w:szCs w:val="18"/>
        </w:rPr>
        <w:t xml:space="preserve">maximální velikost zastavěné plochy stavby zajišťující ochranu krajinného rázu – případné stavby by neměly převyšovat vzrostlou vegetaci krajinné zeleně a z hlediska měřítka a hmoty nenarušovat měřítko volné krajiny a krajinné horizonty v dálkových pohledech. Zároveň jsou prostorové regulace stanoveny tak, aby v rámci nich bylo možné umístit doplňkovou stavbu pro zemědělské nebo lesní hospodaření, stavby pro rozvoj veřejné rekreace a cestovního ruchu a další stavby vodohospodářské, protipovodňové atd. </w:t>
      </w:r>
      <w:r w:rsidR="00BE2477" w:rsidRPr="006070EA">
        <w:rPr>
          <w:rFonts w:asciiTheme="majorHAnsi" w:hAnsiTheme="majorHAnsi" w:cstheme="majorHAnsi"/>
          <w:szCs w:val="18"/>
        </w:rPr>
        <w:t xml:space="preserve">Tyto podmínky jsou stanoveny pro plochy </w:t>
      </w:r>
      <w:proofErr w:type="gramStart"/>
      <w:r w:rsidR="00463154" w:rsidRPr="006070EA">
        <w:rPr>
          <w:rFonts w:asciiTheme="majorHAnsi" w:hAnsiTheme="majorHAnsi" w:cstheme="majorHAnsi"/>
          <w:szCs w:val="18"/>
        </w:rPr>
        <w:t>MU.zp</w:t>
      </w:r>
      <w:proofErr w:type="gramEnd"/>
      <w:r w:rsidR="00BE2477" w:rsidRPr="006070EA">
        <w:rPr>
          <w:rFonts w:asciiTheme="majorHAnsi" w:hAnsiTheme="majorHAnsi" w:cstheme="majorHAnsi"/>
          <w:szCs w:val="18"/>
        </w:rPr>
        <w:t xml:space="preserve"> a </w:t>
      </w:r>
      <w:proofErr w:type="gramStart"/>
      <w:r w:rsidR="00463154" w:rsidRPr="006070EA">
        <w:rPr>
          <w:rFonts w:asciiTheme="majorHAnsi" w:hAnsiTheme="majorHAnsi" w:cstheme="majorHAnsi"/>
          <w:szCs w:val="18"/>
        </w:rPr>
        <w:t>MU.r</w:t>
      </w:r>
      <w:proofErr w:type="gramEnd"/>
      <w:r w:rsidR="006D146A" w:rsidRPr="006070EA">
        <w:rPr>
          <w:rFonts w:asciiTheme="majorHAnsi" w:hAnsiTheme="majorHAnsi" w:cstheme="majorHAnsi"/>
          <w:szCs w:val="18"/>
        </w:rPr>
        <w:t>;</w:t>
      </w:r>
      <w:r w:rsidR="00BE2477" w:rsidRPr="006070EA">
        <w:rPr>
          <w:rFonts w:asciiTheme="majorHAnsi" w:hAnsiTheme="majorHAnsi" w:cstheme="majorHAnsi"/>
          <w:szCs w:val="18"/>
        </w:rPr>
        <w:t xml:space="preserve"> pro plochy </w:t>
      </w:r>
      <w:proofErr w:type="gramStart"/>
      <w:r w:rsidR="00463154" w:rsidRPr="006070EA">
        <w:rPr>
          <w:rFonts w:asciiTheme="majorHAnsi" w:hAnsiTheme="majorHAnsi" w:cstheme="majorHAnsi"/>
          <w:szCs w:val="18"/>
        </w:rPr>
        <w:t>MU.s</w:t>
      </w:r>
      <w:proofErr w:type="gramEnd"/>
      <w:r w:rsidR="00463154" w:rsidRPr="006070EA">
        <w:rPr>
          <w:rFonts w:asciiTheme="majorHAnsi" w:hAnsiTheme="majorHAnsi" w:cstheme="majorHAnsi"/>
          <w:szCs w:val="18"/>
        </w:rPr>
        <w:t xml:space="preserve"> </w:t>
      </w:r>
      <w:r w:rsidR="00BE2477" w:rsidRPr="006070EA">
        <w:rPr>
          <w:rFonts w:asciiTheme="majorHAnsi" w:hAnsiTheme="majorHAnsi" w:cstheme="majorHAnsi"/>
          <w:szCs w:val="18"/>
        </w:rPr>
        <w:t>s ohledem k záměrům v těchto plochách, jejich lokalizaci a specifikům stanoveny nejsou.</w:t>
      </w:r>
    </w:p>
    <w:p w14:paraId="3441D635" w14:textId="5F80B6E8" w:rsidR="00831223" w:rsidRPr="006070EA" w:rsidRDefault="00831223" w:rsidP="00831223">
      <w:pPr>
        <w:pStyle w:val="Atext"/>
        <w:rPr>
          <w:rFonts w:asciiTheme="majorHAnsi" w:hAnsiTheme="majorHAnsi" w:cstheme="majorHAnsi"/>
        </w:rPr>
      </w:pPr>
      <w:r w:rsidRPr="00A76411">
        <w:rPr>
          <w:rFonts w:asciiTheme="majorHAnsi" w:hAnsiTheme="majorHAnsi" w:cstheme="majorHAnsi"/>
        </w:rPr>
        <w:t xml:space="preserve">V rámci ploch MU.zp je obdobně jako v plochách AU, které spolu s plochami MU.zp spoluutváří převážnou část volné krajiny, vyloučeno umisťovat výrobny energie ze slunečního záření (fotovoltaické elektrárny, FVE) z důvodu veřejného zájmu na ochraně přírodních a krajinných hodnot území, které jsou klíčové pro zachování kvalitního životního prostředí, posílení krajinného rázu a přírodních hodnot (zejména krajinářsky cenné lokality, volné zemědělské pozemky) a rovněž pro možný rozvoj cestovního ruchu a rekreace. S ohledem na charakter celého území je umisťování výroben energie z FVE vyloučeno ve volné krajině bez předchozího prověření (např. v rámci změny územního plánu), a to přesto, že výroba energie z obnovitelných zdrojů je rovněž ve veřejném zájmu. Ochrana krajinného rázu, přírodních hodnot a s tím související možnost využití rekreačního potenciálu území jsou rovněž ve veřejném zájmu, který je spatřován zejména v rámci zajištění ochrany přírodně a krajinářsky </w:t>
      </w:r>
      <w:r w:rsidRPr="00A76411">
        <w:rPr>
          <w:rFonts w:asciiTheme="majorHAnsi" w:hAnsiTheme="majorHAnsi" w:cstheme="majorHAnsi"/>
        </w:rPr>
        <w:lastRenderedPageBreak/>
        <w:t>významných území. Případný rozvoj výroben energie z obnovitelných zdrojů je tedy nutné směřovat především do ploch urbanizovaného území (zastavěné území a zastavitelné plochy), v </w:t>
      </w:r>
      <w:proofErr w:type="gramStart"/>
      <w:r w:rsidRPr="00A76411">
        <w:rPr>
          <w:rFonts w:asciiTheme="majorHAnsi" w:hAnsiTheme="majorHAnsi" w:cstheme="majorHAnsi"/>
        </w:rPr>
        <w:t>rámci</w:t>
      </w:r>
      <w:proofErr w:type="gramEnd"/>
      <w:r w:rsidRPr="00A76411">
        <w:rPr>
          <w:rFonts w:asciiTheme="majorHAnsi" w:hAnsiTheme="majorHAnsi" w:cstheme="majorHAnsi"/>
        </w:rPr>
        <w:t xml:space="preserve"> kterých jsou jejich realizace a provoz umožněny za podmínky, že se jedná o technická zařízení staveb. Na plochách pro zemědělství se omezuje velikost výrobny elektřiny s instalovaným výkonem nad 50 kW z důvodu zamezení vzniku velkých FVE parků, které by narušily krajinný ráz a ovlivnily hlavní způsob využití, kterým je zemědělská výroba a pozemky ZPF. Splnění požadavků § 19 odst. 1 písm. j) zákona č. 183/2006 Sb., tj. požadavek na vymezování ploch pro výrobny z obnovitelných zdrojů, je zajištěno tak, že umístění těchto staveb umožňují ostatní plochy s rozdílným způsobem využití.</w:t>
      </w:r>
    </w:p>
    <w:p w14:paraId="368425F8" w14:textId="77777777" w:rsidR="00082327" w:rsidRPr="006070EA" w:rsidRDefault="00082327" w:rsidP="00155D25">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7</w:t>
      </w:r>
      <w:r w:rsidRPr="006070EA">
        <w:rPr>
          <w:rFonts w:asciiTheme="majorHAnsi" w:hAnsiTheme="majorHAnsi" w:cstheme="majorHAnsi"/>
          <w:b/>
          <w:i/>
          <w:color w:val="auto"/>
          <w:sz w:val="22"/>
        </w:rPr>
        <w:tab/>
        <w:t>Vymezení veřejně prospěšných staveb, veřejně prospěšných opatření, staveb a opatření k zajišťování obrany a bezpečnosti státu</w:t>
      </w:r>
      <w:r w:rsidR="003367DF" w:rsidRPr="006070EA">
        <w:rPr>
          <w:rFonts w:asciiTheme="majorHAnsi" w:hAnsiTheme="majorHAnsi" w:cstheme="majorHAnsi"/>
          <w:b/>
          <w:i/>
          <w:color w:val="auto"/>
          <w:sz w:val="22"/>
        </w:rPr>
        <w:t xml:space="preserve"> a</w:t>
      </w:r>
      <w:r w:rsidRPr="006070EA">
        <w:rPr>
          <w:rFonts w:asciiTheme="majorHAnsi" w:hAnsiTheme="majorHAnsi" w:cstheme="majorHAnsi"/>
          <w:b/>
          <w:i/>
          <w:color w:val="auto"/>
          <w:sz w:val="22"/>
        </w:rPr>
        <w:t xml:space="preserve"> plochy pro asanaci, pro které lze práva k pozemkům a stavbám vyvlastnit</w:t>
      </w:r>
    </w:p>
    <w:p w14:paraId="06B16D4B" w14:textId="77777777" w:rsidR="00082327" w:rsidRPr="006070EA" w:rsidRDefault="00082327" w:rsidP="00BC15CD">
      <w:pPr>
        <w:pStyle w:val="Odstavecseseznamem"/>
        <w:keepNext/>
        <w:numPr>
          <w:ilvl w:val="1"/>
          <w:numId w:val="30"/>
        </w:numPr>
        <w:spacing w:before="160" w:after="120" w:line="240" w:lineRule="auto"/>
        <w:ind w:left="709" w:hanging="709"/>
        <w:contextualSpacing w:val="0"/>
        <w:jc w:val="both"/>
        <w:outlineLvl w:val="1"/>
        <w:rPr>
          <w:rFonts w:asciiTheme="majorHAnsi" w:hAnsiTheme="majorHAnsi" w:cstheme="majorHAnsi"/>
          <w:b/>
          <w:sz w:val="24"/>
          <w:szCs w:val="20"/>
        </w:rPr>
      </w:pPr>
      <w:bookmarkStart w:id="406" w:name="_Toc424119860"/>
      <w:bookmarkStart w:id="407" w:name="_Toc204678216"/>
      <w:r w:rsidRPr="006070EA">
        <w:rPr>
          <w:rFonts w:asciiTheme="majorHAnsi" w:hAnsiTheme="majorHAnsi" w:cstheme="majorHAnsi"/>
          <w:b/>
          <w:sz w:val="24"/>
          <w:szCs w:val="20"/>
        </w:rPr>
        <w:t>Odůvodnění vymezení veřejně prospěšných staveb, veřejně prospěšných opatření</w:t>
      </w:r>
      <w:bookmarkEnd w:id="406"/>
      <w:r w:rsidRPr="006070EA">
        <w:rPr>
          <w:rFonts w:asciiTheme="majorHAnsi" w:hAnsiTheme="majorHAnsi" w:cstheme="majorHAnsi"/>
          <w:b/>
          <w:sz w:val="24"/>
          <w:szCs w:val="20"/>
        </w:rPr>
        <w:t>, staveb a opatření k zajišťování obrany a bezpečnosti státu, ploch pro asanaci, pro které lze práva k pozemkům a stavbám vyvlastnit</w:t>
      </w:r>
      <w:bookmarkEnd w:id="407"/>
    </w:p>
    <w:p w14:paraId="126AF1F1" w14:textId="7CBFF8F4" w:rsidR="007F0B57" w:rsidRPr="006070EA" w:rsidRDefault="007F0B57" w:rsidP="007F0B57">
      <w:pPr>
        <w:pStyle w:val="Atext"/>
        <w:keepNext/>
        <w:ind w:left="1429"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Odůvodnění odst.</w:t>
      </w:r>
      <w:r w:rsidRPr="006070EA">
        <w:rPr>
          <w:rFonts w:asciiTheme="majorHAnsi" w:hAnsiTheme="majorHAnsi" w:cstheme="majorHAnsi"/>
          <w:b/>
          <w:i/>
          <w:snapToGrid w:val="0"/>
          <w:u w:val="single"/>
        </w:rPr>
        <w:t xml:space="preserve"> (</w:t>
      </w:r>
      <w:r w:rsidR="00463154" w:rsidRPr="006070EA">
        <w:rPr>
          <w:rFonts w:asciiTheme="majorHAnsi" w:hAnsiTheme="majorHAnsi" w:cstheme="majorHAnsi"/>
          <w:b/>
          <w:i/>
          <w:snapToGrid w:val="0"/>
          <w:u w:val="single"/>
        </w:rPr>
        <w:t>8</w:t>
      </w:r>
      <w:r w:rsidR="0021590A">
        <w:rPr>
          <w:rFonts w:asciiTheme="majorHAnsi" w:hAnsiTheme="majorHAnsi" w:cstheme="majorHAnsi"/>
          <w:b/>
          <w:i/>
          <w:snapToGrid w:val="0"/>
          <w:u w:val="single"/>
        </w:rPr>
        <w:t>3</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2BD06838" w14:textId="25A2CA5F" w:rsidR="007F0B57" w:rsidRPr="006070EA" w:rsidRDefault="007F0B57" w:rsidP="007F0B57">
      <w:pPr>
        <w:pStyle w:val="Atext"/>
        <w:rPr>
          <w:rFonts w:asciiTheme="majorHAnsi" w:hAnsiTheme="majorHAnsi" w:cstheme="majorHAnsi"/>
        </w:rPr>
      </w:pPr>
      <w:r w:rsidRPr="006070EA">
        <w:rPr>
          <w:rFonts w:asciiTheme="majorHAnsi" w:hAnsiTheme="majorHAnsi" w:cstheme="majorHAnsi"/>
        </w:rPr>
        <w:t xml:space="preserve">V souladu s § 2 odst. 1 písm. n) a o) zákona č. 183/2006 Sb. ÚP vymezuje veřejně prospěšné stavby a veřejně prospěšná opatření. Jako veřejně prospěšné stavby, pro které lze práva k pozemkům a stavbám vyvlastnit, jsou vymezeny </w:t>
      </w:r>
      <w:r w:rsidR="00BC15CD" w:rsidRPr="006070EA">
        <w:rPr>
          <w:rFonts w:asciiTheme="majorHAnsi" w:hAnsiTheme="majorHAnsi" w:cstheme="majorHAnsi"/>
        </w:rPr>
        <w:t>koridory pro umístění veřejně prospěšných staveb</w:t>
      </w:r>
      <w:r w:rsidRPr="006070EA">
        <w:rPr>
          <w:rFonts w:asciiTheme="majorHAnsi" w:hAnsiTheme="majorHAnsi" w:cstheme="majorHAnsi"/>
        </w:rPr>
        <w:t xml:space="preserve"> určené pro veřejnou infrastrukturu dle § 2 odst. 1 písm. m) číslo 1 a 2. stavebního zákona (dopravní a technická infrastruktura), které naplňují účely vyvlastnění dle § 170 odst. 1 písm. a) stavebního zákona. Jako veřejně prospěšná opatření v souladu s § 2 odst. 1 písm. o) stavebního zákona jsou vymezena </w:t>
      </w:r>
      <w:r w:rsidR="00BC15CD" w:rsidRPr="006070EA">
        <w:rPr>
          <w:rFonts w:asciiTheme="majorHAnsi" w:hAnsiTheme="majorHAnsi" w:cstheme="majorHAnsi"/>
        </w:rPr>
        <w:t xml:space="preserve">v daném případě plochy </w:t>
      </w:r>
      <w:r w:rsidRPr="006070EA">
        <w:rPr>
          <w:rFonts w:asciiTheme="majorHAnsi" w:hAnsiTheme="majorHAnsi" w:cstheme="majorHAnsi"/>
        </w:rPr>
        <w:t xml:space="preserve">pro založení </w:t>
      </w:r>
      <w:r w:rsidR="00BC15CD" w:rsidRPr="006070EA">
        <w:rPr>
          <w:rFonts w:asciiTheme="majorHAnsi" w:hAnsiTheme="majorHAnsi" w:cstheme="majorHAnsi"/>
        </w:rPr>
        <w:t>skladebných částí</w:t>
      </w:r>
      <w:r w:rsidRPr="006070EA">
        <w:rPr>
          <w:rFonts w:asciiTheme="majorHAnsi" w:hAnsiTheme="majorHAnsi" w:cstheme="majorHAnsi"/>
        </w:rPr>
        <w:t xml:space="preserve"> územního systému ekologické stability</w:t>
      </w:r>
      <w:r w:rsidR="00BC15CD" w:rsidRPr="006070EA">
        <w:rPr>
          <w:rFonts w:asciiTheme="majorHAnsi" w:hAnsiTheme="majorHAnsi" w:cstheme="majorHAnsi"/>
        </w:rPr>
        <w:t xml:space="preserve"> (plochy nestabilních částí ÚSES)</w:t>
      </w:r>
      <w:r w:rsidRPr="006070EA">
        <w:rPr>
          <w:rFonts w:asciiTheme="majorHAnsi" w:hAnsiTheme="majorHAnsi" w:cstheme="majorHAnsi"/>
        </w:rPr>
        <w:t>, která naplňují účely vyvlastnění dle § 170 odst. 1 písm. b) stavebního zákona.</w:t>
      </w:r>
    </w:p>
    <w:p w14:paraId="753AF2A0" w14:textId="77777777" w:rsidR="007F0B57" w:rsidRPr="006070EA" w:rsidRDefault="007F0B57" w:rsidP="007F0B57">
      <w:pPr>
        <w:pStyle w:val="ANADPIS4"/>
        <w:rPr>
          <w:rFonts w:asciiTheme="majorHAnsi" w:hAnsiTheme="majorHAnsi" w:cstheme="majorHAnsi"/>
        </w:rPr>
      </w:pPr>
      <w:r w:rsidRPr="006070EA">
        <w:rPr>
          <w:rFonts w:asciiTheme="majorHAnsi" w:hAnsiTheme="majorHAnsi" w:cstheme="majorHAnsi"/>
        </w:rPr>
        <w:t>veřejně prospěšné stavby dopravní infrastruktury</w:t>
      </w:r>
    </w:p>
    <w:p w14:paraId="717ACC7F" w14:textId="0C1A007E" w:rsidR="007F0B57" w:rsidRPr="006070EA" w:rsidRDefault="007F0B57" w:rsidP="007F0B57">
      <w:pPr>
        <w:pStyle w:val="Mra2-reakceern"/>
        <w:keepNext/>
        <w:pBdr>
          <w:left w:val="none" w:sz="0" w:space="0" w:color="auto"/>
        </w:pBdr>
        <w:spacing w:before="120" w:after="60"/>
        <w:ind w:left="0"/>
        <w:jc w:val="right"/>
        <w:rPr>
          <w:rFonts w:asciiTheme="majorHAnsi" w:hAnsiTheme="majorHAnsi" w:cstheme="majorHAnsi"/>
          <w:i/>
          <w:color w:val="auto"/>
          <w:u w:val="single"/>
        </w:rPr>
      </w:pPr>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w:t>
      </w:r>
      <w:r w:rsidR="00463154" w:rsidRPr="006070EA">
        <w:rPr>
          <w:rFonts w:asciiTheme="majorHAnsi" w:hAnsiTheme="majorHAnsi" w:cstheme="majorHAnsi"/>
          <w:b/>
          <w:i/>
          <w:color w:val="auto"/>
          <w:u w:val="single"/>
        </w:rPr>
        <w:t>8</w:t>
      </w:r>
      <w:r w:rsidR="0021590A">
        <w:rPr>
          <w:rFonts w:asciiTheme="majorHAnsi" w:hAnsiTheme="majorHAnsi" w:cstheme="majorHAnsi"/>
          <w:b/>
          <w:i/>
          <w:color w:val="auto"/>
          <w:u w:val="single"/>
        </w:rPr>
        <w:t>3</w:t>
      </w:r>
      <w:r w:rsidRPr="006070EA">
        <w:rPr>
          <w:rFonts w:asciiTheme="majorHAnsi" w:hAnsiTheme="majorHAnsi" w:cstheme="majorHAnsi"/>
          <w:b/>
          <w:i/>
          <w:color w:val="auto"/>
          <w:u w:val="single"/>
        </w:rPr>
        <w:t>)</w:t>
      </w:r>
      <w:r w:rsidRPr="006070EA">
        <w:rPr>
          <w:rFonts w:asciiTheme="majorHAnsi" w:hAnsiTheme="majorHAnsi" w:cstheme="majorHAnsi"/>
          <w:i/>
          <w:color w:val="auto"/>
          <w:u w:val="single"/>
        </w:rPr>
        <w:t xml:space="preserve"> písm. a) výrokové části</w:t>
      </w:r>
    </w:p>
    <w:p w14:paraId="0F042564" w14:textId="6F046F0B" w:rsidR="007F0B57" w:rsidRPr="006070EA" w:rsidRDefault="007F0B57" w:rsidP="007F0B57">
      <w:pPr>
        <w:pStyle w:val="Atext"/>
        <w:rPr>
          <w:rFonts w:asciiTheme="majorHAnsi" w:hAnsiTheme="majorHAnsi" w:cstheme="majorHAnsi"/>
        </w:rPr>
      </w:pPr>
      <w:r w:rsidRPr="006070EA">
        <w:rPr>
          <w:rFonts w:asciiTheme="majorHAnsi" w:hAnsiTheme="majorHAnsi" w:cstheme="majorHAnsi"/>
        </w:rPr>
        <w:t>V souladu s § 170 odst. 1 písm. a) stavebního zákona jsou pro účely vyvlastnění vymezeny</w:t>
      </w:r>
      <w:r w:rsidR="00BC15CD" w:rsidRPr="006070EA">
        <w:rPr>
          <w:rFonts w:asciiTheme="majorHAnsi" w:hAnsiTheme="majorHAnsi" w:cstheme="majorHAnsi"/>
        </w:rPr>
        <w:t xml:space="preserve"> koridory pro umístění</w:t>
      </w:r>
      <w:r w:rsidRPr="006070EA">
        <w:rPr>
          <w:rFonts w:asciiTheme="majorHAnsi" w:hAnsiTheme="majorHAnsi" w:cstheme="majorHAnsi"/>
        </w:rPr>
        <w:t xml:space="preserve"> veřejně prospěšn</w:t>
      </w:r>
      <w:r w:rsidR="00BC15CD" w:rsidRPr="006070EA">
        <w:rPr>
          <w:rFonts w:asciiTheme="majorHAnsi" w:hAnsiTheme="majorHAnsi" w:cstheme="majorHAnsi"/>
        </w:rPr>
        <w:t>ých</w:t>
      </w:r>
      <w:r w:rsidRPr="006070EA">
        <w:rPr>
          <w:rFonts w:asciiTheme="majorHAnsi" w:hAnsiTheme="majorHAnsi" w:cstheme="majorHAnsi"/>
        </w:rPr>
        <w:t xml:space="preserve"> stav</w:t>
      </w:r>
      <w:r w:rsidR="00BC15CD" w:rsidRPr="006070EA">
        <w:rPr>
          <w:rFonts w:asciiTheme="majorHAnsi" w:hAnsiTheme="majorHAnsi" w:cstheme="majorHAnsi"/>
        </w:rPr>
        <w:t>eb</w:t>
      </w:r>
      <w:r w:rsidRPr="006070EA">
        <w:rPr>
          <w:rFonts w:asciiTheme="majorHAnsi" w:hAnsiTheme="majorHAnsi" w:cstheme="majorHAnsi"/>
        </w:rPr>
        <w:t xml:space="preserve"> dopravní infrastruktury v rozsahu koridorů zahrnujících pozemky nezbytné k zajištění její výstavby a řádného užívání pro stanovený účel. Jako veřejně prospěšné stavby dopravní infrastruktury jsou vymezeny koridory dopravní infrastruktury (</w:t>
      </w:r>
      <w:r w:rsidR="00463154" w:rsidRPr="006070EA">
        <w:rPr>
          <w:rFonts w:asciiTheme="majorHAnsi" w:hAnsiTheme="majorHAnsi" w:cstheme="majorHAnsi"/>
        </w:rPr>
        <w:t>CN</w:t>
      </w:r>
      <w:r w:rsidR="0021590A">
        <w:rPr>
          <w:rFonts w:asciiTheme="majorHAnsi" w:hAnsiTheme="majorHAnsi" w:cstheme="majorHAnsi"/>
        </w:rPr>
        <w:t>Z</w:t>
      </w:r>
      <w:r w:rsidR="00463154" w:rsidRPr="006070EA">
        <w:rPr>
          <w:rFonts w:asciiTheme="majorHAnsi" w:hAnsiTheme="majorHAnsi" w:cstheme="majorHAnsi"/>
        </w:rPr>
        <w:t>.</w:t>
      </w:r>
      <w:r w:rsidR="0021590A">
        <w:rPr>
          <w:rFonts w:asciiTheme="majorHAnsi" w:hAnsiTheme="majorHAnsi" w:cstheme="majorHAnsi"/>
        </w:rPr>
        <w:t>D322</w:t>
      </w:r>
      <w:r w:rsidRPr="006070EA">
        <w:rPr>
          <w:rFonts w:asciiTheme="majorHAnsi" w:hAnsiTheme="majorHAnsi" w:cstheme="majorHAnsi"/>
        </w:rPr>
        <w:t xml:space="preserve">, </w:t>
      </w:r>
      <w:r w:rsidR="00463154" w:rsidRPr="006070EA">
        <w:rPr>
          <w:rFonts w:asciiTheme="majorHAnsi" w:hAnsiTheme="majorHAnsi" w:cstheme="majorHAnsi"/>
        </w:rPr>
        <w:t>CNU.</w:t>
      </w:r>
      <w:r w:rsidRPr="006070EA">
        <w:rPr>
          <w:rFonts w:asciiTheme="majorHAnsi" w:hAnsiTheme="majorHAnsi" w:cstheme="majorHAnsi"/>
        </w:rPr>
        <w:t>K</w:t>
      </w:r>
      <w:r w:rsidR="00BC15CD" w:rsidRPr="006070EA">
        <w:rPr>
          <w:rFonts w:asciiTheme="majorHAnsi" w:hAnsiTheme="majorHAnsi" w:cstheme="majorHAnsi"/>
        </w:rPr>
        <w:t>D</w:t>
      </w:r>
      <w:r w:rsidR="0021590A">
        <w:rPr>
          <w:rFonts w:asciiTheme="majorHAnsi" w:hAnsiTheme="majorHAnsi" w:cstheme="majorHAnsi"/>
        </w:rPr>
        <w:t>1, CNU.KD2</w:t>
      </w:r>
      <w:r w:rsidR="00C208DE">
        <w:rPr>
          <w:rFonts w:asciiTheme="majorHAnsi" w:hAnsiTheme="majorHAnsi" w:cstheme="majorHAnsi"/>
        </w:rPr>
        <w:t>, CNU.KD3</w:t>
      </w:r>
      <w:r w:rsidRPr="006070EA">
        <w:rPr>
          <w:rFonts w:asciiTheme="majorHAnsi" w:hAnsiTheme="majorHAnsi" w:cstheme="majorHAnsi"/>
        </w:rPr>
        <w:t>)</w:t>
      </w:r>
      <w:r w:rsidR="0021590A">
        <w:rPr>
          <w:rFonts w:asciiTheme="majorHAnsi" w:hAnsiTheme="majorHAnsi" w:cstheme="majorHAnsi"/>
        </w:rPr>
        <w:t xml:space="preserve"> a zastavitelná plocha dopravy silniční (Z.24), určené pro dopravu</w:t>
      </w:r>
      <w:r w:rsidR="00BC15CD" w:rsidRPr="006070EA">
        <w:rPr>
          <w:rFonts w:asciiTheme="majorHAnsi" w:hAnsiTheme="majorHAnsi" w:cstheme="majorHAnsi"/>
        </w:rPr>
        <w:t>,</w:t>
      </w:r>
      <w:r w:rsidRPr="006070EA">
        <w:rPr>
          <w:rFonts w:asciiTheme="majorHAnsi" w:hAnsiTheme="majorHAnsi" w:cstheme="majorHAnsi"/>
        </w:rPr>
        <w:t xml:space="preserve"> které jsou součástí veřejné infrastruktury dle § 2 odst. 1 písm. m) č. 1 stavebního zákona a které explicitně naplňují účely vyvlastnění dle § 170 odst. 1 písm. a) stavebního zákona.</w:t>
      </w:r>
    </w:p>
    <w:p w14:paraId="2D1B2D8B" w14:textId="162637D0" w:rsidR="007F0B57" w:rsidRPr="006070EA" w:rsidRDefault="007F0B57" w:rsidP="007F0B57">
      <w:pPr>
        <w:pStyle w:val="Atext"/>
        <w:spacing w:before="60" w:after="60"/>
        <w:rPr>
          <w:rFonts w:asciiTheme="majorHAnsi" w:hAnsiTheme="majorHAnsi" w:cstheme="majorHAnsi"/>
        </w:rPr>
      </w:pPr>
      <w:r w:rsidRPr="006070EA">
        <w:rPr>
          <w:rFonts w:asciiTheme="majorHAnsi" w:hAnsiTheme="majorHAnsi" w:cstheme="majorHAnsi"/>
        </w:rPr>
        <w:t xml:space="preserve">Odůvodnění jednotlivých </w:t>
      </w:r>
      <w:r w:rsidR="00BC15CD" w:rsidRPr="006070EA">
        <w:rPr>
          <w:rFonts w:asciiTheme="majorHAnsi" w:hAnsiTheme="majorHAnsi" w:cstheme="majorHAnsi"/>
        </w:rPr>
        <w:t>koridorů</w:t>
      </w:r>
      <w:r w:rsidR="0021590A">
        <w:rPr>
          <w:rFonts w:asciiTheme="majorHAnsi" w:hAnsiTheme="majorHAnsi" w:cstheme="majorHAnsi"/>
        </w:rPr>
        <w:t xml:space="preserve"> a plochy</w:t>
      </w:r>
      <w:r w:rsidR="00BC15CD" w:rsidRPr="006070EA">
        <w:rPr>
          <w:rFonts w:asciiTheme="majorHAnsi" w:hAnsiTheme="majorHAnsi" w:cstheme="majorHAnsi"/>
        </w:rPr>
        <w:t xml:space="preserve">, které jsou zároveň vymezeny jako koridory pro umístění </w:t>
      </w:r>
      <w:r w:rsidRPr="006070EA">
        <w:rPr>
          <w:rFonts w:asciiTheme="majorHAnsi" w:hAnsiTheme="majorHAnsi" w:cstheme="majorHAnsi"/>
        </w:rPr>
        <w:t>VPS</w:t>
      </w:r>
      <w:r w:rsidR="0021590A">
        <w:rPr>
          <w:rFonts w:asciiTheme="majorHAnsi" w:hAnsiTheme="majorHAnsi" w:cstheme="majorHAnsi"/>
        </w:rPr>
        <w:t xml:space="preserve"> a plocha pro umístění VPS</w:t>
      </w:r>
      <w:r w:rsidRPr="006070EA">
        <w:rPr>
          <w:rFonts w:asciiTheme="majorHAnsi" w:hAnsiTheme="majorHAnsi" w:cstheme="majorHAnsi"/>
        </w:rPr>
        <w:t xml:space="preserve">, je součástí komplexního zdůvodnění přijatého řešení a podrobně je uvedeno v tematických podkapitolách: </w:t>
      </w:r>
    </w:p>
    <w:p w14:paraId="01CDB608" w14:textId="356F9AFE" w:rsidR="007F0B57" w:rsidRPr="006070EA" w:rsidRDefault="007F0B57" w:rsidP="007F0B57">
      <w:pPr>
        <w:pStyle w:val="Atext"/>
        <w:numPr>
          <w:ilvl w:val="0"/>
          <w:numId w:val="43"/>
        </w:numPr>
        <w:spacing w:before="60" w:after="60"/>
        <w:ind w:left="1134"/>
        <w:rPr>
          <w:rFonts w:asciiTheme="majorHAnsi" w:hAnsiTheme="majorHAnsi" w:cstheme="majorHAnsi"/>
        </w:rPr>
      </w:pPr>
      <w:r w:rsidRPr="006070EA">
        <w:rPr>
          <w:rFonts w:asciiTheme="majorHAnsi" w:hAnsiTheme="majorHAnsi" w:cstheme="majorHAnsi"/>
        </w:rPr>
        <w:t>pro koridory dopravní infrastruktur</w:t>
      </w:r>
      <w:r w:rsidR="00AE0B21">
        <w:rPr>
          <w:rFonts w:asciiTheme="majorHAnsi" w:hAnsiTheme="majorHAnsi" w:cstheme="majorHAnsi"/>
        </w:rPr>
        <w:t>y</w:t>
      </w:r>
      <w:r w:rsidRPr="006070EA">
        <w:rPr>
          <w:rFonts w:asciiTheme="majorHAnsi" w:hAnsiTheme="majorHAnsi" w:cstheme="majorHAnsi"/>
        </w:rPr>
        <w:t xml:space="preserve"> v</w:t>
      </w:r>
      <w:r w:rsidR="00463154" w:rsidRPr="006070EA">
        <w:rPr>
          <w:rFonts w:asciiTheme="majorHAnsi" w:hAnsiTheme="majorHAnsi" w:cstheme="majorHAnsi"/>
        </w:rPr>
        <w:t> </w:t>
      </w:r>
      <w:r w:rsidRPr="006070EA">
        <w:rPr>
          <w:rFonts w:asciiTheme="majorHAnsi" w:hAnsiTheme="majorHAnsi" w:cstheme="majorHAnsi"/>
        </w:rPr>
        <w:t>kapitole</w:t>
      </w:r>
      <w:r w:rsidR="00463154" w:rsidRPr="006070EA">
        <w:rPr>
          <w:rFonts w:asciiTheme="majorHAnsi" w:hAnsiTheme="majorHAnsi" w:cstheme="majorHAnsi"/>
        </w:rPr>
        <w:t> </w:t>
      </w:r>
      <w:r w:rsidRPr="006070EA">
        <w:rPr>
          <w:rFonts w:asciiTheme="majorHAnsi" w:hAnsiTheme="majorHAnsi" w:cstheme="majorHAnsi"/>
        </w:rPr>
        <w:t>11.4</w:t>
      </w:r>
    </w:p>
    <w:p w14:paraId="4AFEC361" w14:textId="6CA1A18E" w:rsidR="00AE0B21" w:rsidRPr="006070EA" w:rsidRDefault="00AE0B21" w:rsidP="00AE0B21">
      <w:pPr>
        <w:pStyle w:val="Atext"/>
        <w:numPr>
          <w:ilvl w:val="1"/>
          <w:numId w:val="43"/>
        </w:numPr>
        <w:spacing w:before="60" w:after="60"/>
        <w:rPr>
          <w:rFonts w:asciiTheme="majorHAnsi" w:hAnsiTheme="majorHAnsi" w:cstheme="majorHAnsi"/>
        </w:rPr>
      </w:pPr>
      <w:r w:rsidRPr="006070EA">
        <w:rPr>
          <w:rFonts w:asciiTheme="majorHAnsi" w:hAnsiTheme="majorHAnsi" w:cstheme="majorHAnsi"/>
        </w:rPr>
        <w:t>VPS VD.3 – modernizace železniční trati č. 231 (traťový úsek Nymburk – Lysá nad Labem) a související dopravní stavby (koridor CN</w:t>
      </w:r>
      <w:r>
        <w:rPr>
          <w:rFonts w:asciiTheme="majorHAnsi" w:hAnsiTheme="majorHAnsi" w:cstheme="majorHAnsi"/>
        </w:rPr>
        <w:t>Z</w:t>
      </w:r>
      <w:r w:rsidRPr="006070EA">
        <w:rPr>
          <w:rFonts w:asciiTheme="majorHAnsi" w:hAnsiTheme="majorHAnsi" w:cstheme="majorHAnsi"/>
        </w:rPr>
        <w:t>.</w:t>
      </w:r>
      <w:r>
        <w:rPr>
          <w:rFonts w:asciiTheme="majorHAnsi" w:hAnsiTheme="majorHAnsi" w:cstheme="majorHAnsi"/>
        </w:rPr>
        <w:t>D322</w:t>
      </w:r>
      <w:r w:rsidRPr="006070EA">
        <w:rPr>
          <w:rFonts w:asciiTheme="majorHAnsi" w:hAnsiTheme="majorHAnsi" w:cstheme="majorHAnsi"/>
        </w:rPr>
        <w:t>)</w:t>
      </w:r>
    </w:p>
    <w:p w14:paraId="00437A28" w14:textId="6F2249F5" w:rsidR="00872C68" w:rsidRDefault="00872C68" w:rsidP="00872C68">
      <w:pPr>
        <w:pStyle w:val="Atext"/>
        <w:numPr>
          <w:ilvl w:val="1"/>
          <w:numId w:val="43"/>
        </w:numPr>
        <w:spacing w:before="60" w:after="60"/>
        <w:rPr>
          <w:rFonts w:asciiTheme="majorHAnsi" w:hAnsiTheme="majorHAnsi" w:cstheme="majorHAnsi"/>
        </w:rPr>
      </w:pPr>
      <w:r w:rsidRPr="006070EA">
        <w:rPr>
          <w:rFonts w:asciiTheme="majorHAnsi" w:hAnsiTheme="majorHAnsi" w:cstheme="majorHAnsi"/>
        </w:rPr>
        <w:t>VPS VD</w:t>
      </w:r>
      <w:r w:rsidR="00463154" w:rsidRPr="006070EA">
        <w:rPr>
          <w:rFonts w:asciiTheme="majorHAnsi" w:hAnsiTheme="majorHAnsi" w:cstheme="majorHAnsi"/>
        </w:rPr>
        <w:t>.</w:t>
      </w:r>
      <w:r w:rsidRPr="006070EA">
        <w:rPr>
          <w:rFonts w:asciiTheme="majorHAnsi" w:hAnsiTheme="majorHAnsi" w:cstheme="majorHAnsi"/>
        </w:rPr>
        <w:t xml:space="preserve">4 – lávka přes řeku Labe pro pěší a cyklisty (koridor </w:t>
      </w:r>
      <w:r w:rsidR="00463154" w:rsidRPr="006070EA">
        <w:rPr>
          <w:rFonts w:asciiTheme="majorHAnsi" w:hAnsiTheme="majorHAnsi" w:cstheme="majorHAnsi"/>
        </w:rPr>
        <w:t>CNU.</w:t>
      </w:r>
      <w:r w:rsidRPr="006070EA">
        <w:rPr>
          <w:rFonts w:asciiTheme="majorHAnsi" w:hAnsiTheme="majorHAnsi" w:cstheme="majorHAnsi"/>
        </w:rPr>
        <w:t>KDN1)</w:t>
      </w:r>
    </w:p>
    <w:p w14:paraId="717A1FBF" w14:textId="355A01D0" w:rsidR="00AE0B21" w:rsidRDefault="00AE0B21" w:rsidP="006E037C">
      <w:pPr>
        <w:pStyle w:val="Atext"/>
        <w:numPr>
          <w:ilvl w:val="1"/>
          <w:numId w:val="43"/>
        </w:numPr>
        <w:spacing w:before="60" w:after="60"/>
        <w:rPr>
          <w:rFonts w:asciiTheme="majorHAnsi" w:hAnsiTheme="majorHAnsi" w:cstheme="majorHAnsi"/>
        </w:rPr>
      </w:pPr>
      <w:r w:rsidRPr="00AE0B21">
        <w:rPr>
          <w:rFonts w:asciiTheme="majorHAnsi" w:hAnsiTheme="majorHAnsi" w:cstheme="majorHAnsi"/>
        </w:rPr>
        <w:t xml:space="preserve">VPS.VD.6 </w:t>
      </w:r>
      <w:r>
        <w:rPr>
          <w:rFonts w:asciiTheme="majorHAnsi" w:hAnsiTheme="majorHAnsi" w:cstheme="majorHAnsi"/>
        </w:rPr>
        <w:t>–</w:t>
      </w:r>
      <w:r w:rsidRPr="00AE0B21">
        <w:rPr>
          <w:rFonts w:asciiTheme="majorHAnsi" w:hAnsiTheme="majorHAnsi" w:cstheme="majorHAnsi"/>
        </w:rPr>
        <w:t xml:space="preserve"> dopravní stavby související s modernizací železniční trati č. 231 (zejm. přeložka silnice III. třídy)</w:t>
      </w:r>
      <w:r>
        <w:rPr>
          <w:rFonts w:asciiTheme="majorHAnsi" w:hAnsiTheme="majorHAnsi" w:cstheme="majorHAnsi"/>
        </w:rPr>
        <w:t xml:space="preserve"> </w:t>
      </w:r>
      <w:r w:rsidRPr="00AE0B21">
        <w:rPr>
          <w:rFonts w:asciiTheme="majorHAnsi" w:hAnsiTheme="majorHAnsi" w:cstheme="majorHAnsi"/>
        </w:rPr>
        <w:t>(koridor CNU.KD1)</w:t>
      </w:r>
    </w:p>
    <w:p w14:paraId="22D2CF8F" w14:textId="583EBA63" w:rsidR="00AE0B21" w:rsidRDefault="00AE0B21" w:rsidP="00DC67CC">
      <w:pPr>
        <w:pStyle w:val="Atext"/>
        <w:numPr>
          <w:ilvl w:val="1"/>
          <w:numId w:val="43"/>
        </w:numPr>
        <w:spacing w:before="60" w:after="60"/>
        <w:rPr>
          <w:rFonts w:asciiTheme="majorHAnsi" w:hAnsiTheme="majorHAnsi" w:cstheme="majorHAnsi"/>
        </w:rPr>
      </w:pPr>
      <w:r w:rsidRPr="00AE0B21">
        <w:rPr>
          <w:rFonts w:asciiTheme="majorHAnsi" w:hAnsiTheme="majorHAnsi" w:cstheme="majorHAnsi"/>
        </w:rPr>
        <w:t>VPS.VD.7 – dopravní stavby související s modernizací železniční trati č. 231 (zejm. napojení mimoúrovňového křížení silnice a železniční trati na silnici II/331)</w:t>
      </w:r>
      <w:r>
        <w:rPr>
          <w:rFonts w:asciiTheme="majorHAnsi" w:hAnsiTheme="majorHAnsi" w:cstheme="majorHAnsi"/>
        </w:rPr>
        <w:t xml:space="preserve"> </w:t>
      </w:r>
      <w:r w:rsidRPr="00AE0B21">
        <w:rPr>
          <w:rFonts w:asciiTheme="majorHAnsi" w:hAnsiTheme="majorHAnsi" w:cstheme="majorHAnsi"/>
        </w:rPr>
        <w:t>(koridor CNU.KD2)</w:t>
      </w:r>
    </w:p>
    <w:p w14:paraId="5D424DA8" w14:textId="29937AD2" w:rsidR="00C208DE" w:rsidRDefault="00C208DE" w:rsidP="00DC67CC">
      <w:pPr>
        <w:pStyle w:val="Atext"/>
        <w:numPr>
          <w:ilvl w:val="1"/>
          <w:numId w:val="43"/>
        </w:numPr>
        <w:spacing w:before="60" w:after="60"/>
        <w:rPr>
          <w:rFonts w:asciiTheme="majorHAnsi" w:hAnsiTheme="majorHAnsi" w:cstheme="majorHAnsi"/>
        </w:rPr>
      </w:pPr>
      <w:r>
        <w:rPr>
          <w:rFonts w:asciiTheme="majorHAnsi" w:hAnsiTheme="majorHAnsi" w:cstheme="majorHAnsi"/>
        </w:rPr>
        <w:t>VPS VD.8</w:t>
      </w:r>
      <w:r w:rsidRPr="00AE0B21">
        <w:rPr>
          <w:rFonts w:asciiTheme="majorHAnsi" w:hAnsiTheme="majorHAnsi" w:cstheme="majorHAnsi"/>
        </w:rPr>
        <w:t xml:space="preserve"> – dopravní stavby související s modernizací železniční trati č. 231 (zejm. </w:t>
      </w:r>
      <w:r>
        <w:rPr>
          <w:rFonts w:asciiTheme="majorHAnsi" w:hAnsiTheme="majorHAnsi" w:cstheme="majorHAnsi"/>
        </w:rPr>
        <w:t>propojení místních komunikací</w:t>
      </w:r>
      <w:r w:rsidRPr="00AE0B21">
        <w:rPr>
          <w:rFonts w:asciiTheme="majorHAnsi" w:hAnsiTheme="majorHAnsi" w:cstheme="majorHAnsi"/>
        </w:rPr>
        <w:t>)</w:t>
      </w:r>
      <w:r>
        <w:rPr>
          <w:rFonts w:asciiTheme="majorHAnsi" w:hAnsiTheme="majorHAnsi" w:cstheme="majorHAnsi"/>
        </w:rPr>
        <w:t xml:space="preserve"> </w:t>
      </w:r>
      <w:r w:rsidRPr="00AE0B21">
        <w:rPr>
          <w:rFonts w:asciiTheme="majorHAnsi" w:hAnsiTheme="majorHAnsi" w:cstheme="majorHAnsi"/>
        </w:rPr>
        <w:t>(koridor CNU.KD</w:t>
      </w:r>
      <w:r>
        <w:rPr>
          <w:rFonts w:asciiTheme="majorHAnsi" w:hAnsiTheme="majorHAnsi" w:cstheme="majorHAnsi"/>
        </w:rPr>
        <w:t>3</w:t>
      </w:r>
      <w:r w:rsidRPr="00AE0B21">
        <w:rPr>
          <w:rFonts w:asciiTheme="majorHAnsi" w:hAnsiTheme="majorHAnsi" w:cstheme="majorHAnsi"/>
        </w:rPr>
        <w:t>)</w:t>
      </w:r>
    </w:p>
    <w:p w14:paraId="72AEA080" w14:textId="369F4BD9" w:rsidR="000172E3" w:rsidRPr="00AE0B21" w:rsidRDefault="000172E3" w:rsidP="00DC67CC">
      <w:pPr>
        <w:pStyle w:val="Atext"/>
        <w:numPr>
          <w:ilvl w:val="1"/>
          <w:numId w:val="43"/>
        </w:numPr>
        <w:spacing w:before="60" w:after="60"/>
        <w:rPr>
          <w:rFonts w:asciiTheme="majorHAnsi" w:hAnsiTheme="majorHAnsi" w:cstheme="majorHAnsi"/>
        </w:rPr>
      </w:pPr>
      <w:r>
        <w:rPr>
          <w:rFonts w:asciiTheme="majorHAnsi" w:hAnsiTheme="majorHAnsi" w:cstheme="majorHAnsi"/>
        </w:rPr>
        <w:t>VPS VD.</w:t>
      </w:r>
      <w:r w:rsidR="00C208DE">
        <w:rPr>
          <w:rFonts w:asciiTheme="majorHAnsi" w:hAnsiTheme="majorHAnsi" w:cstheme="majorHAnsi"/>
        </w:rPr>
        <w:t>9</w:t>
      </w:r>
      <w:r>
        <w:rPr>
          <w:rFonts w:asciiTheme="majorHAnsi" w:hAnsiTheme="majorHAnsi" w:cstheme="majorHAnsi"/>
        </w:rPr>
        <w:t xml:space="preserve"> – vodní cesta na Labi (koridor CNZ.VD1)</w:t>
      </w:r>
    </w:p>
    <w:p w14:paraId="1F21AF92" w14:textId="0AAC8677" w:rsidR="00872C68" w:rsidRPr="006070EA" w:rsidRDefault="00872C68" w:rsidP="007F0B57">
      <w:pPr>
        <w:pStyle w:val="Atext"/>
        <w:numPr>
          <w:ilvl w:val="0"/>
          <w:numId w:val="43"/>
        </w:numPr>
        <w:spacing w:before="60" w:after="60"/>
        <w:ind w:left="1134"/>
        <w:rPr>
          <w:rFonts w:asciiTheme="majorHAnsi" w:hAnsiTheme="majorHAnsi" w:cstheme="majorHAnsi"/>
        </w:rPr>
      </w:pPr>
      <w:r w:rsidRPr="006070EA">
        <w:rPr>
          <w:rFonts w:asciiTheme="majorHAnsi" w:hAnsiTheme="majorHAnsi" w:cstheme="majorHAnsi"/>
        </w:rPr>
        <w:t xml:space="preserve">pro </w:t>
      </w:r>
      <w:r w:rsidR="00AE0B21">
        <w:rPr>
          <w:rFonts w:asciiTheme="majorHAnsi" w:hAnsiTheme="majorHAnsi" w:cstheme="majorHAnsi"/>
        </w:rPr>
        <w:t xml:space="preserve">plochu pro dopravní infrastrukturu </w:t>
      </w:r>
      <w:r w:rsidRPr="006070EA">
        <w:rPr>
          <w:rFonts w:asciiTheme="majorHAnsi" w:hAnsiTheme="majorHAnsi" w:cstheme="majorHAnsi"/>
        </w:rPr>
        <w:t>(</w:t>
      </w:r>
      <w:r w:rsidR="00AE0B21">
        <w:rPr>
          <w:rFonts w:asciiTheme="majorHAnsi" w:hAnsiTheme="majorHAnsi" w:cstheme="majorHAnsi"/>
        </w:rPr>
        <w:t>Z.24, DS</w:t>
      </w:r>
      <w:r w:rsidRPr="006070EA">
        <w:rPr>
          <w:rFonts w:asciiTheme="majorHAnsi" w:hAnsiTheme="majorHAnsi" w:cstheme="majorHAnsi"/>
        </w:rPr>
        <w:t>) v kapitole 11.</w:t>
      </w:r>
      <w:r w:rsidR="00AE0B21">
        <w:rPr>
          <w:rFonts w:asciiTheme="majorHAnsi" w:hAnsiTheme="majorHAnsi" w:cstheme="majorHAnsi"/>
        </w:rPr>
        <w:t>3</w:t>
      </w:r>
      <w:r w:rsidRPr="006070EA">
        <w:rPr>
          <w:rFonts w:asciiTheme="majorHAnsi" w:hAnsiTheme="majorHAnsi" w:cstheme="majorHAnsi"/>
        </w:rPr>
        <w:t xml:space="preserve"> </w:t>
      </w:r>
    </w:p>
    <w:p w14:paraId="6539E1ED" w14:textId="19E8B50A" w:rsidR="00872C68" w:rsidRPr="00AE0B21" w:rsidRDefault="00872C68" w:rsidP="008907B3">
      <w:pPr>
        <w:pStyle w:val="Atext"/>
        <w:numPr>
          <w:ilvl w:val="1"/>
          <w:numId w:val="43"/>
        </w:numPr>
        <w:spacing w:before="60" w:after="60"/>
        <w:rPr>
          <w:rFonts w:asciiTheme="majorHAnsi" w:hAnsiTheme="majorHAnsi" w:cstheme="majorHAnsi"/>
        </w:rPr>
      </w:pPr>
      <w:r w:rsidRPr="00AE0B21">
        <w:rPr>
          <w:rFonts w:asciiTheme="majorHAnsi" w:hAnsiTheme="majorHAnsi" w:cstheme="majorHAnsi"/>
        </w:rPr>
        <w:t>VPS VD</w:t>
      </w:r>
      <w:r w:rsidR="00463154" w:rsidRPr="00AE0B21">
        <w:rPr>
          <w:rFonts w:asciiTheme="majorHAnsi" w:hAnsiTheme="majorHAnsi" w:cstheme="majorHAnsi"/>
        </w:rPr>
        <w:t>.</w:t>
      </w:r>
      <w:r w:rsidR="00AE0B21" w:rsidRPr="00AE0B21">
        <w:rPr>
          <w:rFonts w:asciiTheme="majorHAnsi" w:hAnsiTheme="majorHAnsi" w:cstheme="majorHAnsi"/>
        </w:rPr>
        <w:t>5</w:t>
      </w:r>
      <w:r w:rsidRPr="00AE0B21">
        <w:rPr>
          <w:rFonts w:asciiTheme="majorHAnsi" w:hAnsiTheme="majorHAnsi" w:cstheme="majorHAnsi"/>
        </w:rPr>
        <w:t xml:space="preserve"> – </w:t>
      </w:r>
      <w:r w:rsidR="00AE0B21" w:rsidRPr="00AE0B21">
        <w:rPr>
          <w:rFonts w:asciiTheme="majorHAnsi" w:hAnsiTheme="majorHAnsi" w:cstheme="majorHAnsi"/>
        </w:rPr>
        <w:t>optimalizace silnice z Vápenska ve směru Milovice / Zbožíčko</w:t>
      </w:r>
      <w:r w:rsidR="00AE0B21">
        <w:rPr>
          <w:rFonts w:asciiTheme="majorHAnsi" w:hAnsiTheme="majorHAnsi" w:cstheme="majorHAnsi"/>
        </w:rPr>
        <w:t xml:space="preserve"> </w:t>
      </w:r>
      <w:r w:rsidR="00AE0B21" w:rsidRPr="00AE0B21">
        <w:rPr>
          <w:rFonts w:asciiTheme="majorHAnsi" w:hAnsiTheme="majorHAnsi" w:cstheme="majorHAnsi"/>
        </w:rPr>
        <w:t>(zastavitelná plocha Z.24)</w:t>
      </w:r>
    </w:p>
    <w:p w14:paraId="153BFD9D" w14:textId="37E82701" w:rsidR="007F0B57" w:rsidRPr="006070EA" w:rsidRDefault="007F0B57" w:rsidP="007F0B57">
      <w:pPr>
        <w:pStyle w:val="Atext"/>
        <w:rPr>
          <w:rFonts w:asciiTheme="majorHAnsi" w:hAnsiTheme="majorHAnsi" w:cstheme="majorHAnsi"/>
          <w:color w:val="FF0000"/>
        </w:rPr>
      </w:pPr>
      <w:r w:rsidRPr="006070EA">
        <w:rPr>
          <w:rFonts w:asciiTheme="majorHAnsi" w:hAnsiTheme="majorHAnsi" w:cstheme="majorHAnsi"/>
        </w:rPr>
        <w:t xml:space="preserve">Všechny koridory dopravní infrastruktury nesoucích významnou dopravní funkci jsou vymezeny ve veřejném zájmu, který spočívá v rozvoji veřejné dopravní infrastruktury </w:t>
      </w:r>
      <w:r w:rsidR="00872C68" w:rsidRPr="006070EA">
        <w:rPr>
          <w:rFonts w:asciiTheme="majorHAnsi" w:hAnsiTheme="majorHAnsi" w:cstheme="majorHAnsi"/>
        </w:rPr>
        <w:t>na území města i v nadmístním významu</w:t>
      </w:r>
      <w:r w:rsidRPr="006070EA">
        <w:rPr>
          <w:rFonts w:asciiTheme="majorHAnsi" w:hAnsiTheme="majorHAnsi" w:cstheme="majorHAnsi"/>
        </w:rPr>
        <w:t>. Důvodem pro vymezení VPS je zkvalitňování dopravní infrastruktury v</w:t>
      </w:r>
      <w:r w:rsidR="00872C68" w:rsidRPr="006070EA">
        <w:rPr>
          <w:rFonts w:asciiTheme="majorHAnsi" w:hAnsiTheme="majorHAnsi" w:cstheme="majorHAnsi"/>
        </w:rPr>
        <w:t xml:space="preserve"> území</w:t>
      </w:r>
      <w:r w:rsidRPr="006070EA">
        <w:rPr>
          <w:rFonts w:asciiTheme="majorHAnsi" w:hAnsiTheme="majorHAnsi" w:cstheme="majorHAnsi"/>
        </w:rPr>
        <w:t xml:space="preserve">, </w:t>
      </w:r>
      <w:r w:rsidR="00872C68" w:rsidRPr="006070EA">
        <w:rPr>
          <w:rFonts w:asciiTheme="majorHAnsi" w:hAnsiTheme="majorHAnsi" w:cstheme="majorHAnsi"/>
        </w:rPr>
        <w:t>řešení nevyhovující dopravní situace uvnitř zastavěného území sídla Kostomlaty nad Labem, zvýšení prostupnosti krajiny a zpřístupnění druhého břehu řeky Labe</w:t>
      </w:r>
      <w:r w:rsidRPr="006070EA">
        <w:rPr>
          <w:rFonts w:asciiTheme="majorHAnsi" w:hAnsiTheme="majorHAnsi" w:cstheme="majorHAnsi"/>
          <w:color w:val="FF0000"/>
        </w:rPr>
        <w:t>.</w:t>
      </w:r>
    </w:p>
    <w:p w14:paraId="397D20D0" w14:textId="77777777" w:rsidR="007F0B57" w:rsidRPr="006070EA" w:rsidRDefault="007F0B57" w:rsidP="007F0B57">
      <w:pPr>
        <w:pStyle w:val="ANADPIS4"/>
        <w:rPr>
          <w:rFonts w:asciiTheme="majorHAnsi" w:hAnsiTheme="majorHAnsi" w:cstheme="majorHAnsi"/>
        </w:rPr>
      </w:pPr>
      <w:r w:rsidRPr="006070EA">
        <w:rPr>
          <w:rFonts w:asciiTheme="majorHAnsi" w:hAnsiTheme="majorHAnsi" w:cstheme="majorHAnsi"/>
        </w:rPr>
        <w:lastRenderedPageBreak/>
        <w:t>veřejně prospěšné stavby TECHNICKÉ infrastruktury</w:t>
      </w:r>
    </w:p>
    <w:p w14:paraId="1060AEEC" w14:textId="4954DBC4" w:rsidR="007F0B57" w:rsidRPr="006070EA" w:rsidRDefault="007F0B57" w:rsidP="007F0B57">
      <w:pPr>
        <w:pStyle w:val="Mra2-reakceern"/>
        <w:keepNext/>
        <w:pBdr>
          <w:left w:val="none" w:sz="0" w:space="0" w:color="auto"/>
        </w:pBdr>
        <w:spacing w:before="120" w:after="60"/>
        <w:ind w:left="0"/>
        <w:jc w:val="right"/>
        <w:rPr>
          <w:rFonts w:asciiTheme="majorHAnsi" w:hAnsiTheme="majorHAnsi" w:cstheme="majorHAnsi"/>
          <w:i/>
          <w:color w:val="auto"/>
          <w:u w:val="single"/>
        </w:rPr>
      </w:pPr>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w:t>
      </w:r>
      <w:r w:rsidR="00BA3BDE">
        <w:rPr>
          <w:rFonts w:asciiTheme="majorHAnsi" w:hAnsiTheme="majorHAnsi" w:cstheme="majorHAnsi"/>
          <w:b/>
          <w:i/>
          <w:color w:val="auto"/>
          <w:u w:val="single"/>
        </w:rPr>
        <w:t>83</w:t>
      </w:r>
      <w:r w:rsidRPr="006070EA">
        <w:rPr>
          <w:rFonts w:asciiTheme="majorHAnsi" w:hAnsiTheme="majorHAnsi" w:cstheme="majorHAnsi"/>
          <w:b/>
          <w:i/>
          <w:color w:val="auto"/>
          <w:u w:val="single"/>
        </w:rPr>
        <w:t>)</w:t>
      </w:r>
      <w:r w:rsidRPr="006070EA">
        <w:rPr>
          <w:rFonts w:asciiTheme="majorHAnsi" w:hAnsiTheme="majorHAnsi" w:cstheme="majorHAnsi"/>
          <w:i/>
          <w:color w:val="auto"/>
          <w:u w:val="single"/>
        </w:rPr>
        <w:t xml:space="preserve"> písm. b) výrokové části</w:t>
      </w:r>
    </w:p>
    <w:p w14:paraId="682341AA" w14:textId="7E9DFFD1" w:rsidR="007F0B57" w:rsidRPr="006070EA" w:rsidRDefault="007F0B57" w:rsidP="007F0B57">
      <w:pPr>
        <w:pStyle w:val="Atext"/>
        <w:rPr>
          <w:rFonts w:asciiTheme="majorHAnsi" w:hAnsiTheme="majorHAnsi" w:cstheme="majorHAnsi"/>
        </w:rPr>
      </w:pPr>
      <w:r w:rsidRPr="006070EA">
        <w:rPr>
          <w:rFonts w:asciiTheme="majorHAnsi" w:hAnsiTheme="majorHAnsi" w:cstheme="majorHAnsi"/>
        </w:rPr>
        <w:t xml:space="preserve">V souladu s § 170 odst. 1 písm. a) stavebního zákona </w:t>
      </w:r>
      <w:r w:rsidR="006D16B2" w:rsidRPr="006070EA">
        <w:rPr>
          <w:rFonts w:asciiTheme="majorHAnsi" w:hAnsiTheme="majorHAnsi" w:cstheme="majorHAnsi"/>
        </w:rPr>
        <w:t xml:space="preserve">je </w:t>
      </w:r>
      <w:r w:rsidRPr="006070EA">
        <w:rPr>
          <w:rFonts w:asciiTheme="majorHAnsi" w:hAnsiTheme="majorHAnsi" w:cstheme="majorHAnsi"/>
        </w:rPr>
        <w:t xml:space="preserve">pro účely vyvlastnění vymezeny </w:t>
      </w:r>
      <w:r w:rsidR="006D16B2" w:rsidRPr="006070EA">
        <w:rPr>
          <w:rFonts w:asciiTheme="majorHAnsi" w:hAnsiTheme="majorHAnsi" w:cstheme="majorHAnsi"/>
        </w:rPr>
        <w:t xml:space="preserve">koridor pro umístění </w:t>
      </w:r>
      <w:r w:rsidRPr="006070EA">
        <w:rPr>
          <w:rFonts w:asciiTheme="majorHAnsi" w:hAnsiTheme="majorHAnsi" w:cstheme="majorHAnsi"/>
        </w:rPr>
        <w:t>veřejně prospěšné stavby technické infrastruktury v rozsahu koridor</w:t>
      </w:r>
      <w:r w:rsidR="006D16B2" w:rsidRPr="006070EA">
        <w:rPr>
          <w:rFonts w:asciiTheme="majorHAnsi" w:hAnsiTheme="majorHAnsi" w:cstheme="majorHAnsi"/>
        </w:rPr>
        <w:t>u</w:t>
      </w:r>
      <w:r w:rsidRPr="006070EA">
        <w:rPr>
          <w:rFonts w:asciiTheme="majorHAnsi" w:hAnsiTheme="majorHAnsi" w:cstheme="majorHAnsi"/>
        </w:rPr>
        <w:t xml:space="preserve"> zahrnující</w:t>
      </w:r>
      <w:r w:rsidR="006D16B2" w:rsidRPr="006070EA">
        <w:rPr>
          <w:rFonts w:asciiTheme="majorHAnsi" w:hAnsiTheme="majorHAnsi" w:cstheme="majorHAnsi"/>
        </w:rPr>
        <w:t>ho</w:t>
      </w:r>
      <w:r w:rsidRPr="006070EA">
        <w:rPr>
          <w:rFonts w:asciiTheme="majorHAnsi" w:hAnsiTheme="majorHAnsi" w:cstheme="majorHAnsi"/>
        </w:rPr>
        <w:t xml:space="preserve"> pozemky nezbytné k zajištění její výstavby a řádného užívání pro stanovený účel. Jako veřejně prospěšné stavby technické infrastruktury j</w:t>
      </w:r>
      <w:r w:rsidR="006D16B2" w:rsidRPr="006070EA">
        <w:rPr>
          <w:rFonts w:asciiTheme="majorHAnsi" w:hAnsiTheme="majorHAnsi" w:cstheme="majorHAnsi"/>
        </w:rPr>
        <w:t>e</w:t>
      </w:r>
      <w:r w:rsidRPr="006070EA">
        <w:rPr>
          <w:rFonts w:asciiTheme="majorHAnsi" w:hAnsiTheme="majorHAnsi" w:cstheme="majorHAnsi"/>
        </w:rPr>
        <w:t xml:space="preserve"> vymezen koridor technické infrastruktury (</w:t>
      </w:r>
      <w:r w:rsidR="00463154" w:rsidRPr="006070EA">
        <w:rPr>
          <w:rFonts w:asciiTheme="majorHAnsi" w:hAnsiTheme="majorHAnsi" w:cstheme="majorHAnsi"/>
        </w:rPr>
        <w:t>CNU.</w:t>
      </w:r>
      <w:r w:rsidRPr="006070EA">
        <w:rPr>
          <w:rFonts w:asciiTheme="majorHAnsi" w:hAnsiTheme="majorHAnsi" w:cstheme="majorHAnsi"/>
        </w:rPr>
        <w:t>KTI</w:t>
      </w:r>
      <w:r w:rsidR="006D16B2" w:rsidRPr="006070EA">
        <w:rPr>
          <w:rFonts w:asciiTheme="majorHAnsi" w:hAnsiTheme="majorHAnsi" w:cstheme="majorHAnsi"/>
        </w:rPr>
        <w:t>1</w:t>
      </w:r>
      <w:r w:rsidRPr="006070EA">
        <w:rPr>
          <w:rFonts w:asciiTheme="majorHAnsi" w:hAnsiTheme="majorHAnsi" w:cstheme="majorHAnsi"/>
        </w:rPr>
        <w:t xml:space="preserve">), resp. stavby, pro něž </w:t>
      </w:r>
      <w:r w:rsidR="006D16B2" w:rsidRPr="006070EA">
        <w:rPr>
          <w:rFonts w:asciiTheme="majorHAnsi" w:hAnsiTheme="majorHAnsi" w:cstheme="majorHAnsi"/>
        </w:rPr>
        <w:t xml:space="preserve">je tento </w:t>
      </w:r>
      <w:r w:rsidRPr="006070EA">
        <w:rPr>
          <w:rFonts w:asciiTheme="majorHAnsi" w:hAnsiTheme="majorHAnsi" w:cstheme="majorHAnsi"/>
        </w:rPr>
        <w:t>koridor</w:t>
      </w:r>
      <w:r w:rsidR="006D16B2" w:rsidRPr="006070EA">
        <w:rPr>
          <w:rFonts w:asciiTheme="majorHAnsi" w:hAnsiTheme="majorHAnsi" w:cstheme="majorHAnsi"/>
        </w:rPr>
        <w:t xml:space="preserve"> </w:t>
      </w:r>
      <w:r w:rsidRPr="006070EA">
        <w:rPr>
          <w:rFonts w:asciiTheme="majorHAnsi" w:hAnsiTheme="majorHAnsi" w:cstheme="majorHAnsi"/>
        </w:rPr>
        <w:t>určen</w:t>
      </w:r>
      <w:r w:rsidR="006D16B2" w:rsidRPr="006070EA">
        <w:rPr>
          <w:rFonts w:asciiTheme="majorHAnsi" w:hAnsiTheme="majorHAnsi" w:cstheme="majorHAnsi"/>
        </w:rPr>
        <w:t>ý</w:t>
      </w:r>
      <w:r w:rsidRPr="006070EA">
        <w:rPr>
          <w:rFonts w:asciiTheme="majorHAnsi" w:hAnsiTheme="majorHAnsi" w:cstheme="majorHAnsi"/>
        </w:rPr>
        <w:t>, a které jsou součástí veřejné infrastruktury dle §</w:t>
      </w:r>
      <w:r w:rsidR="006D16B2" w:rsidRPr="006070EA">
        <w:rPr>
          <w:rFonts w:asciiTheme="majorHAnsi" w:hAnsiTheme="majorHAnsi" w:cstheme="majorHAnsi"/>
        </w:rPr>
        <w:t> </w:t>
      </w:r>
      <w:r w:rsidRPr="006070EA">
        <w:rPr>
          <w:rFonts w:asciiTheme="majorHAnsi" w:hAnsiTheme="majorHAnsi" w:cstheme="majorHAnsi"/>
        </w:rPr>
        <w:t>2 odst. 1 písm. m) č. 2 stavebního zákona a které explicitně naplňují účely vyvlastnění dle § 170 odst. 1 písm. a) stavebního zákona.</w:t>
      </w:r>
    </w:p>
    <w:p w14:paraId="2B9AFDDC" w14:textId="35CEC7BA" w:rsidR="007F0B57" w:rsidRPr="006070EA" w:rsidRDefault="007F0B57" w:rsidP="007F0B57">
      <w:pPr>
        <w:pStyle w:val="Atext"/>
        <w:spacing w:before="60" w:after="60"/>
        <w:rPr>
          <w:rFonts w:asciiTheme="majorHAnsi" w:hAnsiTheme="majorHAnsi" w:cstheme="majorHAnsi"/>
        </w:rPr>
      </w:pPr>
      <w:r w:rsidRPr="006070EA">
        <w:rPr>
          <w:rFonts w:asciiTheme="majorHAnsi" w:hAnsiTheme="majorHAnsi" w:cstheme="majorHAnsi"/>
        </w:rPr>
        <w:t xml:space="preserve">Odůvodnění jednotlivých VPS, </w:t>
      </w:r>
      <w:r w:rsidR="006D16B2" w:rsidRPr="006070EA">
        <w:rPr>
          <w:rFonts w:asciiTheme="majorHAnsi" w:hAnsiTheme="majorHAnsi" w:cstheme="majorHAnsi"/>
        </w:rPr>
        <w:t xml:space="preserve">které jsou zároveň vymezeny jako </w:t>
      </w:r>
      <w:r w:rsidRPr="006070EA">
        <w:rPr>
          <w:rFonts w:asciiTheme="majorHAnsi" w:hAnsiTheme="majorHAnsi" w:cstheme="majorHAnsi"/>
        </w:rPr>
        <w:t xml:space="preserve">koridory </w:t>
      </w:r>
      <w:r w:rsidR="006D16B2" w:rsidRPr="006070EA">
        <w:rPr>
          <w:rFonts w:asciiTheme="majorHAnsi" w:hAnsiTheme="majorHAnsi" w:cstheme="majorHAnsi"/>
        </w:rPr>
        <w:t xml:space="preserve">pro umístění VPS, </w:t>
      </w:r>
      <w:r w:rsidRPr="006070EA">
        <w:rPr>
          <w:rFonts w:asciiTheme="majorHAnsi" w:hAnsiTheme="majorHAnsi" w:cstheme="majorHAnsi"/>
        </w:rPr>
        <w:t>je součástí komplexního zdůvodnění přijatého řešení a podrobně je uvedeno v tematick</w:t>
      </w:r>
      <w:r w:rsidR="006D16B2" w:rsidRPr="006070EA">
        <w:rPr>
          <w:rFonts w:asciiTheme="majorHAnsi" w:hAnsiTheme="majorHAnsi" w:cstheme="majorHAnsi"/>
        </w:rPr>
        <w:t>é</w:t>
      </w:r>
      <w:r w:rsidRPr="006070EA">
        <w:rPr>
          <w:rFonts w:asciiTheme="majorHAnsi" w:hAnsiTheme="majorHAnsi" w:cstheme="majorHAnsi"/>
        </w:rPr>
        <w:t xml:space="preserve"> podkapitol</w:t>
      </w:r>
      <w:r w:rsidR="006D16B2" w:rsidRPr="006070EA">
        <w:rPr>
          <w:rFonts w:asciiTheme="majorHAnsi" w:hAnsiTheme="majorHAnsi" w:cstheme="majorHAnsi"/>
        </w:rPr>
        <w:t>e</w:t>
      </w:r>
      <w:r w:rsidRPr="006070EA">
        <w:rPr>
          <w:rFonts w:asciiTheme="majorHAnsi" w:hAnsiTheme="majorHAnsi" w:cstheme="majorHAnsi"/>
        </w:rPr>
        <w:t xml:space="preserve">: </w:t>
      </w:r>
    </w:p>
    <w:p w14:paraId="33F2A0A7" w14:textId="02488006" w:rsidR="007F0B57" w:rsidRPr="006070EA" w:rsidRDefault="007F0B57" w:rsidP="007F0B57">
      <w:pPr>
        <w:pStyle w:val="Atext"/>
        <w:numPr>
          <w:ilvl w:val="0"/>
          <w:numId w:val="43"/>
        </w:numPr>
        <w:spacing w:before="60" w:after="60"/>
        <w:ind w:left="1134"/>
        <w:rPr>
          <w:rFonts w:asciiTheme="majorHAnsi" w:hAnsiTheme="majorHAnsi" w:cstheme="majorHAnsi"/>
        </w:rPr>
      </w:pPr>
      <w:r w:rsidRPr="006070EA">
        <w:rPr>
          <w:rFonts w:asciiTheme="majorHAnsi" w:hAnsiTheme="majorHAnsi" w:cstheme="majorHAnsi"/>
        </w:rPr>
        <w:t>pro koridor technické infrastruktury (</w:t>
      </w:r>
      <w:r w:rsidR="00463154" w:rsidRPr="006070EA">
        <w:rPr>
          <w:rFonts w:asciiTheme="majorHAnsi" w:hAnsiTheme="majorHAnsi" w:cstheme="majorHAnsi"/>
        </w:rPr>
        <w:t>CNU.</w:t>
      </w:r>
      <w:r w:rsidRPr="006070EA">
        <w:rPr>
          <w:rFonts w:asciiTheme="majorHAnsi" w:hAnsiTheme="majorHAnsi" w:cstheme="majorHAnsi"/>
        </w:rPr>
        <w:t>KTI</w:t>
      </w:r>
      <w:r w:rsidR="006D16B2" w:rsidRPr="006070EA">
        <w:rPr>
          <w:rFonts w:asciiTheme="majorHAnsi" w:hAnsiTheme="majorHAnsi" w:cstheme="majorHAnsi"/>
        </w:rPr>
        <w:t>1</w:t>
      </w:r>
      <w:r w:rsidRPr="006070EA">
        <w:rPr>
          <w:rFonts w:asciiTheme="majorHAnsi" w:hAnsiTheme="majorHAnsi" w:cstheme="majorHAnsi"/>
        </w:rPr>
        <w:t>) v kapitole 11.4.4</w:t>
      </w:r>
    </w:p>
    <w:p w14:paraId="64FD9B2B" w14:textId="7E5F1ABB" w:rsidR="006D16B2" w:rsidRPr="006070EA" w:rsidRDefault="006D16B2" w:rsidP="006D16B2">
      <w:pPr>
        <w:pStyle w:val="Atext"/>
        <w:numPr>
          <w:ilvl w:val="1"/>
          <w:numId w:val="43"/>
        </w:numPr>
        <w:spacing w:before="60" w:after="60"/>
        <w:rPr>
          <w:rFonts w:asciiTheme="majorHAnsi" w:hAnsiTheme="majorHAnsi" w:cstheme="majorHAnsi"/>
        </w:rPr>
      </w:pPr>
      <w:r w:rsidRPr="006070EA">
        <w:rPr>
          <w:rFonts w:asciiTheme="majorHAnsi" w:hAnsiTheme="majorHAnsi" w:cstheme="majorHAnsi"/>
        </w:rPr>
        <w:t>VPS VT</w:t>
      </w:r>
      <w:r w:rsidR="00463154" w:rsidRPr="006070EA">
        <w:rPr>
          <w:rFonts w:asciiTheme="majorHAnsi" w:hAnsiTheme="majorHAnsi" w:cstheme="majorHAnsi"/>
        </w:rPr>
        <w:t>.</w:t>
      </w:r>
      <w:r w:rsidRPr="006070EA">
        <w:rPr>
          <w:rFonts w:asciiTheme="majorHAnsi" w:hAnsiTheme="majorHAnsi" w:cstheme="majorHAnsi"/>
        </w:rPr>
        <w:t xml:space="preserve">1 – vodovod a kanalizace včetně souvisejících staveb a zařízení (koridor </w:t>
      </w:r>
      <w:r w:rsidR="00463154" w:rsidRPr="006070EA">
        <w:rPr>
          <w:rFonts w:asciiTheme="majorHAnsi" w:hAnsiTheme="majorHAnsi" w:cstheme="majorHAnsi"/>
        </w:rPr>
        <w:t>CNU.</w:t>
      </w:r>
      <w:r w:rsidRPr="006070EA">
        <w:rPr>
          <w:rFonts w:asciiTheme="majorHAnsi" w:hAnsiTheme="majorHAnsi" w:cstheme="majorHAnsi"/>
        </w:rPr>
        <w:t>KTI1)</w:t>
      </w:r>
    </w:p>
    <w:p w14:paraId="7E09EAA0" w14:textId="1F18DEBA" w:rsidR="007F0B57" w:rsidRPr="006070EA" w:rsidRDefault="006D16B2" w:rsidP="007F0B57">
      <w:pPr>
        <w:pStyle w:val="Atext"/>
        <w:spacing w:before="60" w:after="60"/>
        <w:rPr>
          <w:rFonts w:asciiTheme="majorHAnsi" w:hAnsiTheme="majorHAnsi" w:cstheme="majorHAnsi"/>
        </w:rPr>
      </w:pPr>
      <w:r w:rsidRPr="006070EA">
        <w:rPr>
          <w:rFonts w:asciiTheme="majorHAnsi" w:hAnsiTheme="majorHAnsi" w:cstheme="majorHAnsi"/>
        </w:rPr>
        <w:t>K</w:t>
      </w:r>
      <w:r w:rsidR="007F0B57" w:rsidRPr="006070EA">
        <w:rPr>
          <w:rFonts w:asciiTheme="majorHAnsi" w:hAnsiTheme="majorHAnsi" w:cstheme="majorHAnsi"/>
        </w:rPr>
        <w:t>oridor technické infrastruktury j</w:t>
      </w:r>
      <w:r w:rsidRPr="006070EA">
        <w:rPr>
          <w:rFonts w:asciiTheme="majorHAnsi" w:hAnsiTheme="majorHAnsi" w:cstheme="majorHAnsi"/>
        </w:rPr>
        <w:t>e</w:t>
      </w:r>
      <w:r w:rsidR="007F0B57" w:rsidRPr="006070EA">
        <w:rPr>
          <w:rFonts w:asciiTheme="majorHAnsi" w:hAnsiTheme="majorHAnsi" w:cstheme="majorHAnsi"/>
        </w:rPr>
        <w:t xml:space="preserve"> vymezen ve veřejném zájmu, který spočívá v rozvoji veřejné technické infrastruktury na území </w:t>
      </w:r>
      <w:r w:rsidRPr="006070EA">
        <w:rPr>
          <w:rFonts w:asciiTheme="majorHAnsi" w:hAnsiTheme="majorHAnsi" w:cstheme="majorHAnsi"/>
        </w:rPr>
        <w:t>obce</w:t>
      </w:r>
      <w:r w:rsidR="007F0B57" w:rsidRPr="006070EA">
        <w:rPr>
          <w:rFonts w:asciiTheme="majorHAnsi" w:hAnsiTheme="majorHAnsi" w:cstheme="majorHAnsi"/>
        </w:rPr>
        <w:t xml:space="preserve">. Jedná se o koridor pro umístění </w:t>
      </w:r>
      <w:r w:rsidRPr="006070EA">
        <w:rPr>
          <w:rFonts w:asciiTheme="majorHAnsi" w:hAnsiTheme="majorHAnsi" w:cstheme="majorHAnsi"/>
        </w:rPr>
        <w:t>vodovodu a kanalizace a souvisejících staveb a zařízení</w:t>
      </w:r>
      <w:r w:rsidR="007F0B57" w:rsidRPr="006070EA">
        <w:rPr>
          <w:rFonts w:asciiTheme="majorHAnsi" w:hAnsiTheme="majorHAnsi" w:cstheme="majorHAnsi"/>
        </w:rPr>
        <w:t xml:space="preserve">. </w:t>
      </w:r>
    </w:p>
    <w:p w14:paraId="5D7AF2A9" w14:textId="64CD0238" w:rsidR="007F0B57" w:rsidRPr="006070EA" w:rsidRDefault="007F0B57" w:rsidP="007F0B57">
      <w:pPr>
        <w:pStyle w:val="Atext"/>
        <w:spacing w:before="60" w:after="60"/>
        <w:rPr>
          <w:rFonts w:asciiTheme="majorHAnsi" w:hAnsiTheme="majorHAnsi" w:cstheme="majorHAnsi"/>
        </w:rPr>
      </w:pPr>
      <w:r w:rsidRPr="006070EA">
        <w:rPr>
          <w:rFonts w:asciiTheme="majorHAnsi" w:hAnsiTheme="majorHAnsi" w:cstheme="majorHAnsi"/>
        </w:rPr>
        <w:t xml:space="preserve">Důvodem pro vymezení VPS je zkvalitňování technické infrastruktury ve městě a zvyšování kvality prostředí zejména v souvislosti s likvidací odpadních vod. Rozvoj veřejné vodovodní sítě pak zajišťuje dostatečnou dodávku pitné vody a tím zvyšuje kvalitu obytných území. </w:t>
      </w:r>
    </w:p>
    <w:p w14:paraId="50BC2505" w14:textId="77777777" w:rsidR="007F0B57" w:rsidRPr="006070EA" w:rsidRDefault="007F0B57" w:rsidP="007F0B57">
      <w:pPr>
        <w:pStyle w:val="ANADPIS4"/>
        <w:rPr>
          <w:rFonts w:asciiTheme="majorHAnsi" w:hAnsiTheme="majorHAnsi" w:cstheme="majorHAnsi"/>
        </w:rPr>
      </w:pPr>
      <w:r w:rsidRPr="006070EA">
        <w:rPr>
          <w:rFonts w:asciiTheme="majorHAnsi" w:hAnsiTheme="majorHAnsi" w:cstheme="majorHAnsi"/>
        </w:rPr>
        <w:t>veřejně prospěšná opatření – založení prvků územního systému ekologické stability (ÚSES)</w:t>
      </w:r>
    </w:p>
    <w:p w14:paraId="5CE512AC" w14:textId="61E9C6B7" w:rsidR="007F0B57" w:rsidRPr="006070EA" w:rsidRDefault="007F0B57" w:rsidP="007F0B57">
      <w:pPr>
        <w:pStyle w:val="Mra2-reakceern"/>
        <w:keepNext/>
        <w:pBdr>
          <w:left w:val="none" w:sz="0" w:space="0" w:color="auto"/>
        </w:pBdr>
        <w:spacing w:before="120" w:after="60"/>
        <w:ind w:left="0"/>
        <w:jc w:val="right"/>
        <w:rPr>
          <w:rFonts w:asciiTheme="majorHAnsi" w:hAnsiTheme="majorHAnsi" w:cstheme="majorHAnsi"/>
          <w:i/>
          <w:color w:val="auto"/>
          <w:u w:val="single"/>
        </w:rPr>
      </w:pPr>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w:t>
      </w:r>
      <w:r w:rsidR="00463154" w:rsidRPr="006070EA">
        <w:rPr>
          <w:rFonts w:asciiTheme="majorHAnsi" w:hAnsiTheme="majorHAnsi" w:cstheme="majorHAnsi"/>
          <w:b/>
          <w:i/>
          <w:color w:val="auto"/>
          <w:u w:val="single"/>
        </w:rPr>
        <w:t>8</w:t>
      </w:r>
      <w:r w:rsidR="00BA3BDE">
        <w:rPr>
          <w:rFonts w:asciiTheme="majorHAnsi" w:hAnsiTheme="majorHAnsi" w:cstheme="majorHAnsi"/>
          <w:b/>
          <w:i/>
          <w:color w:val="auto"/>
          <w:u w:val="single"/>
        </w:rPr>
        <w:t>3</w:t>
      </w:r>
      <w:r w:rsidRPr="006070EA">
        <w:rPr>
          <w:rFonts w:asciiTheme="majorHAnsi" w:hAnsiTheme="majorHAnsi" w:cstheme="majorHAnsi"/>
          <w:b/>
          <w:i/>
          <w:color w:val="auto"/>
          <w:u w:val="single"/>
        </w:rPr>
        <w:t>)</w:t>
      </w:r>
      <w:r w:rsidRPr="006070EA">
        <w:rPr>
          <w:rFonts w:asciiTheme="majorHAnsi" w:hAnsiTheme="majorHAnsi" w:cstheme="majorHAnsi"/>
          <w:i/>
          <w:color w:val="auto"/>
          <w:u w:val="single"/>
        </w:rPr>
        <w:t xml:space="preserve"> písm. </w:t>
      </w:r>
      <w:r w:rsidR="006D16B2" w:rsidRPr="006070EA">
        <w:rPr>
          <w:rFonts w:asciiTheme="majorHAnsi" w:hAnsiTheme="majorHAnsi" w:cstheme="majorHAnsi"/>
          <w:i/>
          <w:color w:val="auto"/>
          <w:u w:val="single"/>
        </w:rPr>
        <w:t>c</w:t>
      </w:r>
      <w:r w:rsidRPr="006070EA">
        <w:rPr>
          <w:rFonts w:asciiTheme="majorHAnsi" w:hAnsiTheme="majorHAnsi" w:cstheme="majorHAnsi"/>
          <w:i/>
          <w:color w:val="auto"/>
          <w:u w:val="single"/>
        </w:rPr>
        <w:t>) výrokové části</w:t>
      </w:r>
    </w:p>
    <w:p w14:paraId="5B0A32DD" w14:textId="1EF1B309" w:rsidR="007F0B57" w:rsidRPr="006070EA" w:rsidRDefault="007F0B57" w:rsidP="00BA3BDE">
      <w:pPr>
        <w:pStyle w:val="Atext"/>
        <w:rPr>
          <w:rFonts w:asciiTheme="majorHAnsi" w:hAnsiTheme="majorHAnsi" w:cstheme="majorHAnsi"/>
        </w:rPr>
      </w:pPr>
      <w:r w:rsidRPr="006070EA">
        <w:rPr>
          <w:rFonts w:asciiTheme="majorHAnsi" w:hAnsiTheme="majorHAnsi" w:cstheme="majorHAnsi"/>
        </w:rPr>
        <w:t xml:space="preserve">Jako veřejně prospěšná opatření v souladu s § 2 odst. 1 písm. o) zákona č. 183/2006 Sb. jsou vymezena všechna opatření pro zajištění funkčnosti vybraných skladebných částí ÚSES, která explicitně naplňují účely vyvlastnění dle § 170 odst. 1 písm. b) stavebního zákona. Jako veřejně prospěšná opatření – založení prvků územního systému ekologické stability jsou vymezeny plochy změn v krajině v rozsahu nefunkčních </w:t>
      </w:r>
      <w:r w:rsidR="006D16B2" w:rsidRPr="006070EA">
        <w:rPr>
          <w:rFonts w:asciiTheme="majorHAnsi" w:hAnsiTheme="majorHAnsi" w:cstheme="majorHAnsi"/>
        </w:rPr>
        <w:t xml:space="preserve">skladebných </w:t>
      </w:r>
      <w:r w:rsidRPr="006070EA">
        <w:rPr>
          <w:rFonts w:asciiTheme="majorHAnsi" w:hAnsiTheme="majorHAnsi" w:cstheme="majorHAnsi"/>
        </w:rPr>
        <w:t xml:space="preserve">částí ÚSES, které je nutné založit. </w:t>
      </w:r>
      <w:r w:rsidR="00BA3BDE">
        <w:rPr>
          <w:rFonts w:asciiTheme="majorHAnsi" w:hAnsiTheme="majorHAnsi" w:cstheme="majorHAnsi"/>
        </w:rPr>
        <w:t xml:space="preserve">Nad rámec ploch změn, vymezených pro ÚSES, je jako VPO vymezen celý biokoridor LBK.2, který je vymezen na Hronětickém potoce, a to za účelem vytvoření podmínek pro revitalizaci a renaturaci tohoto vodního toku, čímž bude v konečném důsledku posílena ekologická stabilita území ve veřejném zájmu. </w:t>
      </w:r>
    </w:p>
    <w:p w14:paraId="29345ACE" w14:textId="77777777" w:rsidR="006C561C" w:rsidRPr="006070EA" w:rsidRDefault="007F0B57" w:rsidP="007F0B57">
      <w:pPr>
        <w:pStyle w:val="Atext"/>
        <w:rPr>
          <w:rFonts w:asciiTheme="majorHAnsi" w:hAnsiTheme="majorHAnsi" w:cstheme="majorHAnsi"/>
        </w:rPr>
      </w:pPr>
      <w:r w:rsidRPr="006070EA">
        <w:rPr>
          <w:rFonts w:asciiTheme="majorHAnsi" w:hAnsiTheme="majorHAnsi" w:cstheme="majorHAnsi"/>
        </w:rPr>
        <w:t>Odůvodnění jednotlivých VPO, pro něž jsou vymezeny plochy změn v krajině je součástí komplexního zdůvodnění přijatého řešení a podrobně je uvedeno v</w:t>
      </w:r>
      <w:r w:rsidR="006C561C" w:rsidRPr="006070EA">
        <w:rPr>
          <w:rFonts w:asciiTheme="majorHAnsi" w:hAnsiTheme="majorHAnsi" w:cstheme="majorHAnsi"/>
        </w:rPr>
        <w:t> </w:t>
      </w:r>
      <w:r w:rsidRPr="006070EA">
        <w:rPr>
          <w:rFonts w:asciiTheme="majorHAnsi" w:hAnsiTheme="majorHAnsi" w:cstheme="majorHAnsi"/>
        </w:rPr>
        <w:t>kapitole</w:t>
      </w:r>
      <w:r w:rsidR="006C561C" w:rsidRPr="006070EA">
        <w:rPr>
          <w:rFonts w:asciiTheme="majorHAnsi" w:hAnsiTheme="majorHAnsi" w:cstheme="majorHAnsi"/>
        </w:rPr>
        <w:t>:</w:t>
      </w:r>
    </w:p>
    <w:p w14:paraId="314E3515" w14:textId="619E6C5C" w:rsidR="007F0B57" w:rsidRPr="006070EA" w:rsidRDefault="006C561C" w:rsidP="006C561C">
      <w:pPr>
        <w:pStyle w:val="Atext"/>
        <w:numPr>
          <w:ilvl w:val="0"/>
          <w:numId w:val="43"/>
        </w:numPr>
        <w:spacing w:before="60" w:after="60"/>
        <w:ind w:left="1134"/>
        <w:rPr>
          <w:rFonts w:asciiTheme="majorHAnsi" w:hAnsiTheme="majorHAnsi" w:cstheme="majorHAnsi"/>
        </w:rPr>
      </w:pPr>
      <w:r w:rsidRPr="006070EA">
        <w:rPr>
          <w:rFonts w:asciiTheme="majorHAnsi" w:hAnsiTheme="majorHAnsi" w:cstheme="majorHAnsi"/>
        </w:rPr>
        <w:t>pro plochy změn v krajině (K</w:t>
      </w:r>
      <w:r w:rsidR="00463154" w:rsidRPr="006070EA">
        <w:rPr>
          <w:rFonts w:asciiTheme="majorHAnsi" w:hAnsiTheme="majorHAnsi" w:cstheme="majorHAnsi"/>
        </w:rPr>
        <w:t>.</w:t>
      </w:r>
      <w:r w:rsidRPr="006070EA">
        <w:rPr>
          <w:rFonts w:asciiTheme="majorHAnsi" w:hAnsiTheme="majorHAnsi" w:cstheme="majorHAnsi"/>
        </w:rPr>
        <w:t>02 – K</w:t>
      </w:r>
      <w:r w:rsidR="00463154" w:rsidRPr="006070EA">
        <w:rPr>
          <w:rFonts w:asciiTheme="majorHAnsi" w:hAnsiTheme="majorHAnsi" w:cstheme="majorHAnsi"/>
        </w:rPr>
        <w:t>.</w:t>
      </w:r>
      <w:r w:rsidRPr="006070EA">
        <w:rPr>
          <w:rFonts w:asciiTheme="majorHAnsi" w:hAnsiTheme="majorHAnsi" w:cstheme="majorHAnsi"/>
        </w:rPr>
        <w:t>05) v kapitole</w:t>
      </w:r>
      <w:r w:rsidR="007F0B57" w:rsidRPr="006070EA">
        <w:rPr>
          <w:rFonts w:asciiTheme="majorHAnsi" w:hAnsiTheme="majorHAnsi" w:cstheme="majorHAnsi"/>
        </w:rPr>
        <w:t xml:space="preserve"> 11.</w:t>
      </w:r>
      <w:r w:rsidRPr="006070EA">
        <w:rPr>
          <w:rFonts w:asciiTheme="majorHAnsi" w:hAnsiTheme="majorHAnsi" w:cstheme="majorHAnsi"/>
        </w:rPr>
        <w:t>5.3</w:t>
      </w:r>
    </w:p>
    <w:p w14:paraId="452CEF87" w14:textId="642151AC" w:rsidR="006C561C" w:rsidRPr="006070EA" w:rsidRDefault="006C561C" w:rsidP="006C561C">
      <w:pPr>
        <w:pStyle w:val="Atext"/>
        <w:numPr>
          <w:ilvl w:val="1"/>
          <w:numId w:val="43"/>
        </w:numPr>
        <w:spacing w:before="60" w:after="60"/>
        <w:rPr>
          <w:rFonts w:asciiTheme="majorHAnsi" w:hAnsiTheme="majorHAnsi" w:cstheme="majorHAnsi"/>
        </w:rPr>
      </w:pPr>
      <w:r w:rsidRPr="006070EA">
        <w:rPr>
          <w:rFonts w:asciiTheme="majorHAnsi" w:hAnsiTheme="majorHAnsi" w:cstheme="majorHAnsi"/>
        </w:rPr>
        <w:t>VPO VU</w:t>
      </w:r>
      <w:r w:rsidR="00463154" w:rsidRPr="006070EA">
        <w:rPr>
          <w:rFonts w:asciiTheme="majorHAnsi" w:hAnsiTheme="majorHAnsi" w:cstheme="majorHAnsi"/>
        </w:rPr>
        <w:t>.</w:t>
      </w:r>
      <w:r w:rsidRPr="006070EA">
        <w:rPr>
          <w:rFonts w:asciiTheme="majorHAnsi" w:hAnsiTheme="majorHAnsi" w:cstheme="majorHAnsi"/>
        </w:rPr>
        <w:t>1 – zajištění funkčnosti skladebné části ÚSES – lokální biocentrum L</w:t>
      </w:r>
      <w:r w:rsidR="00463154" w:rsidRPr="006070EA">
        <w:rPr>
          <w:rFonts w:asciiTheme="majorHAnsi" w:hAnsiTheme="majorHAnsi" w:cstheme="majorHAnsi"/>
        </w:rPr>
        <w:t>B</w:t>
      </w:r>
      <w:r w:rsidRPr="006070EA">
        <w:rPr>
          <w:rFonts w:asciiTheme="majorHAnsi" w:hAnsiTheme="majorHAnsi" w:cstheme="majorHAnsi"/>
        </w:rPr>
        <w:t>C</w:t>
      </w:r>
      <w:r w:rsidR="00463154" w:rsidRPr="006070EA">
        <w:rPr>
          <w:rFonts w:asciiTheme="majorHAnsi" w:hAnsiTheme="majorHAnsi" w:cstheme="majorHAnsi"/>
        </w:rPr>
        <w:t>.</w:t>
      </w:r>
      <w:r w:rsidRPr="006070EA">
        <w:rPr>
          <w:rFonts w:asciiTheme="majorHAnsi" w:hAnsiTheme="majorHAnsi" w:cstheme="majorHAnsi"/>
        </w:rPr>
        <w:t>1 V Bažantnici (plocha změny v krajině K</w:t>
      </w:r>
      <w:r w:rsidR="00463154" w:rsidRPr="006070EA">
        <w:rPr>
          <w:rFonts w:asciiTheme="majorHAnsi" w:hAnsiTheme="majorHAnsi" w:cstheme="majorHAnsi"/>
        </w:rPr>
        <w:t>.</w:t>
      </w:r>
      <w:r w:rsidRPr="006070EA">
        <w:rPr>
          <w:rFonts w:asciiTheme="majorHAnsi" w:hAnsiTheme="majorHAnsi" w:cstheme="majorHAnsi"/>
        </w:rPr>
        <w:t>02)</w:t>
      </w:r>
    </w:p>
    <w:p w14:paraId="6ED4D654" w14:textId="282B593D" w:rsidR="006C561C" w:rsidRPr="006070EA" w:rsidRDefault="006C561C" w:rsidP="006C561C">
      <w:pPr>
        <w:pStyle w:val="Atext"/>
        <w:numPr>
          <w:ilvl w:val="1"/>
          <w:numId w:val="43"/>
        </w:numPr>
        <w:spacing w:before="60" w:after="60"/>
        <w:rPr>
          <w:rFonts w:asciiTheme="majorHAnsi" w:hAnsiTheme="majorHAnsi" w:cstheme="majorHAnsi"/>
        </w:rPr>
      </w:pPr>
      <w:r w:rsidRPr="006070EA">
        <w:rPr>
          <w:rFonts w:asciiTheme="majorHAnsi" w:hAnsiTheme="majorHAnsi" w:cstheme="majorHAnsi"/>
        </w:rPr>
        <w:t>VPO VU</w:t>
      </w:r>
      <w:r w:rsidR="00463154" w:rsidRPr="006070EA">
        <w:rPr>
          <w:rFonts w:asciiTheme="majorHAnsi" w:hAnsiTheme="majorHAnsi" w:cstheme="majorHAnsi"/>
        </w:rPr>
        <w:t>.</w:t>
      </w:r>
      <w:r w:rsidRPr="006070EA">
        <w:rPr>
          <w:rFonts w:asciiTheme="majorHAnsi" w:hAnsiTheme="majorHAnsi" w:cstheme="majorHAnsi"/>
        </w:rPr>
        <w:t>2 – zajištění funkčnosti skladebné části ÚSES – lokální biocentrum L</w:t>
      </w:r>
      <w:r w:rsidR="00463154" w:rsidRPr="006070EA">
        <w:rPr>
          <w:rFonts w:asciiTheme="majorHAnsi" w:hAnsiTheme="majorHAnsi" w:cstheme="majorHAnsi"/>
        </w:rPr>
        <w:t>B</w:t>
      </w:r>
      <w:r w:rsidRPr="006070EA">
        <w:rPr>
          <w:rFonts w:asciiTheme="majorHAnsi" w:hAnsiTheme="majorHAnsi" w:cstheme="majorHAnsi"/>
        </w:rPr>
        <w:t>C</w:t>
      </w:r>
      <w:r w:rsidR="00463154" w:rsidRPr="006070EA">
        <w:rPr>
          <w:rFonts w:asciiTheme="majorHAnsi" w:hAnsiTheme="majorHAnsi" w:cstheme="majorHAnsi"/>
        </w:rPr>
        <w:t>.</w:t>
      </w:r>
      <w:r w:rsidRPr="006070EA">
        <w:rPr>
          <w:rFonts w:asciiTheme="majorHAnsi" w:hAnsiTheme="majorHAnsi" w:cstheme="majorHAnsi"/>
        </w:rPr>
        <w:t>1 V Bažantnici (plocha změny v krajině K</w:t>
      </w:r>
      <w:r w:rsidR="00463154" w:rsidRPr="006070EA">
        <w:rPr>
          <w:rFonts w:asciiTheme="majorHAnsi" w:hAnsiTheme="majorHAnsi" w:cstheme="majorHAnsi"/>
        </w:rPr>
        <w:t>.</w:t>
      </w:r>
      <w:r w:rsidRPr="006070EA">
        <w:rPr>
          <w:rFonts w:asciiTheme="majorHAnsi" w:hAnsiTheme="majorHAnsi" w:cstheme="majorHAnsi"/>
        </w:rPr>
        <w:t>03)</w:t>
      </w:r>
    </w:p>
    <w:p w14:paraId="6D46C56C" w14:textId="6B59C869" w:rsidR="006C561C" w:rsidRPr="006070EA" w:rsidRDefault="006C561C" w:rsidP="006C561C">
      <w:pPr>
        <w:pStyle w:val="Atext"/>
        <w:numPr>
          <w:ilvl w:val="1"/>
          <w:numId w:val="43"/>
        </w:numPr>
        <w:spacing w:before="60" w:after="60"/>
        <w:rPr>
          <w:rFonts w:asciiTheme="majorHAnsi" w:hAnsiTheme="majorHAnsi" w:cstheme="majorHAnsi"/>
        </w:rPr>
      </w:pPr>
      <w:r w:rsidRPr="006070EA">
        <w:rPr>
          <w:rFonts w:asciiTheme="majorHAnsi" w:hAnsiTheme="majorHAnsi" w:cstheme="majorHAnsi"/>
        </w:rPr>
        <w:t>VPO VU</w:t>
      </w:r>
      <w:r w:rsidR="00463154" w:rsidRPr="006070EA">
        <w:rPr>
          <w:rFonts w:asciiTheme="majorHAnsi" w:hAnsiTheme="majorHAnsi" w:cstheme="majorHAnsi"/>
        </w:rPr>
        <w:t>.</w:t>
      </w:r>
      <w:r w:rsidRPr="006070EA">
        <w:rPr>
          <w:rFonts w:asciiTheme="majorHAnsi" w:hAnsiTheme="majorHAnsi" w:cstheme="majorHAnsi"/>
        </w:rPr>
        <w:t>3 – zajištění funkčnosti skladebné části ÚSES – lokální biocentrum L</w:t>
      </w:r>
      <w:r w:rsidR="00463154" w:rsidRPr="006070EA">
        <w:rPr>
          <w:rFonts w:asciiTheme="majorHAnsi" w:hAnsiTheme="majorHAnsi" w:cstheme="majorHAnsi"/>
        </w:rPr>
        <w:t>B</w:t>
      </w:r>
      <w:r w:rsidRPr="006070EA">
        <w:rPr>
          <w:rFonts w:asciiTheme="majorHAnsi" w:hAnsiTheme="majorHAnsi" w:cstheme="majorHAnsi"/>
        </w:rPr>
        <w:t>C</w:t>
      </w:r>
      <w:r w:rsidR="00463154" w:rsidRPr="006070EA">
        <w:rPr>
          <w:rFonts w:asciiTheme="majorHAnsi" w:hAnsiTheme="majorHAnsi" w:cstheme="majorHAnsi"/>
        </w:rPr>
        <w:t>.</w:t>
      </w:r>
      <w:r w:rsidRPr="006070EA">
        <w:rPr>
          <w:rFonts w:asciiTheme="majorHAnsi" w:hAnsiTheme="majorHAnsi" w:cstheme="majorHAnsi"/>
        </w:rPr>
        <w:t>2 Na spraši (plocha změny v krajině K</w:t>
      </w:r>
      <w:r w:rsidR="00463154" w:rsidRPr="006070EA">
        <w:rPr>
          <w:rFonts w:asciiTheme="majorHAnsi" w:hAnsiTheme="majorHAnsi" w:cstheme="majorHAnsi"/>
        </w:rPr>
        <w:t>.</w:t>
      </w:r>
      <w:r w:rsidRPr="006070EA">
        <w:rPr>
          <w:rFonts w:asciiTheme="majorHAnsi" w:hAnsiTheme="majorHAnsi" w:cstheme="majorHAnsi"/>
        </w:rPr>
        <w:t>04)</w:t>
      </w:r>
    </w:p>
    <w:p w14:paraId="1084B5D0" w14:textId="5A52F7D5" w:rsidR="006C561C" w:rsidRDefault="006C561C" w:rsidP="006C561C">
      <w:pPr>
        <w:pStyle w:val="Atext"/>
        <w:numPr>
          <w:ilvl w:val="1"/>
          <w:numId w:val="43"/>
        </w:numPr>
        <w:spacing w:before="60" w:after="60"/>
        <w:rPr>
          <w:rFonts w:asciiTheme="majorHAnsi" w:hAnsiTheme="majorHAnsi" w:cstheme="majorHAnsi"/>
        </w:rPr>
      </w:pPr>
      <w:r w:rsidRPr="006070EA">
        <w:rPr>
          <w:rFonts w:asciiTheme="majorHAnsi" w:hAnsiTheme="majorHAnsi" w:cstheme="majorHAnsi"/>
        </w:rPr>
        <w:t>VPO VU</w:t>
      </w:r>
      <w:r w:rsidR="00E36BD8" w:rsidRPr="006070EA">
        <w:rPr>
          <w:rFonts w:asciiTheme="majorHAnsi" w:hAnsiTheme="majorHAnsi" w:cstheme="majorHAnsi"/>
        </w:rPr>
        <w:t>.</w:t>
      </w:r>
      <w:r w:rsidRPr="006070EA">
        <w:rPr>
          <w:rFonts w:asciiTheme="majorHAnsi" w:hAnsiTheme="majorHAnsi" w:cstheme="majorHAnsi"/>
        </w:rPr>
        <w:t>4 – zajištění funkčnosti skladebné části ÚSES – lokální biocentrum L</w:t>
      </w:r>
      <w:r w:rsidR="00E36BD8" w:rsidRPr="006070EA">
        <w:rPr>
          <w:rFonts w:asciiTheme="majorHAnsi" w:hAnsiTheme="majorHAnsi" w:cstheme="majorHAnsi"/>
        </w:rPr>
        <w:t>B</w:t>
      </w:r>
      <w:r w:rsidRPr="006070EA">
        <w:rPr>
          <w:rFonts w:asciiTheme="majorHAnsi" w:hAnsiTheme="majorHAnsi" w:cstheme="majorHAnsi"/>
        </w:rPr>
        <w:t>C</w:t>
      </w:r>
      <w:r w:rsidR="00E36BD8" w:rsidRPr="006070EA">
        <w:rPr>
          <w:rFonts w:asciiTheme="majorHAnsi" w:hAnsiTheme="majorHAnsi" w:cstheme="majorHAnsi"/>
        </w:rPr>
        <w:t>.</w:t>
      </w:r>
      <w:r w:rsidRPr="006070EA">
        <w:rPr>
          <w:rFonts w:asciiTheme="majorHAnsi" w:hAnsiTheme="majorHAnsi" w:cstheme="majorHAnsi"/>
        </w:rPr>
        <w:t>2 Na spraši (plocha změny v krajině K</w:t>
      </w:r>
      <w:r w:rsidR="00E36BD8" w:rsidRPr="006070EA">
        <w:rPr>
          <w:rFonts w:asciiTheme="majorHAnsi" w:hAnsiTheme="majorHAnsi" w:cstheme="majorHAnsi"/>
        </w:rPr>
        <w:t>.</w:t>
      </w:r>
      <w:r w:rsidRPr="006070EA">
        <w:rPr>
          <w:rFonts w:asciiTheme="majorHAnsi" w:hAnsiTheme="majorHAnsi" w:cstheme="majorHAnsi"/>
        </w:rPr>
        <w:t>05)</w:t>
      </w:r>
    </w:p>
    <w:p w14:paraId="5E326842" w14:textId="0F4B7719" w:rsidR="00BA3BDE" w:rsidRPr="00BA3BDE" w:rsidRDefault="00BA3BDE" w:rsidP="007B7517">
      <w:pPr>
        <w:pStyle w:val="Atext"/>
        <w:numPr>
          <w:ilvl w:val="1"/>
          <w:numId w:val="43"/>
        </w:numPr>
        <w:spacing w:before="60" w:after="60"/>
        <w:rPr>
          <w:rFonts w:asciiTheme="majorHAnsi" w:hAnsiTheme="majorHAnsi" w:cstheme="majorHAnsi"/>
        </w:rPr>
      </w:pPr>
      <w:r w:rsidRPr="00BA3BDE">
        <w:rPr>
          <w:rFonts w:asciiTheme="majorHAnsi" w:hAnsiTheme="majorHAnsi" w:cstheme="majorHAnsi"/>
        </w:rPr>
        <w:t>VPO VU.5 – zajištění funkčnosti lokálního biokoridoru LBK.2 včetně revitalizace a renaturace Hronětického náhonu</w:t>
      </w:r>
      <w:r>
        <w:rPr>
          <w:rFonts w:asciiTheme="majorHAnsi" w:hAnsiTheme="majorHAnsi" w:cstheme="majorHAnsi"/>
        </w:rPr>
        <w:t xml:space="preserve"> </w:t>
      </w:r>
      <w:r w:rsidRPr="00BA3BDE">
        <w:rPr>
          <w:rFonts w:asciiTheme="majorHAnsi" w:hAnsiTheme="majorHAnsi" w:cstheme="majorHAnsi"/>
        </w:rPr>
        <w:t>(lokální biokoridor LBK.2)</w:t>
      </w:r>
    </w:p>
    <w:p w14:paraId="20573694" w14:textId="77777777" w:rsidR="007F0B57" w:rsidRPr="006070EA" w:rsidRDefault="007F0B57" w:rsidP="007F0B57">
      <w:pPr>
        <w:pStyle w:val="Atext"/>
        <w:spacing w:before="60" w:after="60"/>
        <w:rPr>
          <w:rFonts w:asciiTheme="majorHAnsi" w:hAnsiTheme="majorHAnsi" w:cstheme="majorHAnsi"/>
        </w:rPr>
      </w:pPr>
      <w:r w:rsidRPr="006070EA">
        <w:rPr>
          <w:rFonts w:asciiTheme="majorHAnsi" w:hAnsiTheme="majorHAnsi" w:cstheme="majorHAnsi"/>
        </w:rPr>
        <w:t xml:space="preserve">Plochy změn v krajině určené pro založení dílčích částí prvků ÚSES jsou vymezeny ve veřejném zájmu, který spočívá v zajištění funkčnosti všech skladebných částí ÚSES v řešeném území. </w:t>
      </w:r>
    </w:p>
    <w:p w14:paraId="4CD59E56" w14:textId="77777777" w:rsidR="007F0B57" w:rsidRPr="006070EA" w:rsidRDefault="007F0B57" w:rsidP="007F0B57">
      <w:pPr>
        <w:pStyle w:val="Atext"/>
        <w:spacing w:before="60" w:after="60"/>
        <w:rPr>
          <w:rFonts w:asciiTheme="majorHAnsi" w:hAnsiTheme="majorHAnsi" w:cstheme="majorHAnsi"/>
        </w:rPr>
      </w:pPr>
      <w:r w:rsidRPr="006070EA">
        <w:rPr>
          <w:rFonts w:asciiTheme="majorHAnsi" w:hAnsiTheme="majorHAnsi" w:cstheme="majorHAnsi"/>
        </w:rPr>
        <w:t>Důvodem pro vymezení VPO je zejména zajištění a zvyšování ekologické stability krajiny.</w:t>
      </w:r>
    </w:p>
    <w:p w14:paraId="28F381D1" w14:textId="77777777" w:rsidR="00082327" w:rsidRPr="006070EA" w:rsidRDefault="00082327" w:rsidP="00C434D3">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8</w:t>
      </w:r>
      <w:r w:rsidRPr="006070EA">
        <w:rPr>
          <w:rFonts w:asciiTheme="majorHAnsi" w:hAnsiTheme="majorHAnsi" w:cstheme="majorHAnsi"/>
          <w:b/>
          <w:i/>
          <w:color w:val="auto"/>
          <w:sz w:val="22"/>
        </w:rPr>
        <w:tab/>
        <w:t>Vymezení veřejně prospěšných staveb a veřejných prostranství, pro které lze uplatnit předkupní právo, s </w:t>
      </w:r>
      <w:proofErr w:type="gramStart"/>
      <w:r w:rsidRPr="006070EA">
        <w:rPr>
          <w:rFonts w:asciiTheme="majorHAnsi" w:hAnsiTheme="majorHAnsi" w:cstheme="majorHAnsi"/>
          <w:b/>
          <w:i/>
          <w:color w:val="auto"/>
          <w:sz w:val="22"/>
        </w:rPr>
        <w:t>uvedením</w:t>
      </w:r>
      <w:proofErr w:type="gramEnd"/>
      <w:r w:rsidRPr="006070EA">
        <w:rPr>
          <w:rFonts w:asciiTheme="majorHAnsi" w:hAnsiTheme="majorHAnsi" w:cstheme="majorHAnsi"/>
          <w:b/>
          <w:i/>
          <w:color w:val="auto"/>
          <w:sz w:val="22"/>
        </w:rPr>
        <w:t xml:space="preserve"> v čí prospěch je předkupní právo zřizováno, parcelních čísel pozemků, názvu katastrálního území a případně dalších údajů podle § </w:t>
      </w:r>
      <w:r w:rsidR="003367DF" w:rsidRPr="006070EA">
        <w:rPr>
          <w:rFonts w:asciiTheme="majorHAnsi" w:hAnsiTheme="majorHAnsi" w:cstheme="majorHAnsi"/>
          <w:b/>
          <w:i/>
          <w:color w:val="auto"/>
          <w:sz w:val="22"/>
        </w:rPr>
        <w:t>8</w:t>
      </w:r>
      <w:r w:rsidRPr="006070EA">
        <w:rPr>
          <w:rFonts w:asciiTheme="majorHAnsi" w:hAnsiTheme="majorHAnsi" w:cstheme="majorHAnsi"/>
          <w:b/>
          <w:i/>
          <w:color w:val="auto"/>
          <w:sz w:val="22"/>
        </w:rPr>
        <w:t xml:space="preserve"> katastrálního zákona</w:t>
      </w:r>
    </w:p>
    <w:p w14:paraId="20C7FDFA" w14:textId="77777777" w:rsidR="009E07E1" w:rsidRPr="006070EA" w:rsidRDefault="009E07E1" w:rsidP="003A4B1E">
      <w:pPr>
        <w:pStyle w:val="Odstavecseseznamem"/>
        <w:keepNext/>
        <w:numPr>
          <w:ilvl w:val="1"/>
          <w:numId w:val="30"/>
        </w:numPr>
        <w:spacing w:before="160" w:after="120" w:line="240" w:lineRule="auto"/>
        <w:ind w:left="709" w:hanging="709"/>
        <w:contextualSpacing w:val="0"/>
        <w:jc w:val="both"/>
        <w:outlineLvl w:val="1"/>
        <w:rPr>
          <w:rFonts w:asciiTheme="majorHAnsi" w:hAnsiTheme="majorHAnsi" w:cstheme="majorHAnsi"/>
          <w:b/>
          <w:sz w:val="24"/>
          <w:szCs w:val="20"/>
        </w:rPr>
      </w:pPr>
      <w:bookmarkStart w:id="408" w:name="_Toc459717343"/>
      <w:bookmarkStart w:id="409" w:name="_Toc204678217"/>
      <w:r w:rsidRPr="006070EA">
        <w:rPr>
          <w:rFonts w:asciiTheme="majorHAnsi" w:hAnsiTheme="majorHAnsi" w:cstheme="majorHAnsi"/>
          <w:b/>
          <w:sz w:val="24"/>
          <w:szCs w:val="20"/>
        </w:rPr>
        <w:t>Odůvodnění vymezení veřejně prospěšných staveb a veřejných prostranství, pro které lze uplatnit předkupní právo</w:t>
      </w:r>
      <w:bookmarkEnd w:id="408"/>
      <w:bookmarkEnd w:id="409"/>
    </w:p>
    <w:p w14:paraId="6F0F32C3" w14:textId="7A6D2996" w:rsidR="00705151" w:rsidRPr="006070EA" w:rsidRDefault="00705151" w:rsidP="00705151">
      <w:pPr>
        <w:pStyle w:val="Atext"/>
        <w:keepNext/>
        <w:ind w:left="1429" w:firstLine="0"/>
        <w:jc w:val="right"/>
        <w:rPr>
          <w:rFonts w:asciiTheme="majorHAnsi" w:hAnsiTheme="majorHAnsi" w:cstheme="majorHAnsi"/>
          <w:i/>
          <w:snapToGrid w:val="0"/>
          <w:u w:val="single"/>
        </w:rPr>
      </w:pPr>
      <w:r w:rsidRPr="006070EA">
        <w:rPr>
          <w:rFonts w:asciiTheme="majorHAnsi" w:hAnsiTheme="majorHAnsi" w:cstheme="majorHAnsi"/>
          <w:i/>
          <w:snapToGrid w:val="0"/>
          <w:u w:val="single"/>
        </w:rPr>
        <w:t>Odůvodnění odst.</w:t>
      </w:r>
      <w:r w:rsidRPr="006070EA">
        <w:rPr>
          <w:rFonts w:asciiTheme="majorHAnsi" w:hAnsiTheme="majorHAnsi" w:cstheme="majorHAnsi"/>
          <w:b/>
          <w:i/>
          <w:snapToGrid w:val="0"/>
          <w:u w:val="single"/>
        </w:rPr>
        <w:t xml:space="preserve"> (</w:t>
      </w:r>
      <w:r w:rsidR="00E36BD8" w:rsidRPr="006070EA">
        <w:rPr>
          <w:rFonts w:asciiTheme="majorHAnsi" w:hAnsiTheme="majorHAnsi" w:cstheme="majorHAnsi"/>
          <w:b/>
          <w:i/>
          <w:snapToGrid w:val="0"/>
          <w:u w:val="single"/>
        </w:rPr>
        <w:t>8</w:t>
      </w:r>
      <w:r w:rsidR="00BA3BDE">
        <w:rPr>
          <w:rFonts w:asciiTheme="majorHAnsi" w:hAnsiTheme="majorHAnsi" w:cstheme="majorHAnsi"/>
          <w:b/>
          <w:i/>
          <w:snapToGrid w:val="0"/>
          <w:u w:val="single"/>
        </w:rPr>
        <w:t>4</w:t>
      </w:r>
      <w:r w:rsidRPr="006070EA">
        <w:rPr>
          <w:rFonts w:asciiTheme="majorHAnsi" w:hAnsiTheme="majorHAnsi" w:cstheme="majorHAnsi"/>
          <w:b/>
          <w:i/>
          <w:snapToGrid w:val="0"/>
          <w:u w:val="single"/>
        </w:rPr>
        <w:t xml:space="preserve">) </w:t>
      </w:r>
      <w:r w:rsidR="001C66D9" w:rsidRPr="006070EA">
        <w:rPr>
          <w:rFonts w:asciiTheme="majorHAnsi" w:hAnsiTheme="majorHAnsi" w:cstheme="majorHAnsi"/>
          <w:bCs w:val="0"/>
          <w:i/>
          <w:snapToGrid w:val="0"/>
          <w:u w:val="single"/>
        </w:rPr>
        <w:t>a</w:t>
      </w:r>
      <w:r w:rsidRPr="006070EA">
        <w:rPr>
          <w:rFonts w:asciiTheme="majorHAnsi" w:hAnsiTheme="majorHAnsi" w:cstheme="majorHAnsi"/>
          <w:b/>
          <w:i/>
          <w:snapToGrid w:val="0"/>
          <w:u w:val="single"/>
        </w:rPr>
        <w:t xml:space="preserve"> (</w:t>
      </w:r>
      <w:r w:rsidR="001C66D9" w:rsidRPr="006070EA">
        <w:rPr>
          <w:rFonts w:asciiTheme="majorHAnsi" w:hAnsiTheme="majorHAnsi" w:cstheme="majorHAnsi"/>
          <w:b/>
          <w:i/>
          <w:snapToGrid w:val="0"/>
          <w:u w:val="single"/>
        </w:rPr>
        <w:t>8</w:t>
      </w:r>
      <w:r w:rsidR="00BA3BDE">
        <w:rPr>
          <w:rFonts w:asciiTheme="majorHAnsi" w:hAnsiTheme="majorHAnsi" w:cstheme="majorHAnsi"/>
          <w:b/>
          <w:i/>
          <w:snapToGrid w:val="0"/>
          <w:u w:val="single"/>
        </w:rPr>
        <w:t>5</w:t>
      </w:r>
      <w:r w:rsidRPr="006070EA">
        <w:rPr>
          <w:rFonts w:asciiTheme="majorHAnsi" w:hAnsiTheme="majorHAnsi" w:cstheme="majorHAnsi"/>
          <w:b/>
          <w:i/>
          <w:snapToGrid w:val="0"/>
          <w:u w:val="single"/>
        </w:rPr>
        <w:t xml:space="preserve">) </w:t>
      </w:r>
      <w:r w:rsidRPr="006070EA">
        <w:rPr>
          <w:rFonts w:asciiTheme="majorHAnsi" w:hAnsiTheme="majorHAnsi" w:cstheme="majorHAnsi"/>
          <w:i/>
          <w:snapToGrid w:val="0"/>
          <w:u w:val="single"/>
        </w:rPr>
        <w:t>výrokové části</w:t>
      </w:r>
    </w:p>
    <w:p w14:paraId="351B57CE" w14:textId="77777777" w:rsidR="00705151" w:rsidRPr="006070EA" w:rsidRDefault="00705151" w:rsidP="00705151">
      <w:pPr>
        <w:pStyle w:val="Atext"/>
        <w:rPr>
          <w:rFonts w:asciiTheme="majorHAnsi" w:hAnsiTheme="majorHAnsi" w:cstheme="majorHAnsi"/>
        </w:rPr>
      </w:pPr>
      <w:r w:rsidRPr="006070EA">
        <w:rPr>
          <w:rFonts w:asciiTheme="majorHAnsi" w:hAnsiTheme="majorHAnsi" w:cstheme="majorHAnsi"/>
        </w:rPr>
        <w:t>V souladu s § 2 odst. 1 písm. m) a n) stavebního zákona ÚP vymezuje veřejně prospěšné stavby. Jako veřejně prospěšné stavby, pro které lze uplatnit předkupní právo, jsou vymezeny plochy určené pro veřejnou infrastrukturu dle § 2 odst. 1 písm. m) číslo 3 a 4. stavebního zákona (občanské vybavení a veřejná prostranství). Pro dané plochy lze uplatnit předkupní právo v souladu s § 101 odst. 1 zákona č. 183/2006 Sb.</w:t>
      </w:r>
    </w:p>
    <w:p w14:paraId="71251FFF" w14:textId="77777777" w:rsidR="00705151" w:rsidRPr="006070EA" w:rsidRDefault="00705151" w:rsidP="00705151">
      <w:pPr>
        <w:pStyle w:val="ANADPIS4"/>
        <w:rPr>
          <w:rFonts w:asciiTheme="majorHAnsi" w:hAnsiTheme="majorHAnsi" w:cstheme="majorHAnsi"/>
        </w:rPr>
      </w:pPr>
      <w:r w:rsidRPr="006070EA">
        <w:rPr>
          <w:rFonts w:asciiTheme="majorHAnsi" w:hAnsiTheme="majorHAnsi" w:cstheme="majorHAnsi"/>
        </w:rPr>
        <w:lastRenderedPageBreak/>
        <w:t>veřejnÁ PROSTRANSTVÍ</w:t>
      </w:r>
    </w:p>
    <w:p w14:paraId="38495DAB" w14:textId="0857CA78" w:rsidR="00705151" w:rsidRPr="006070EA" w:rsidRDefault="00705151" w:rsidP="00705151">
      <w:pPr>
        <w:pStyle w:val="Mra2-reakceern"/>
        <w:keepNext/>
        <w:pBdr>
          <w:left w:val="none" w:sz="0" w:space="0" w:color="auto"/>
        </w:pBdr>
        <w:spacing w:before="120" w:after="60"/>
        <w:ind w:left="0"/>
        <w:jc w:val="right"/>
        <w:rPr>
          <w:rFonts w:asciiTheme="majorHAnsi" w:hAnsiTheme="majorHAnsi" w:cstheme="majorHAnsi"/>
          <w:i/>
          <w:color w:val="auto"/>
          <w:u w:val="single"/>
        </w:rPr>
      </w:pPr>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w:t>
      </w:r>
      <w:r w:rsidR="00E36BD8" w:rsidRPr="006070EA">
        <w:rPr>
          <w:rFonts w:asciiTheme="majorHAnsi" w:hAnsiTheme="majorHAnsi" w:cstheme="majorHAnsi"/>
          <w:b/>
          <w:i/>
          <w:color w:val="auto"/>
          <w:u w:val="single"/>
        </w:rPr>
        <w:t>8</w:t>
      </w:r>
      <w:r w:rsidR="00BA3BDE">
        <w:rPr>
          <w:rFonts w:asciiTheme="majorHAnsi" w:hAnsiTheme="majorHAnsi" w:cstheme="majorHAnsi"/>
          <w:b/>
          <w:i/>
          <w:color w:val="auto"/>
          <w:u w:val="single"/>
        </w:rPr>
        <w:t>4</w:t>
      </w:r>
      <w:r w:rsidRPr="006070EA">
        <w:rPr>
          <w:rFonts w:asciiTheme="majorHAnsi" w:hAnsiTheme="majorHAnsi" w:cstheme="majorHAnsi"/>
          <w:b/>
          <w:i/>
          <w:color w:val="auto"/>
          <w:u w:val="single"/>
        </w:rPr>
        <w:t>)</w:t>
      </w:r>
      <w:r w:rsidRPr="006070EA">
        <w:rPr>
          <w:rFonts w:asciiTheme="majorHAnsi" w:hAnsiTheme="majorHAnsi" w:cstheme="majorHAnsi"/>
          <w:i/>
          <w:color w:val="auto"/>
          <w:u w:val="single"/>
        </w:rPr>
        <w:t xml:space="preserve"> výrokové části</w:t>
      </w:r>
    </w:p>
    <w:p w14:paraId="719B2F7A" w14:textId="0C8A7FC5" w:rsidR="00705151" w:rsidRPr="006070EA" w:rsidRDefault="00705151" w:rsidP="00705151">
      <w:pPr>
        <w:pStyle w:val="Atext"/>
        <w:rPr>
          <w:rFonts w:asciiTheme="majorHAnsi" w:hAnsiTheme="majorHAnsi" w:cstheme="majorHAnsi"/>
        </w:rPr>
      </w:pPr>
      <w:r w:rsidRPr="006070EA">
        <w:rPr>
          <w:rFonts w:asciiTheme="majorHAnsi" w:hAnsiTheme="majorHAnsi" w:cstheme="majorHAnsi"/>
        </w:rPr>
        <w:t xml:space="preserve">Jako veřejná prostranství v souladu s § 2 odst. 1 písm. m) č. 4 a písm. n) zákona č. 183/2006 Sb. jsou vymezeny plochy </w:t>
      </w:r>
      <w:r w:rsidR="00E36BD8" w:rsidRPr="006070EA">
        <w:rPr>
          <w:rFonts w:asciiTheme="majorHAnsi" w:hAnsiTheme="majorHAnsi" w:cstheme="majorHAnsi"/>
        </w:rPr>
        <w:t xml:space="preserve">s využitím pro </w:t>
      </w:r>
      <w:r w:rsidRPr="006070EA">
        <w:rPr>
          <w:rFonts w:asciiTheme="majorHAnsi" w:hAnsiTheme="majorHAnsi" w:cstheme="majorHAnsi"/>
        </w:rPr>
        <w:t>veřejn</w:t>
      </w:r>
      <w:r w:rsidR="00E36BD8" w:rsidRPr="006070EA">
        <w:rPr>
          <w:rFonts w:asciiTheme="majorHAnsi" w:hAnsiTheme="majorHAnsi" w:cstheme="majorHAnsi"/>
        </w:rPr>
        <w:t>á</w:t>
      </w:r>
      <w:r w:rsidRPr="006070EA">
        <w:rPr>
          <w:rFonts w:asciiTheme="majorHAnsi" w:hAnsiTheme="majorHAnsi" w:cstheme="majorHAnsi"/>
        </w:rPr>
        <w:t xml:space="preserve"> prostranství pobytového charakteru, které zajišťují rozvoj veřejných prostranství jako součásti veřejné infrastruktury. Jedná se o </w:t>
      </w:r>
      <w:r w:rsidR="008E4EF0" w:rsidRPr="006070EA">
        <w:rPr>
          <w:rFonts w:asciiTheme="majorHAnsi" w:hAnsiTheme="majorHAnsi" w:cstheme="majorHAnsi"/>
        </w:rPr>
        <w:t xml:space="preserve">zastavitelné </w:t>
      </w:r>
      <w:r w:rsidRPr="006070EA">
        <w:rPr>
          <w:rFonts w:asciiTheme="majorHAnsi" w:hAnsiTheme="majorHAnsi" w:cstheme="majorHAnsi"/>
        </w:rPr>
        <w:t>plochy veřejné zeleně určené pro rozvoj pobytových veřejných prostranství s převažujícím podílem zeleně</w:t>
      </w:r>
      <w:r w:rsidR="008E4EF0" w:rsidRPr="006070EA">
        <w:rPr>
          <w:rFonts w:asciiTheme="majorHAnsi" w:hAnsiTheme="majorHAnsi" w:cstheme="majorHAnsi"/>
        </w:rPr>
        <w:t xml:space="preserve">, zařazené do ploch zeleně </w:t>
      </w:r>
      <w:r w:rsidR="00E36BD8" w:rsidRPr="006070EA">
        <w:rPr>
          <w:rFonts w:asciiTheme="majorHAnsi" w:hAnsiTheme="majorHAnsi" w:cstheme="majorHAnsi"/>
        </w:rPr>
        <w:t xml:space="preserve">– parky a parkově upravené plochy </w:t>
      </w:r>
      <w:r w:rsidR="008E4EF0" w:rsidRPr="006070EA">
        <w:rPr>
          <w:rFonts w:asciiTheme="majorHAnsi" w:hAnsiTheme="majorHAnsi" w:cstheme="majorHAnsi"/>
        </w:rPr>
        <w:t>(Z</w:t>
      </w:r>
      <w:r w:rsidR="00E36BD8" w:rsidRPr="006070EA">
        <w:rPr>
          <w:rFonts w:asciiTheme="majorHAnsi" w:hAnsiTheme="majorHAnsi" w:cstheme="majorHAnsi"/>
        </w:rPr>
        <w:t>P</w:t>
      </w:r>
      <w:r w:rsidR="008E4EF0" w:rsidRPr="006070EA">
        <w:rPr>
          <w:rFonts w:asciiTheme="majorHAnsi" w:hAnsiTheme="majorHAnsi" w:cstheme="majorHAnsi"/>
        </w:rPr>
        <w:t>)</w:t>
      </w:r>
      <w:r w:rsidRPr="006070EA">
        <w:rPr>
          <w:rFonts w:asciiTheme="majorHAnsi" w:hAnsiTheme="majorHAnsi" w:cstheme="majorHAnsi"/>
        </w:rPr>
        <w:t xml:space="preserve">, a dále </w:t>
      </w:r>
      <w:r w:rsidR="008E4EF0" w:rsidRPr="006070EA">
        <w:rPr>
          <w:rFonts w:asciiTheme="majorHAnsi" w:hAnsiTheme="majorHAnsi" w:cstheme="majorHAnsi"/>
        </w:rPr>
        <w:t xml:space="preserve">o zastavitelnou </w:t>
      </w:r>
      <w:r w:rsidRPr="006070EA">
        <w:rPr>
          <w:rFonts w:asciiTheme="majorHAnsi" w:hAnsiTheme="majorHAnsi" w:cstheme="majorHAnsi"/>
        </w:rPr>
        <w:t>ploch</w:t>
      </w:r>
      <w:r w:rsidR="008E4EF0" w:rsidRPr="006070EA">
        <w:rPr>
          <w:rFonts w:asciiTheme="majorHAnsi" w:hAnsiTheme="majorHAnsi" w:cstheme="majorHAnsi"/>
        </w:rPr>
        <w:t>u</w:t>
      </w:r>
      <w:r w:rsidRPr="006070EA">
        <w:rPr>
          <w:rFonts w:asciiTheme="majorHAnsi" w:hAnsiTheme="majorHAnsi" w:cstheme="majorHAnsi"/>
        </w:rPr>
        <w:t xml:space="preserve"> </w:t>
      </w:r>
      <w:r w:rsidR="008E4EF0" w:rsidRPr="006070EA">
        <w:rPr>
          <w:rFonts w:asciiTheme="majorHAnsi" w:hAnsiTheme="majorHAnsi" w:cstheme="majorHAnsi"/>
        </w:rPr>
        <w:t>veřejného prostranství</w:t>
      </w:r>
      <w:r w:rsidR="00E36BD8" w:rsidRPr="006070EA">
        <w:rPr>
          <w:rFonts w:asciiTheme="majorHAnsi" w:hAnsiTheme="majorHAnsi" w:cstheme="majorHAnsi"/>
        </w:rPr>
        <w:t xml:space="preserve"> všeobecného</w:t>
      </w:r>
      <w:r w:rsidR="008E4EF0" w:rsidRPr="006070EA">
        <w:rPr>
          <w:rFonts w:asciiTheme="majorHAnsi" w:hAnsiTheme="majorHAnsi" w:cstheme="majorHAnsi"/>
        </w:rPr>
        <w:t xml:space="preserve"> (P</w:t>
      </w:r>
      <w:r w:rsidR="00E36BD8" w:rsidRPr="006070EA">
        <w:rPr>
          <w:rFonts w:asciiTheme="majorHAnsi" w:hAnsiTheme="majorHAnsi" w:cstheme="majorHAnsi"/>
        </w:rPr>
        <w:t>U</w:t>
      </w:r>
      <w:r w:rsidR="008E4EF0" w:rsidRPr="006070EA">
        <w:rPr>
          <w:rFonts w:asciiTheme="majorHAnsi" w:hAnsiTheme="majorHAnsi" w:cstheme="majorHAnsi"/>
        </w:rPr>
        <w:t>) pro zvýšení prostupnosti a zajištění optimální obslužnosti zastavěného území sídla Vápensko</w:t>
      </w:r>
      <w:r w:rsidRPr="006070EA">
        <w:rPr>
          <w:rFonts w:asciiTheme="majorHAnsi" w:hAnsiTheme="majorHAnsi" w:cstheme="majorHAnsi"/>
        </w:rPr>
        <w:t>. Pro</w:t>
      </w:r>
      <w:r w:rsidR="008E4EF0" w:rsidRPr="006070EA">
        <w:rPr>
          <w:rFonts w:asciiTheme="majorHAnsi" w:hAnsiTheme="majorHAnsi" w:cstheme="majorHAnsi"/>
        </w:rPr>
        <w:t> </w:t>
      </w:r>
      <w:r w:rsidRPr="006070EA">
        <w:rPr>
          <w:rFonts w:asciiTheme="majorHAnsi" w:hAnsiTheme="majorHAnsi" w:cstheme="majorHAnsi"/>
        </w:rPr>
        <w:t>dané plochy lze uplatnit předkupní právo v souladu s § 101 odst. 1 stavebního zákona.</w:t>
      </w:r>
    </w:p>
    <w:p w14:paraId="69794AA9" w14:textId="77777777" w:rsidR="00705151" w:rsidRPr="006070EA" w:rsidRDefault="00705151" w:rsidP="00705151">
      <w:pPr>
        <w:pStyle w:val="Atext"/>
        <w:spacing w:before="60" w:after="60"/>
        <w:rPr>
          <w:rFonts w:asciiTheme="majorHAnsi" w:hAnsiTheme="majorHAnsi" w:cstheme="majorHAnsi"/>
        </w:rPr>
      </w:pPr>
      <w:r w:rsidRPr="006070EA">
        <w:rPr>
          <w:rFonts w:asciiTheme="majorHAnsi" w:hAnsiTheme="majorHAnsi" w:cstheme="majorHAnsi"/>
        </w:rPr>
        <w:t xml:space="preserve">Odůvodnění jednotlivých VPS, pro něž jsou vymezeny zastavitelné plochy je součástí komplexního zdůvodnění přijatého řešení a podrobně je uvedeno v kapitole 11.3.3. </w:t>
      </w:r>
    </w:p>
    <w:p w14:paraId="6D323299" w14:textId="50CE3CE0" w:rsidR="00705151" w:rsidRPr="006070EA" w:rsidRDefault="00705151" w:rsidP="00705151">
      <w:pPr>
        <w:pStyle w:val="Atext"/>
        <w:rPr>
          <w:rFonts w:asciiTheme="majorHAnsi" w:hAnsiTheme="majorHAnsi" w:cstheme="majorHAnsi"/>
        </w:rPr>
      </w:pPr>
      <w:r w:rsidRPr="006070EA">
        <w:rPr>
          <w:rFonts w:asciiTheme="majorHAnsi" w:hAnsiTheme="majorHAnsi" w:cstheme="majorHAnsi"/>
        </w:rPr>
        <w:t>Plochy jsou vymezeny ve veřejném zájmu, který spočívá v zajištění dostatečného podílu pobytových veřejných prostranství a dostatečného podílu veřejné zeleně jako součásti systému sídelní zeleně</w:t>
      </w:r>
      <w:r w:rsidR="004C6939" w:rsidRPr="006070EA">
        <w:rPr>
          <w:rFonts w:asciiTheme="majorHAnsi" w:hAnsiTheme="majorHAnsi" w:cstheme="majorHAnsi"/>
        </w:rPr>
        <w:t xml:space="preserve"> a dále ve vytvoření podmínek pro zvýšení dopravní obslužnosti a prostupnosti zastavěného území</w:t>
      </w:r>
      <w:r w:rsidRPr="006070EA">
        <w:rPr>
          <w:rFonts w:asciiTheme="majorHAnsi" w:hAnsiTheme="majorHAnsi" w:cstheme="majorHAnsi"/>
        </w:rPr>
        <w:t xml:space="preserve">, rovněž se zajištěním dalších funkcí (zejména možného rozvoje prvků modrozelené infrastruktury, zajištění rekreačního zázemí v urbanizovaném území atd.). </w:t>
      </w:r>
    </w:p>
    <w:p w14:paraId="4E8A2FE9" w14:textId="1475A5C7" w:rsidR="008E4EF0" w:rsidRPr="006070EA" w:rsidRDefault="008E4EF0" w:rsidP="008E4EF0">
      <w:pPr>
        <w:pStyle w:val="Mra2-reakceern"/>
        <w:keepNext/>
        <w:pBdr>
          <w:left w:val="none" w:sz="0" w:space="0" w:color="auto"/>
        </w:pBdr>
        <w:spacing w:before="120" w:after="60"/>
        <w:ind w:left="0"/>
        <w:jc w:val="right"/>
        <w:rPr>
          <w:rFonts w:asciiTheme="majorHAnsi" w:hAnsiTheme="majorHAnsi" w:cstheme="majorHAnsi"/>
          <w:i/>
          <w:color w:val="auto"/>
          <w:u w:val="single"/>
        </w:rPr>
      </w:pPr>
      <w:r w:rsidRPr="006070EA">
        <w:rPr>
          <w:rFonts w:asciiTheme="majorHAnsi" w:hAnsiTheme="majorHAnsi" w:cstheme="majorHAnsi"/>
          <w:i/>
          <w:color w:val="auto"/>
          <w:u w:val="single"/>
        </w:rPr>
        <w:t xml:space="preserve">Odůvodnění odst. </w:t>
      </w:r>
      <w:r w:rsidRPr="006070EA">
        <w:rPr>
          <w:rFonts w:asciiTheme="majorHAnsi" w:hAnsiTheme="majorHAnsi" w:cstheme="majorHAnsi"/>
          <w:b/>
          <w:i/>
          <w:color w:val="auto"/>
          <w:u w:val="single"/>
        </w:rPr>
        <w:t>(</w:t>
      </w:r>
      <w:r w:rsidR="00E36BD8" w:rsidRPr="006070EA">
        <w:rPr>
          <w:rFonts w:asciiTheme="majorHAnsi" w:hAnsiTheme="majorHAnsi" w:cstheme="majorHAnsi"/>
          <w:b/>
          <w:i/>
          <w:color w:val="auto"/>
          <w:u w:val="single"/>
        </w:rPr>
        <w:t>8</w:t>
      </w:r>
      <w:r w:rsidR="00BA3BDE">
        <w:rPr>
          <w:rFonts w:asciiTheme="majorHAnsi" w:hAnsiTheme="majorHAnsi" w:cstheme="majorHAnsi"/>
          <w:b/>
          <w:i/>
          <w:color w:val="auto"/>
          <w:u w:val="single"/>
        </w:rPr>
        <w:t>5</w:t>
      </w:r>
      <w:r w:rsidRPr="006070EA">
        <w:rPr>
          <w:rFonts w:asciiTheme="majorHAnsi" w:hAnsiTheme="majorHAnsi" w:cstheme="majorHAnsi"/>
          <w:b/>
          <w:i/>
          <w:color w:val="auto"/>
          <w:u w:val="single"/>
        </w:rPr>
        <w:t>)</w:t>
      </w:r>
      <w:r w:rsidRPr="006070EA">
        <w:rPr>
          <w:rFonts w:asciiTheme="majorHAnsi" w:hAnsiTheme="majorHAnsi" w:cstheme="majorHAnsi"/>
          <w:i/>
          <w:color w:val="auto"/>
          <w:u w:val="single"/>
        </w:rPr>
        <w:t xml:space="preserve"> výrokové části</w:t>
      </w:r>
    </w:p>
    <w:p w14:paraId="4A991D8B" w14:textId="0C11A6E4" w:rsidR="00705151" w:rsidRPr="006070EA" w:rsidRDefault="008E4EF0" w:rsidP="008E4EF0">
      <w:pPr>
        <w:keepNext/>
        <w:spacing w:after="120" w:line="240" w:lineRule="auto"/>
        <w:ind w:firstLine="709"/>
        <w:jc w:val="both"/>
        <w:rPr>
          <w:rFonts w:asciiTheme="majorHAnsi" w:hAnsiTheme="majorHAnsi" w:cstheme="majorHAnsi"/>
          <w:i/>
          <w:sz w:val="18"/>
          <w:szCs w:val="20"/>
          <w:u w:val="single"/>
        </w:rPr>
      </w:pPr>
      <w:r w:rsidRPr="006070EA">
        <w:rPr>
          <w:rFonts w:asciiTheme="majorHAnsi" w:hAnsiTheme="majorHAnsi" w:cstheme="majorHAnsi"/>
          <w:sz w:val="18"/>
          <w:szCs w:val="20"/>
        </w:rPr>
        <w:t>Územní plán nevymezuje veřejně prospěšné stavby občanského vybavení, která jsou veřejnou infrastrukturou, pro která lze uplatnit předkupní právo.</w:t>
      </w:r>
    </w:p>
    <w:p w14:paraId="324CF3AF" w14:textId="77777777" w:rsidR="000043B2" w:rsidRPr="006070EA" w:rsidRDefault="000043B2" w:rsidP="00155D25">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9</w:t>
      </w:r>
      <w:r w:rsidRPr="006070EA">
        <w:rPr>
          <w:rFonts w:asciiTheme="majorHAnsi" w:hAnsiTheme="majorHAnsi" w:cstheme="majorHAnsi"/>
          <w:b/>
          <w:i/>
          <w:color w:val="auto"/>
          <w:sz w:val="22"/>
        </w:rPr>
        <w:tab/>
        <w:t>Stanovení kompenzačních opatření podle § 50 odst. 6 stavebního zákona</w:t>
      </w:r>
    </w:p>
    <w:p w14:paraId="4D2D5E89" w14:textId="77777777" w:rsidR="000043B2" w:rsidRPr="006070EA" w:rsidRDefault="00BC3545"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410" w:name="_Toc204678218"/>
      <w:r w:rsidRPr="006070EA">
        <w:rPr>
          <w:rFonts w:asciiTheme="majorHAnsi" w:hAnsiTheme="majorHAnsi" w:cstheme="majorHAnsi"/>
          <w:b/>
          <w:sz w:val="24"/>
          <w:szCs w:val="20"/>
        </w:rPr>
        <w:t>Odůvodnění stanovení kompenzačních opatření</w:t>
      </w:r>
      <w:bookmarkEnd w:id="410"/>
    </w:p>
    <w:p w14:paraId="60907F11" w14:textId="4FEED0B6" w:rsidR="00BC3545" w:rsidRPr="006070EA" w:rsidRDefault="00BC3545" w:rsidP="009E07E1">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E36BD8" w:rsidRPr="006070EA">
        <w:rPr>
          <w:rFonts w:asciiTheme="majorHAnsi" w:hAnsiTheme="majorHAnsi" w:cstheme="majorHAnsi"/>
          <w:b/>
          <w:i/>
          <w:sz w:val="18"/>
          <w:szCs w:val="20"/>
          <w:u w:val="single"/>
        </w:rPr>
        <w:t>8</w:t>
      </w:r>
      <w:r w:rsidR="00BA3BDE">
        <w:rPr>
          <w:rFonts w:asciiTheme="majorHAnsi" w:hAnsiTheme="majorHAnsi" w:cstheme="majorHAnsi"/>
          <w:b/>
          <w:i/>
          <w:sz w:val="18"/>
          <w:szCs w:val="20"/>
          <w:u w:val="single"/>
        </w:rPr>
        <w:t>6</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22678C17" w14:textId="690EA671" w:rsidR="00BC3545" w:rsidRPr="006070EA" w:rsidRDefault="00FF5A85" w:rsidP="00DF1BB0">
      <w:pPr>
        <w:spacing w:line="240" w:lineRule="auto"/>
        <w:ind w:firstLine="705"/>
        <w:jc w:val="both"/>
        <w:rPr>
          <w:rFonts w:asciiTheme="majorHAnsi" w:hAnsiTheme="majorHAnsi" w:cstheme="majorHAnsi"/>
          <w:sz w:val="18"/>
          <w:szCs w:val="20"/>
        </w:rPr>
      </w:pPr>
      <w:r w:rsidRPr="006070EA">
        <w:rPr>
          <w:rFonts w:asciiTheme="majorHAnsi" w:hAnsiTheme="majorHAnsi" w:cstheme="majorHAnsi"/>
          <w:sz w:val="18"/>
          <w:szCs w:val="20"/>
        </w:rPr>
        <w:t xml:space="preserve">V rámci procesu pořizování ÚP </w:t>
      </w:r>
      <w:r w:rsidR="004C6939" w:rsidRPr="006070EA">
        <w:rPr>
          <w:rFonts w:asciiTheme="majorHAnsi" w:hAnsiTheme="majorHAnsi" w:cstheme="majorHAnsi"/>
          <w:sz w:val="18"/>
          <w:szCs w:val="20"/>
        </w:rPr>
        <w:t>Kostomlaty nad Labem</w:t>
      </w:r>
      <w:r w:rsidRPr="006070EA">
        <w:rPr>
          <w:rFonts w:asciiTheme="majorHAnsi" w:hAnsiTheme="majorHAnsi" w:cstheme="majorHAnsi"/>
          <w:sz w:val="18"/>
          <w:szCs w:val="20"/>
        </w:rPr>
        <w:t xml:space="preserve"> nevyplynuly žádné požadavky ani potřebnost </w:t>
      </w:r>
      <w:r w:rsidR="00BC3545" w:rsidRPr="006070EA">
        <w:rPr>
          <w:rFonts w:asciiTheme="majorHAnsi" w:hAnsiTheme="majorHAnsi" w:cstheme="majorHAnsi"/>
          <w:sz w:val="18"/>
          <w:szCs w:val="20"/>
        </w:rPr>
        <w:t>stanovení kompenzačních opatření</w:t>
      </w:r>
      <w:r w:rsidR="009E07E1" w:rsidRPr="006070EA">
        <w:rPr>
          <w:rFonts w:asciiTheme="majorHAnsi" w:hAnsiTheme="majorHAnsi" w:cstheme="majorHAnsi"/>
          <w:sz w:val="18"/>
          <w:szCs w:val="20"/>
        </w:rPr>
        <w:t xml:space="preserve"> podle § 50 odst. 6 stavebního zákona</w:t>
      </w:r>
      <w:r w:rsidR="00BC3545" w:rsidRPr="006070EA">
        <w:rPr>
          <w:rFonts w:asciiTheme="majorHAnsi" w:hAnsiTheme="majorHAnsi" w:cstheme="majorHAnsi"/>
          <w:sz w:val="18"/>
          <w:szCs w:val="20"/>
        </w:rPr>
        <w:t>.</w:t>
      </w:r>
    </w:p>
    <w:p w14:paraId="79760AD2" w14:textId="77777777" w:rsidR="00BC3545" w:rsidRPr="006070EA" w:rsidRDefault="00BC3545" w:rsidP="00155D25">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10</w:t>
      </w:r>
      <w:r w:rsidRPr="006070EA">
        <w:rPr>
          <w:rFonts w:asciiTheme="majorHAnsi" w:hAnsiTheme="majorHAnsi" w:cstheme="majorHAnsi"/>
          <w:b/>
          <w:i/>
          <w:color w:val="auto"/>
          <w:sz w:val="22"/>
        </w:rPr>
        <w:tab/>
        <w:t>Vymezení ploch a koridorů územních rezerv a stanovení možného budoucího využití, včetně podmínek pro jeho prověření</w:t>
      </w:r>
    </w:p>
    <w:p w14:paraId="408A0A88" w14:textId="77777777" w:rsidR="00BC3545" w:rsidRPr="006070EA" w:rsidRDefault="00BC3545"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411" w:name="_Toc204678219"/>
      <w:r w:rsidRPr="006070EA">
        <w:rPr>
          <w:rFonts w:asciiTheme="majorHAnsi" w:hAnsiTheme="majorHAnsi" w:cstheme="majorHAnsi"/>
          <w:b/>
          <w:sz w:val="24"/>
          <w:szCs w:val="20"/>
        </w:rPr>
        <w:t>Odůvodnění vymezení ploch a koridorů územních rezerv</w:t>
      </w:r>
      <w:bookmarkEnd w:id="411"/>
    </w:p>
    <w:p w14:paraId="0AC2E125" w14:textId="30C07AEF" w:rsidR="00BC3545" w:rsidRPr="006070EA" w:rsidRDefault="00BC3545" w:rsidP="009E07E1">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E36BD8" w:rsidRPr="006070EA">
        <w:rPr>
          <w:rFonts w:asciiTheme="majorHAnsi" w:hAnsiTheme="majorHAnsi" w:cstheme="majorHAnsi"/>
          <w:b/>
          <w:i/>
          <w:sz w:val="18"/>
          <w:szCs w:val="20"/>
          <w:u w:val="single"/>
        </w:rPr>
        <w:t>8</w:t>
      </w:r>
      <w:r w:rsidR="00BA3BDE">
        <w:rPr>
          <w:rFonts w:asciiTheme="majorHAnsi" w:hAnsiTheme="majorHAnsi" w:cstheme="majorHAnsi"/>
          <w:b/>
          <w:i/>
          <w:sz w:val="18"/>
          <w:szCs w:val="20"/>
          <w:u w:val="single"/>
        </w:rPr>
        <w:t>7</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2F2B51EB" w14:textId="1834261E" w:rsidR="004C6939" w:rsidRPr="006070EA" w:rsidRDefault="004C6939" w:rsidP="004C6939">
      <w:pPr>
        <w:pStyle w:val="Atext"/>
        <w:rPr>
          <w:rFonts w:asciiTheme="majorHAnsi" w:hAnsiTheme="majorHAnsi" w:cstheme="majorHAnsi"/>
        </w:rPr>
      </w:pPr>
      <w:r w:rsidRPr="006070EA">
        <w:rPr>
          <w:rFonts w:asciiTheme="majorHAnsi" w:hAnsiTheme="majorHAnsi" w:cstheme="majorHAnsi"/>
        </w:rPr>
        <w:t>Ploch</w:t>
      </w:r>
      <w:r w:rsidR="00E36BD8" w:rsidRPr="006070EA">
        <w:rPr>
          <w:rFonts w:asciiTheme="majorHAnsi" w:hAnsiTheme="majorHAnsi" w:cstheme="majorHAnsi"/>
        </w:rPr>
        <w:t>a</w:t>
      </w:r>
      <w:r w:rsidRPr="006070EA">
        <w:rPr>
          <w:rFonts w:asciiTheme="majorHAnsi" w:hAnsiTheme="majorHAnsi" w:cstheme="majorHAnsi"/>
        </w:rPr>
        <w:t xml:space="preserve"> územní rezerv</w:t>
      </w:r>
      <w:r w:rsidR="00E36BD8" w:rsidRPr="006070EA">
        <w:rPr>
          <w:rFonts w:asciiTheme="majorHAnsi" w:hAnsiTheme="majorHAnsi" w:cstheme="majorHAnsi"/>
        </w:rPr>
        <w:t>y R.</w:t>
      </w:r>
      <w:r w:rsidR="00BA3BDE">
        <w:rPr>
          <w:rFonts w:asciiTheme="majorHAnsi" w:hAnsiTheme="majorHAnsi" w:cstheme="majorHAnsi"/>
        </w:rPr>
        <w:t>2</w:t>
      </w:r>
      <w:r w:rsidRPr="006070EA">
        <w:rPr>
          <w:rFonts w:asciiTheme="majorHAnsi" w:hAnsiTheme="majorHAnsi" w:cstheme="majorHAnsi"/>
        </w:rPr>
        <w:t xml:space="preserve"> </w:t>
      </w:r>
      <w:r w:rsidR="00E36BD8" w:rsidRPr="006070EA">
        <w:rPr>
          <w:rFonts w:asciiTheme="majorHAnsi" w:hAnsiTheme="majorHAnsi" w:cstheme="majorHAnsi"/>
        </w:rPr>
        <w:t xml:space="preserve">je </w:t>
      </w:r>
      <w:r w:rsidRPr="006070EA">
        <w:rPr>
          <w:rFonts w:asciiTheme="majorHAnsi" w:hAnsiTheme="majorHAnsi" w:cstheme="majorHAnsi"/>
        </w:rPr>
        <w:t>vymezen</w:t>
      </w:r>
      <w:r w:rsidR="00E36BD8" w:rsidRPr="006070EA">
        <w:rPr>
          <w:rFonts w:asciiTheme="majorHAnsi" w:hAnsiTheme="majorHAnsi" w:cstheme="majorHAnsi"/>
        </w:rPr>
        <w:t>a</w:t>
      </w:r>
      <w:r w:rsidRPr="006070EA">
        <w:rPr>
          <w:rFonts w:asciiTheme="majorHAnsi" w:hAnsiTheme="majorHAnsi" w:cstheme="majorHAnsi"/>
        </w:rPr>
        <w:t xml:space="preserve"> v souladu s § 43 odst. 1 stavebního zákona, včetně stanovení podmínek pro </w:t>
      </w:r>
      <w:r w:rsidR="00E36BD8" w:rsidRPr="006070EA">
        <w:rPr>
          <w:rFonts w:asciiTheme="majorHAnsi" w:hAnsiTheme="majorHAnsi" w:cstheme="majorHAnsi"/>
        </w:rPr>
        <w:t>prověření možného budoucího způsobu využití</w:t>
      </w:r>
      <w:r w:rsidRPr="006070EA">
        <w:rPr>
          <w:rFonts w:asciiTheme="majorHAnsi" w:hAnsiTheme="majorHAnsi" w:cstheme="majorHAnsi"/>
        </w:rPr>
        <w:t>.</w:t>
      </w:r>
    </w:p>
    <w:p w14:paraId="2BF25EE4" w14:textId="5D2FE1B8" w:rsidR="004C6939" w:rsidRPr="006070EA" w:rsidRDefault="000C479F" w:rsidP="004C6939">
      <w:pPr>
        <w:pStyle w:val="Anadpistun"/>
        <w:rPr>
          <w:rFonts w:asciiTheme="majorHAnsi" w:hAnsiTheme="majorHAnsi" w:cstheme="majorHAnsi"/>
        </w:rPr>
      </w:pPr>
      <w:r w:rsidRPr="006070EA">
        <w:rPr>
          <w:rFonts w:asciiTheme="majorHAnsi" w:hAnsiTheme="majorHAnsi" w:cstheme="majorHAnsi"/>
        </w:rPr>
        <w:t xml:space="preserve">Odůvodnění </w:t>
      </w:r>
      <w:r w:rsidR="004C6939" w:rsidRPr="006070EA">
        <w:rPr>
          <w:rFonts w:asciiTheme="majorHAnsi" w:hAnsiTheme="majorHAnsi" w:cstheme="majorHAnsi"/>
        </w:rPr>
        <w:t>vymezení ploch</w:t>
      </w:r>
      <w:r w:rsidR="00446A92" w:rsidRPr="006070EA">
        <w:rPr>
          <w:rFonts w:asciiTheme="majorHAnsi" w:hAnsiTheme="majorHAnsi" w:cstheme="majorHAnsi"/>
        </w:rPr>
        <w:t>y</w:t>
      </w:r>
      <w:r w:rsidR="004C6939" w:rsidRPr="006070EA">
        <w:rPr>
          <w:rFonts w:asciiTheme="majorHAnsi" w:hAnsiTheme="majorHAnsi" w:cstheme="majorHAnsi"/>
        </w:rPr>
        <w:t xml:space="preserve"> územní rezerv</w:t>
      </w:r>
      <w:r w:rsidR="00446A92" w:rsidRPr="006070EA">
        <w:rPr>
          <w:rFonts w:asciiTheme="majorHAnsi" w:hAnsiTheme="majorHAnsi" w:cstheme="majorHAnsi"/>
        </w:rPr>
        <w:t>y</w:t>
      </w:r>
      <w:r w:rsidR="004C6939" w:rsidRPr="006070EA">
        <w:rPr>
          <w:rFonts w:asciiTheme="majorHAnsi" w:hAnsiTheme="majorHAnsi" w:cstheme="majorHAnsi"/>
        </w:rPr>
        <w:t xml:space="preserve"> R</w:t>
      </w:r>
      <w:r w:rsidR="00E36BD8" w:rsidRPr="006070EA">
        <w:rPr>
          <w:rFonts w:asciiTheme="majorHAnsi" w:hAnsiTheme="majorHAnsi" w:cstheme="majorHAnsi"/>
        </w:rPr>
        <w:t>.</w:t>
      </w:r>
      <w:r w:rsidR="00BA3BDE">
        <w:rPr>
          <w:rFonts w:asciiTheme="majorHAnsi" w:hAnsiTheme="majorHAnsi" w:cstheme="majorHAnsi"/>
        </w:rPr>
        <w:t>2</w:t>
      </w:r>
      <w:r w:rsidR="004C6939" w:rsidRPr="006070EA">
        <w:rPr>
          <w:rFonts w:asciiTheme="majorHAnsi" w:hAnsiTheme="majorHAnsi" w:cstheme="majorHAnsi"/>
        </w:rPr>
        <w:t xml:space="preserve"> </w:t>
      </w:r>
    </w:p>
    <w:p w14:paraId="697B9681" w14:textId="35799047" w:rsidR="00446A92" w:rsidRDefault="004C6939" w:rsidP="004C6939">
      <w:pPr>
        <w:pStyle w:val="Atext"/>
        <w:rPr>
          <w:rFonts w:asciiTheme="majorHAnsi" w:hAnsiTheme="majorHAnsi" w:cstheme="majorHAnsi"/>
        </w:rPr>
      </w:pPr>
      <w:r w:rsidRPr="006070EA">
        <w:rPr>
          <w:rFonts w:asciiTheme="majorHAnsi" w:hAnsiTheme="majorHAnsi" w:cstheme="majorHAnsi"/>
        </w:rPr>
        <w:t>Územní rezerva R</w:t>
      </w:r>
      <w:r w:rsidR="00E36BD8" w:rsidRPr="006070EA">
        <w:rPr>
          <w:rFonts w:asciiTheme="majorHAnsi" w:hAnsiTheme="majorHAnsi" w:cstheme="majorHAnsi"/>
        </w:rPr>
        <w:t>.</w:t>
      </w:r>
      <w:r w:rsidR="00BA3BDE">
        <w:rPr>
          <w:rFonts w:asciiTheme="majorHAnsi" w:hAnsiTheme="majorHAnsi" w:cstheme="majorHAnsi"/>
        </w:rPr>
        <w:t>2</w:t>
      </w:r>
      <w:r w:rsidRPr="006070EA">
        <w:rPr>
          <w:rFonts w:asciiTheme="majorHAnsi" w:hAnsiTheme="majorHAnsi" w:cstheme="majorHAnsi"/>
        </w:rPr>
        <w:t xml:space="preserve"> je vymezena pro prověření možného budoucího využití území pro plochu </w:t>
      </w:r>
      <w:r w:rsidRPr="006070EA">
        <w:rPr>
          <w:rFonts w:asciiTheme="majorHAnsi" w:hAnsiTheme="majorHAnsi" w:cstheme="majorHAnsi"/>
          <w:i/>
          <w:iCs w:val="0"/>
        </w:rPr>
        <w:t xml:space="preserve">bydlení </w:t>
      </w:r>
      <w:r w:rsidR="00E36BD8" w:rsidRPr="006070EA">
        <w:rPr>
          <w:rFonts w:asciiTheme="majorHAnsi" w:hAnsiTheme="majorHAnsi" w:cstheme="majorHAnsi"/>
          <w:i/>
          <w:iCs w:val="0"/>
        </w:rPr>
        <w:t>individuálního </w:t>
      </w:r>
      <w:r w:rsidRPr="006070EA">
        <w:rPr>
          <w:rFonts w:asciiTheme="majorHAnsi" w:hAnsiTheme="majorHAnsi" w:cstheme="majorHAnsi"/>
        </w:rPr>
        <w:t xml:space="preserve">(BI). Plocha </w:t>
      </w:r>
      <w:r w:rsidR="00BA3BDE">
        <w:rPr>
          <w:rFonts w:asciiTheme="majorHAnsi" w:hAnsiTheme="majorHAnsi" w:cstheme="majorHAnsi"/>
        </w:rPr>
        <w:t xml:space="preserve">navazuje na jihozápadní část </w:t>
      </w:r>
      <w:r w:rsidRPr="006070EA">
        <w:rPr>
          <w:rFonts w:asciiTheme="majorHAnsi" w:hAnsiTheme="majorHAnsi" w:cstheme="majorHAnsi"/>
        </w:rPr>
        <w:t xml:space="preserve">urbanizovaného území sídla Kostomlaty nad Labem. Plocha je vymezena v souvislosti s identifikovanou potřebou na vymezení zastavitelných ploch (viz kapitola 10), kdy je přihlédnuto ke skutečnosti, že rozsah zastavitelných ploch pro bydlení, vymezených v návrhu ÚP Kostomlaty nad Labem </w:t>
      </w:r>
      <w:r w:rsidR="009D5A6A" w:rsidRPr="006070EA">
        <w:rPr>
          <w:rFonts w:asciiTheme="majorHAnsi" w:hAnsiTheme="majorHAnsi" w:cstheme="majorHAnsi"/>
        </w:rPr>
        <w:t>jen téměř</w:t>
      </w:r>
      <w:r w:rsidRPr="006070EA">
        <w:rPr>
          <w:rFonts w:asciiTheme="majorHAnsi" w:hAnsiTheme="majorHAnsi" w:cstheme="majorHAnsi"/>
        </w:rPr>
        <w:t xml:space="preserve"> </w:t>
      </w:r>
      <w:r w:rsidR="00446A92" w:rsidRPr="006070EA">
        <w:rPr>
          <w:rFonts w:asciiTheme="majorHAnsi" w:hAnsiTheme="majorHAnsi" w:cstheme="majorHAnsi"/>
        </w:rPr>
        <w:t>naplňuje identifikovanou potřebu a není vytvořena rozsáhlejší rezerva pro případné zvýšení poptávky po bydlení v území. Jako podmínka pro prověření možného budoucího způsobu využití této plochy územní rezervy (R</w:t>
      </w:r>
      <w:r w:rsidR="003F5D13" w:rsidRPr="006070EA">
        <w:rPr>
          <w:rFonts w:asciiTheme="majorHAnsi" w:hAnsiTheme="majorHAnsi" w:cstheme="majorHAnsi"/>
        </w:rPr>
        <w:t>.</w:t>
      </w:r>
      <w:r w:rsidR="00446A92" w:rsidRPr="006070EA">
        <w:rPr>
          <w:rFonts w:asciiTheme="majorHAnsi" w:hAnsiTheme="majorHAnsi" w:cstheme="majorHAnsi"/>
        </w:rPr>
        <w:t xml:space="preserve">1) je stanoveno prověření naplnění vymezených zastavitelných ploch pro bydlení, případně prokázání nemožnosti jejich využití, a to z důvodu, aby bylo zamezeno nadměrnému zabírání volné krajiny </w:t>
      </w:r>
      <w:r w:rsidR="009D5A6A" w:rsidRPr="006070EA">
        <w:rPr>
          <w:rFonts w:asciiTheme="majorHAnsi" w:hAnsiTheme="majorHAnsi" w:cstheme="majorHAnsi"/>
        </w:rPr>
        <w:t xml:space="preserve">a kvalitní zemědělské půdy </w:t>
      </w:r>
      <w:r w:rsidR="00446A92" w:rsidRPr="006070EA">
        <w:rPr>
          <w:rFonts w:asciiTheme="majorHAnsi" w:hAnsiTheme="majorHAnsi" w:cstheme="majorHAnsi"/>
        </w:rPr>
        <w:t xml:space="preserve">pro výstavbu, </w:t>
      </w:r>
      <w:r w:rsidR="009D5A6A" w:rsidRPr="006070EA">
        <w:rPr>
          <w:rFonts w:asciiTheme="majorHAnsi" w:hAnsiTheme="majorHAnsi" w:cstheme="majorHAnsi"/>
        </w:rPr>
        <w:t xml:space="preserve">a současně </w:t>
      </w:r>
      <w:r w:rsidR="00446A92" w:rsidRPr="006070EA">
        <w:rPr>
          <w:rFonts w:asciiTheme="majorHAnsi" w:hAnsiTheme="majorHAnsi" w:cstheme="majorHAnsi"/>
        </w:rPr>
        <w:t>nekoordinovanému a</w:t>
      </w:r>
      <w:r w:rsidR="009D5A6A" w:rsidRPr="006070EA">
        <w:rPr>
          <w:rFonts w:asciiTheme="majorHAnsi" w:hAnsiTheme="majorHAnsi" w:cstheme="majorHAnsi"/>
        </w:rPr>
        <w:t> </w:t>
      </w:r>
      <w:r w:rsidR="00446A92" w:rsidRPr="006070EA">
        <w:rPr>
          <w:rFonts w:asciiTheme="majorHAnsi" w:hAnsiTheme="majorHAnsi" w:cstheme="majorHAnsi"/>
        </w:rPr>
        <w:t>živelnému rozvoji zástavby. To jsou současně důvody, proč plocha R</w:t>
      </w:r>
      <w:r w:rsidR="003F5D13" w:rsidRPr="006070EA">
        <w:rPr>
          <w:rFonts w:asciiTheme="majorHAnsi" w:hAnsiTheme="majorHAnsi" w:cstheme="majorHAnsi"/>
        </w:rPr>
        <w:t>.</w:t>
      </w:r>
      <w:r w:rsidR="00BA3BDE">
        <w:rPr>
          <w:rFonts w:asciiTheme="majorHAnsi" w:hAnsiTheme="majorHAnsi" w:cstheme="majorHAnsi"/>
        </w:rPr>
        <w:t>2</w:t>
      </w:r>
      <w:r w:rsidR="00446A92" w:rsidRPr="006070EA">
        <w:rPr>
          <w:rFonts w:asciiTheme="majorHAnsi" w:hAnsiTheme="majorHAnsi" w:cstheme="majorHAnsi"/>
        </w:rPr>
        <w:t xml:space="preserve"> byla v návrhu ÚP Kostomlaty nad Labem vymezena jako plocha územní rezervy</w:t>
      </w:r>
      <w:r w:rsidR="000C479F" w:rsidRPr="006070EA">
        <w:rPr>
          <w:rFonts w:asciiTheme="majorHAnsi" w:hAnsiTheme="majorHAnsi" w:cstheme="majorHAnsi"/>
        </w:rPr>
        <w:t>,</w:t>
      </w:r>
      <w:r w:rsidR="00446A92" w:rsidRPr="006070EA">
        <w:rPr>
          <w:rFonts w:asciiTheme="majorHAnsi" w:hAnsiTheme="majorHAnsi" w:cstheme="majorHAnsi"/>
        </w:rPr>
        <w:t xml:space="preserve"> a</w:t>
      </w:r>
      <w:r w:rsidR="00BA3BDE">
        <w:rPr>
          <w:rFonts w:asciiTheme="majorHAnsi" w:hAnsiTheme="majorHAnsi" w:cstheme="majorHAnsi"/>
        </w:rPr>
        <w:t> </w:t>
      </w:r>
      <w:r w:rsidR="00446A92" w:rsidRPr="006070EA">
        <w:rPr>
          <w:rFonts w:asciiTheme="majorHAnsi" w:hAnsiTheme="majorHAnsi" w:cstheme="majorHAnsi"/>
        </w:rPr>
        <w:t>nikoliv jako zastavitelná plocha.</w:t>
      </w:r>
    </w:p>
    <w:p w14:paraId="1C1A24B9" w14:textId="432B2E8F" w:rsidR="00BA3BDE" w:rsidRDefault="00BA3BDE" w:rsidP="004C6939">
      <w:pPr>
        <w:pStyle w:val="Atext"/>
        <w:rPr>
          <w:rFonts w:asciiTheme="majorHAnsi" w:hAnsiTheme="majorHAnsi" w:cstheme="majorHAnsi"/>
        </w:rPr>
      </w:pPr>
      <w:r>
        <w:rPr>
          <w:rFonts w:asciiTheme="majorHAnsi" w:hAnsiTheme="majorHAnsi" w:cstheme="majorHAnsi"/>
        </w:rPr>
        <w:t>Plocha územní rezervy je převzata z platného ÚPO Kostomlaty nad Labem (2002), ve kterém byla vymezena jako výhledová, viz obr. níže.</w:t>
      </w:r>
    </w:p>
    <w:p w14:paraId="7D95B996" w14:textId="2BDCD208" w:rsidR="00BA3BDE" w:rsidRDefault="00BA3BDE" w:rsidP="00BA3BDE">
      <w:pPr>
        <w:pStyle w:val="Atext"/>
        <w:ind w:firstLine="0"/>
        <w:rPr>
          <w:rFonts w:asciiTheme="majorHAnsi" w:hAnsiTheme="majorHAnsi" w:cstheme="majorHAnsi"/>
        </w:rPr>
      </w:pPr>
      <w:r>
        <w:rPr>
          <w:rFonts w:asciiTheme="majorHAnsi" w:hAnsiTheme="majorHAnsi" w:cstheme="majorHAnsi"/>
          <w:noProof/>
        </w:rPr>
        <w:lastRenderedPageBreak/>
        <mc:AlternateContent>
          <mc:Choice Requires="wps">
            <w:drawing>
              <wp:anchor distT="0" distB="0" distL="114300" distR="114300" simplePos="0" relativeHeight="251661824" behindDoc="0" locked="0" layoutInCell="1" allowOverlap="1" wp14:anchorId="51724EA7" wp14:editId="619EA45C">
                <wp:simplePos x="0" y="0"/>
                <wp:positionH relativeFrom="column">
                  <wp:posOffset>899795</wp:posOffset>
                </wp:positionH>
                <wp:positionV relativeFrom="paragraph">
                  <wp:posOffset>1280795</wp:posOffset>
                </wp:positionV>
                <wp:extent cx="1914525" cy="1571625"/>
                <wp:effectExtent l="38100" t="19050" r="47625" b="47625"/>
                <wp:wrapNone/>
                <wp:docPr id="693098846" name="Volný tvar: obrazec 2"/>
                <wp:cNvGraphicFramePr/>
                <a:graphic xmlns:a="http://schemas.openxmlformats.org/drawingml/2006/main">
                  <a:graphicData uri="http://schemas.microsoft.com/office/word/2010/wordprocessingShape">
                    <wps:wsp>
                      <wps:cNvSpPr/>
                      <wps:spPr>
                        <a:xfrm>
                          <a:off x="0" y="0"/>
                          <a:ext cx="1914525" cy="1571625"/>
                        </a:xfrm>
                        <a:custGeom>
                          <a:avLst/>
                          <a:gdLst>
                            <a:gd name="connsiteX0" fmla="*/ 676275 w 1914525"/>
                            <a:gd name="connsiteY0" fmla="*/ 38100 h 1571625"/>
                            <a:gd name="connsiteX1" fmla="*/ 0 w 1914525"/>
                            <a:gd name="connsiteY1" fmla="*/ 847725 h 1571625"/>
                            <a:gd name="connsiteX2" fmla="*/ 1247775 w 1914525"/>
                            <a:gd name="connsiteY2" fmla="*/ 1571625 h 1571625"/>
                            <a:gd name="connsiteX3" fmla="*/ 1819275 w 1914525"/>
                            <a:gd name="connsiteY3" fmla="*/ 1314450 h 1571625"/>
                            <a:gd name="connsiteX4" fmla="*/ 1914525 w 1914525"/>
                            <a:gd name="connsiteY4" fmla="*/ 219075 h 1571625"/>
                            <a:gd name="connsiteX5" fmla="*/ 714375 w 1914525"/>
                            <a:gd name="connsiteY5" fmla="*/ 0 h 157162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1914525" h="1571625">
                              <a:moveTo>
                                <a:pt x="676275" y="38100"/>
                              </a:moveTo>
                              <a:lnTo>
                                <a:pt x="0" y="847725"/>
                              </a:lnTo>
                              <a:lnTo>
                                <a:pt x="1247775" y="1571625"/>
                              </a:lnTo>
                              <a:lnTo>
                                <a:pt x="1819275" y="1314450"/>
                              </a:lnTo>
                              <a:lnTo>
                                <a:pt x="1914525" y="219075"/>
                              </a:lnTo>
                              <a:lnTo>
                                <a:pt x="714375" y="0"/>
                              </a:lnTo>
                            </a:path>
                          </a:pathLst>
                        </a:custGeom>
                        <a:noFill/>
                        <a:ln w="38100">
                          <a:solidFill>
                            <a:schemeClr val="accent1"/>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B894188" id="Volný tvar: obrazec 2" o:spid="_x0000_s1026" style="position:absolute;margin-left:70.85pt;margin-top:100.85pt;width:150.75pt;height:123.75pt;z-index:251661824;visibility:visible;mso-wrap-style:square;mso-wrap-distance-left:9pt;mso-wrap-distance-top:0;mso-wrap-distance-right:9pt;mso-wrap-distance-bottom:0;mso-position-horizontal:absolute;mso-position-horizontal-relative:text;mso-position-vertical:absolute;mso-position-vertical-relative:text;v-text-anchor:middle" coordsize="1914525,157162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" path="m676275,38100l,847725r1247775,723900l1819275,1314450,1914525,219075,714375,e" filled="f" strokecolor="#5b9bd5 [3204]" strokeweight="3pt">
                <v:stroke joinstyle="miter"/>
                <v:path arrowok="t" o:connecttype="custom" o:connectlocs="676275,38100;0,847725;1247775,1571625;1819275,1314450;1914525,219075;714375,0" o:connectangles="0,0,0,0,0,0"/>
              </v:shape>
            </w:pict>
          </mc:Fallback>
        </mc:AlternateContent>
      </w:r>
      <w:r>
        <w:rPr>
          <w:rFonts w:asciiTheme="majorHAnsi" w:hAnsiTheme="majorHAnsi" w:cstheme="majorHAnsi"/>
          <w:noProof/>
        </w:rPr>
        <w:drawing>
          <wp:inline distT="0" distB="0" distL="0" distR="0" wp14:anchorId="060EDDEB" wp14:editId="1882B0FD">
            <wp:extent cx="5753100" cy="3848100"/>
            <wp:effectExtent l="0" t="0" r="0" b="0"/>
            <wp:docPr id="191057535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753100" cy="3848100"/>
                    </a:xfrm>
                    <a:prstGeom prst="rect">
                      <a:avLst/>
                    </a:prstGeom>
                    <a:noFill/>
                    <a:ln>
                      <a:noFill/>
                    </a:ln>
                  </pic:spPr>
                </pic:pic>
              </a:graphicData>
            </a:graphic>
          </wp:inline>
        </w:drawing>
      </w:r>
    </w:p>
    <w:p w14:paraId="4545D892" w14:textId="6200889C" w:rsidR="00BA3BDE" w:rsidRPr="00BA3BDE" w:rsidRDefault="00BA3BDE" w:rsidP="00BA3BDE">
      <w:pPr>
        <w:pStyle w:val="Atext"/>
        <w:ind w:firstLine="0"/>
        <w:rPr>
          <w:rFonts w:asciiTheme="majorHAnsi" w:hAnsiTheme="majorHAnsi" w:cstheme="majorHAnsi"/>
          <w:i/>
          <w:iCs w:val="0"/>
        </w:rPr>
      </w:pPr>
      <w:r w:rsidRPr="00BA3BDE">
        <w:rPr>
          <w:rFonts w:asciiTheme="majorHAnsi" w:hAnsiTheme="majorHAnsi" w:cstheme="majorHAnsi"/>
          <w:i/>
          <w:iCs w:val="0"/>
        </w:rPr>
        <w:t>Výřez hlavního výkresu ÚPO Kostomlaty nad Labem se zvýrazněním převzaté územní rezervy</w:t>
      </w:r>
      <w:r>
        <w:rPr>
          <w:rFonts w:asciiTheme="majorHAnsi" w:hAnsiTheme="majorHAnsi" w:cstheme="majorHAnsi"/>
          <w:i/>
          <w:iCs w:val="0"/>
        </w:rPr>
        <w:t xml:space="preserve"> (modrý polygon)</w:t>
      </w:r>
    </w:p>
    <w:p w14:paraId="18B78782" w14:textId="780BDE23" w:rsidR="004C6939" w:rsidRPr="006070EA" w:rsidRDefault="004C6939" w:rsidP="004C6939">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BA3BDE">
        <w:rPr>
          <w:rFonts w:asciiTheme="majorHAnsi" w:hAnsiTheme="majorHAnsi" w:cstheme="majorHAnsi"/>
          <w:b/>
          <w:i/>
          <w:sz w:val="18"/>
          <w:szCs w:val="20"/>
          <w:u w:val="single"/>
        </w:rPr>
        <w:t>88</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53D6488A" w14:textId="77777777" w:rsidR="004C6939" w:rsidRPr="006070EA" w:rsidRDefault="004C6939" w:rsidP="004C6939">
      <w:pPr>
        <w:pStyle w:val="Atext"/>
        <w:rPr>
          <w:rFonts w:asciiTheme="majorHAnsi" w:hAnsiTheme="majorHAnsi" w:cstheme="majorHAnsi"/>
        </w:rPr>
      </w:pPr>
      <w:r w:rsidRPr="006070EA">
        <w:rPr>
          <w:rFonts w:asciiTheme="majorHAnsi" w:hAnsiTheme="majorHAnsi" w:cstheme="majorHAnsi"/>
        </w:rPr>
        <w:t>Požadavek vychází z ustanovení § 36 odst. 1 stavebního zákona, které se týká územních rezerv v zásadách územního rozvoje a je ekvivalentně uplatněn na úrovni územního plánu. Zákaz změn v území, které by mohly stanovené využití podstatně ztížit nebo znemožnit, explicitně vyplývá z tohoto ustanovení.</w:t>
      </w:r>
    </w:p>
    <w:p w14:paraId="5EA9A674" w14:textId="432C94D8" w:rsidR="004C6939" w:rsidRPr="006070EA" w:rsidRDefault="004C6939" w:rsidP="004C6939">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7F4A1A">
        <w:rPr>
          <w:rFonts w:asciiTheme="majorHAnsi" w:hAnsiTheme="majorHAnsi" w:cstheme="majorHAnsi"/>
          <w:b/>
          <w:i/>
          <w:sz w:val="18"/>
          <w:szCs w:val="20"/>
          <w:u w:val="single"/>
        </w:rPr>
        <w:t>89</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22C65EB0" w14:textId="2DAD801D" w:rsidR="004C6939" w:rsidRPr="006070EA" w:rsidRDefault="004C6939" w:rsidP="004C6939">
      <w:pPr>
        <w:spacing w:line="240" w:lineRule="auto"/>
        <w:ind w:firstLine="705"/>
        <w:jc w:val="both"/>
        <w:rPr>
          <w:rFonts w:asciiTheme="majorHAnsi" w:hAnsiTheme="majorHAnsi" w:cstheme="majorHAnsi"/>
          <w:sz w:val="18"/>
          <w:szCs w:val="20"/>
        </w:rPr>
      </w:pPr>
      <w:r w:rsidRPr="006070EA">
        <w:rPr>
          <w:rFonts w:asciiTheme="majorHAnsi" w:hAnsiTheme="majorHAnsi" w:cstheme="majorHAnsi"/>
          <w:sz w:val="18"/>
          <w:szCs w:val="20"/>
        </w:rPr>
        <w:t xml:space="preserve">Výrok je uveden pro účely zdůraznění informace o využitelnosti pozemků dotčených vymezením územní rezervy </w:t>
      </w:r>
      <w:r w:rsidR="009D5A6A" w:rsidRPr="006070EA">
        <w:rPr>
          <w:rFonts w:asciiTheme="majorHAnsi" w:hAnsiTheme="majorHAnsi" w:cstheme="majorHAnsi"/>
          <w:sz w:val="18"/>
          <w:szCs w:val="20"/>
        </w:rPr>
        <w:t>–</w:t>
      </w:r>
      <w:r w:rsidRPr="006070EA">
        <w:rPr>
          <w:rFonts w:asciiTheme="majorHAnsi" w:hAnsiTheme="majorHAnsi" w:cstheme="majorHAnsi"/>
          <w:sz w:val="18"/>
          <w:szCs w:val="20"/>
        </w:rPr>
        <w:t xml:space="preserve"> pro využití plochy územní rezervy v souladu se stanoveným možným budoucím využitím je nezbytné vymezit zastavitelnou plochu a projednat v rámci pořízení změny územního plánu. Věcně toto ustanovení přímo vychází ze stavebního zákona.</w:t>
      </w:r>
    </w:p>
    <w:p w14:paraId="597A48A7" w14:textId="77777777" w:rsidR="00BC3545" w:rsidRPr="006070EA" w:rsidRDefault="00BC3545" w:rsidP="00155D25">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11</w:t>
      </w:r>
      <w:r w:rsidRPr="006070EA">
        <w:rPr>
          <w:rFonts w:asciiTheme="majorHAnsi" w:hAnsiTheme="majorHAnsi" w:cstheme="majorHAnsi"/>
          <w:b/>
          <w:i/>
          <w:color w:val="auto"/>
          <w:sz w:val="22"/>
        </w:rPr>
        <w:tab/>
        <w:t>Vymezení ploch, ve kterých je rozhodování o změnách v území podmíněno dohodou o</w:t>
      </w:r>
      <w:r w:rsidR="00155D25" w:rsidRPr="006070EA">
        <w:rPr>
          <w:rFonts w:asciiTheme="majorHAnsi" w:hAnsiTheme="majorHAnsi" w:cstheme="majorHAnsi"/>
          <w:b/>
          <w:i/>
          <w:color w:val="auto"/>
          <w:sz w:val="22"/>
        </w:rPr>
        <w:t> </w:t>
      </w:r>
      <w:r w:rsidRPr="006070EA">
        <w:rPr>
          <w:rFonts w:asciiTheme="majorHAnsi" w:hAnsiTheme="majorHAnsi" w:cstheme="majorHAnsi"/>
          <w:b/>
          <w:i/>
          <w:color w:val="auto"/>
          <w:sz w:val="22"/>
        </w:rPr>
        <w:t>parcelaci</w:t>
      </w:r>
    </w:p>
    <w:p w14:paraId="43421073" w14:textId="77777777" w:rsidR="00BC3545" w:rsidRPr="006070EA" w:rsidRDefault="00BC3545"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412" w:name="_Toc204678220"/>
      <w:r w:rsidRPr="006070EA">
        <w:rPr>
          <w:rFonts w:asciiTheme="majorHAnsi" w:hAnsiTheme="majorHAnsi" w:cstheme="majorHAnsi"/>
          <w:b/>
          <w:sz w:val="24"/>
          <w:szCs w:val="20"/>
        </w:rPr>
        <w:t>Odůvodnění vymezení ploch a koridorů, ve kterých je rozhodování o změnách v území podmíněno dohodou o parcelaci</w:t>
      </w:r>
      <w:bookmarkEnd w:id="412"/>
    </w:p>
    <w:p w14:paraId="587DE730" w14:textId="4E6EE755" w:rsidR="00BC3545" w:rsidRPr="006070EA" w:rsidRDefault="00BC3545" w:rsidP="008F4E67">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7F4A1A">
        <w:rPr>
          <w:rFonts w:asciiTheme="majorHAnsi" w:hAnsiTheme="majorHAnsi" w:cstheme="majorHAnsi"/>
          <w:b/>
          <w:i/>
          <w:sz w:val="18"/>
          <w:szCs w:val="20"/>
          <w:u w:val="single"/>
        </w:rPr>
        <w:t>90</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711B0D5A" w14:textId="7281E8AB" w:rsidR="00BC3545" w:rsidRPr="006070EA" w:rsidRDefault="00FF5A85" w:rsidP="006823A0">
      <w:pPr>
        <w:spacing w:line="240" w:lineRule="auto"/>
        <w:ind w:firstLine="705"/>
        <w:jc w:val="both"/>
        <w:rPr>
          <w:rFonts w:asciiTheme="majorHAnsi" w:hAnsiTheme="majorHAnsi" w:cstheme="majorHAnsi"/>
          <w:sz w:val="18"/>
          <w:szCs w:val="20"/>
        </w:rPr>
      </w:pPr>
      <w:r w:rsidRPr="006070EA">
        <w:rPr>
          <w:rFonts w:asciiTheme="majorHAnsi" w:hAnsiTheme="majorHAnsi" w:cstheme="majorHAnsi"/>
          <w:sz w:val="18"/>
          <w:szCs w:val="20"/>
        </w:rPr>
        <w:t xml:space="preserve">V rámci procesu pořizování ÚP </w:t>
      </w:r>
      <w:r w:rsidR="009D5A6A" w:rsidRPr="006070EA">
        <w:rPr>
          <w:rFonts w:asciiTheme="majorHAnsi" w:hAnsiTheme="majorHAnsi" w:cstheme="majorHAnsi"/>
          <w:sz w:val="18"/>
          <w:szCs w:val="20"/>
        </w:rPr>
        <w:t>Kostomlaty nad Labem</w:t>
      </w:r>
      <w:r w:rsidRPr="006070EA">
        <w:rPr>
          <w:rFonts w:asciiTheme="majorHAnsi" w:hAnsiTheme="majorHAnsi" w:cstheme="majorHAnsi"/>
          <w:sz w:val="18"/>
          <w:szCs w:val="20"/>
        </w:rPr>
        <w:t xml:space="preserve"> nevyplynuly žádné požadavky ani potřebnost </w:t>
      </w:r>
      <w:r w:rsidR="00BC3545" w:rsidRPr="006070EA">
        <w:rPr>
          <w:rFonts w:asciiTheme="majorHAnsi" w:hAnsiTheme="majorHAnsi" w:cstheme="majorHAnsi"/>
          <w:sz w:val="18"/>
          <w:szCs w:val="20"/>
        </w:rPr>
        <w:t>na podmíněnost rozhodování o změnách v území dohodou o parcelaci.</w:t>
      </w:r>
    </w:p>
    <w:p w14:paraId="35DC2BA2" w14:textId="77777777" w:rsidR="00BC3545" w:rsidRPr="006070EA" w:rsidRDefault="00BC3545" w:rsidP="00155D25">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12</w:t>
      </w:r>
      <w:r w:rsidRPr="006070EA">
        <w:rPr>
          <w:rFonts w:asciiTheme="majorHAnsi" w:hAnsiTheme="majorHAnsi" w:cstheme="majorHAnsi"/>
          <w:b/>
          <w:i/>
          <w:color w:val="auto"/>
          <w:sz w:val="22"/>
        </w:rPr>
        <w:tab/>
        <w:t>Vymezení ploch a koridorů, ve kterých je rozhodování o změnách v území podmíněno zpracováním územní studie, stanovení podmínek pro její pořízení a přiměřené lhůty pro vložení dat o této studii do evidence územně plánovací činnosti</w:t>
      </w:r>
    </w:p>
    <w:p w14:paraId="5A82BC18" w14:textId="77777777" w:rsidR="00BC3545" w:rsidRPr="006070EA" w:rsidRDefault="00BC3545"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413" w:name="_Toc204678221"/>
      <w:r w:rsidRPr="006070EA">
        <w:rPr>
          <w:rFonts w:asciiTheme="majorHAnsi" w:hAnsiTheme="majorHAnsi" w:cstheme="majorHAnsi"/>
          <w:b/>
          <w:sz w:val="24"/>
          <w:szCs w:val="20"/>
        </w:rPr>
        <w:t>Odůvodnění vymezení ploch a koridorů, ve kterých je rozhodování o změnách v území podmíněno zpracováním územní studie</w:t>
      </w:r>
      <w:bookmarkEnd w:id="413"/>
    </w:p>
    <w:p w14:paraId="52C173DB" w14:textId="4D94547A" w:rsidR="009D5A6A" w:rsidRPr="006070EA" w:rsidRDefault="009D5A6A" w:rsidP="009D5A6A">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7F4A1A">
        <w:rPr>
          <w:rFonts w:asciiTheme="majorHAnsi" w:hAnsiTheme="majorHAnsi" w:cstheme="majorHAnsi"/>
          <w:b/>
          <w:i/>
          <w:sz w:val="18"/>
          <w:szCs w:val="20"/>
          <w:u w:val="single"/>
        </w:rPr>
        <w:t>91</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62867E16" w14:textId="77777777" w:rsidR="009D5A6A" w:rsidRPr="006070EA" w:rsidRDefault="009D5A6A" w:rsidP="009D5A6A">
      <w:pPr>
        <w:spacing w:line="240" w:lineRule="auto"/>
        <w:ind w:firstLine="567"/>
        <w:jc w:val="both"/>
        <w:rPr>
          <w:rFonts w:asciiTheme="majorHAnsi" w:hAnsiTheme="majorHAnsi" w:cstheme="majorHAnsi"/>
          <w:sz w:val="18"/>
          <w:szCs w:val="20"/>
        </w:rPr>
      </w:pPr>
      <w:r w:rsidRPr="006070EA">
        <w:rPr>
          <w:rFonts w:asciiTheme="majorHAnsi" w:hAnsiTheme="majorHAnsi" w:cstheme="majorHAnsi"/>
          <w:sz w:val="18"/>
          <w:szCs w:val="20"/>
        </w:rPr>
        <w:t xml:space="preserve">V souladu s § 43 odst. 2 stavebního zákona ÚP vymezuje plochy, v nichž je rozhodování o změnách v území podmíněno zpracováním územní studie, a to zejména z důvodů vymezení dostatečných ploch veřejných prostranství a optimálního využití ploch s cílem efektivně využívat veřejnou infrastrukturu a minimalizovat náklady města na zajištění souvisejících služeb. Dalším důvodem je pak detailní řešení, které s ohledem na měřítko územního plánu nelze předurčit ani vymezit. </w:t>
      </w:r>
    </w:p>
    <w:p w14:paraId="5C9FF08D" w14:textId="77777777" w:rsidR="009D5A6A" w:rsidRPr="006070EA" w:rsidRDefault="009D5A6A" w:rsidP="009D5A6A">
      <w:pPr>
        <w:spacing w:line="240" w:lineRule="auto"/>
        <w:ind w:firstLine="567"/>
        <w:jc w:val="both"/>
        <w:rPr>
          <w:rFonts w:asciiTheme="majorHAnsi" w:hAnsiTheme="majorHAnsi" w:cstheme="majorHAnsi"/>
          <w:sz w:val="18"/>
          <w:szCs w:val="20"/>
        </w:rPr>
      </w:pPr>
      <w:r w:rsidRPr="006070EA">
        <w:rPr>
          <w:rFonts w:asciiTheme="majorHAnsi" w:hAnsiTheme="majorHAnsi" w:cstheme="majorHAnsi"/>
          <w:sz w:val="18"/>
          <w:szCs w:val="20"/>
        </w:rPr>
        <w:lastRenderedPageBreak/>
        <w:t>Odůvodnění jednotlivých ploch se stanovenou podmínkou zpracování územní studie je uvedeno v následující tabulce:</w:t>
      </w:r>
    </w:p>
    <w:tbl>
      <w:tblPr>
        <w:tblStyle w:val="Mkatabulky"/>
        <w:tblW w:w="9355"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51"/>
        <w:gridCol w:w="8504"/>
      </w:tblGrid>
      <w:tr w:rsidR="00130012" w:rsidRPr="006070EA" w14:paraId="41E1FB89" w14:textId="77777777" w:rsidTr="00E8127B">
        <w:trPr>
          <w:cantSplit/>
          <w:trHeight w:val="227"/>
          <w:tblHeader/>
          <w:jc w:val="center"/>
        </w:trPr>
        <w:tc>
          <w:tcPr>
            <w:tcW w:w="851" w:type="dxa"/>
            <w:tcBorders>
              <w:top w:val="nil"/>
              <w:bottom w:val="single" w:sz="12" w:space="0" w:color="auto"/>
              <w:right w:val="single" w:sz="12" w:space="0" w:color="auto"/>
            </w:tcBorders>
            <w:vAlign w:val="center"/>
          </w:tcPr>
          <w:p w14:paraId="7EDC33E6" w14:textId="77777777" w:rsidR="009D5A6A" w:rsidRPr="006070EA" w:rsidRDefault="009D5A6A" w:rsidP="00E8127B">
            <w:pPr>
              <w:keepNext/>
              <w:spacing w:before="40" w:after="40"/>
              <w:jc w:val="center"/>
              <w:rPr>
                <w:rFonts w:asciiTheme="majorHAnsi" w:hAnsiTheme="majorHAnsi" w:cstheme="majorHAnsi"/>
                <w:b/>
                <w:sz w:val="18"/>
                <w:szCs w:val="18"/>
              </w:rPr>
            </w:pPr>
            <w:r w:rsidRPr="006070EA">
              <w:rPr>
                <w:rFonts w:asciiTheme="majorHAnsi" w:hAnsiTheme="majorHAnsi" w:cstheme="majorHAnsi"/>
                <w:b/>
                <w:sz w:val="18"/>
                <w:szCs w:val="18"/>
              </w:rPr>
              <w:t>ozn.</w:t>
            </w:r>
          </w:p>
        </w:tc>
        <w:tc>
          <w:tcPr>
            <w:tcW w:w="8504" w:type="dxa"/>
            <w:tcBorders>
              <w:top w:val="nil"/>
              <w:left w:val="single" w:sz="12" w:space="0" w:color="auto"/>
              <w:bottom w:val="single" w:sz="12" w:space="0" w:color="auto"/>
            </w:tcBorders>
            <w:vAlign w:val="center"/>
          </w:tcPr>
          <w:p w14:paraId="60C00739" w14:textId="77777777" w:rsidR="009D5A6A" w:rsidRPr="006070EA" w:rsidRDefault="009D5A6A" w:rsidP="00E8127B">
            <w:pPr>
              <w:keepNext/>
              <w:spacing w:before="40" w:after="40"/>
              <w:jc w:val="center"/>
              <w:rPr>
                <w:rFonts w:asciiTheme="majorHAnsi" w:hAnsiTheme="majorHAnsi" w:cstheme="majorHAnsi"/>
                <w:b/>
                <w:sz w:val="18"/>
                <w:szCs w:val="18"/>
              </w:rPr>
            </w:pPr>
            <w:r w:rsidRPr="006070EA">
              <w:rPr>
                <w:rFonts w:asciiTheme="majorHAnsi" w:hAnsiTheme="majorHAnsi" w:cstheme="majorHAnsi"/>
                <w:b/>
                <w:sz w:val="18"/>
                <w:szCs w:val="18"/>
              </w:rPr>
              <w:t>důvody pro stanovení podmínky zpracování územní studie, poznámky</w:t>
            </w:r>
          </w:p>
        </w:tc>
      </w:tr>
      <w:tr w:rsidR="00130012" w:rsidRPr="006070EA" w14:paraId="1E3945A2" w14:textId="77777777" w:rsidTr="00E8127B">
        <w:trPr>
          <w:cantSplit/>
          <w:trHeight w:val="391"/>
          <w:jc w:val="center"/>
        </w:trPr>
        <w:tc>
          <w:tcPr>
            <w:tcW w:w="851" w:type="dxa"/>
            <w:tcBorders>
              <w:top w:val="single" w:sz="12" w:space="0" w:color="auto"/>
            </w:tcBorders>
            <w:vAlign w:val="center"/>
          </w:tcPr>
          <w:p w14:paraId="157B8AD8" w14:textId="36F8E801" w:rsidR="009D5A6A" w:rsidRPr="006070EA" w:rsidRDefault="003F5D13" w:rsidP="00E8127B">
            <w:pPr>
              <w:jc w:val="center"/>
              <w:rPr>
                <w:rFonts w:asciiTheme="majorHAnsi" w:hAnsiTheme="majorHAnsi" w:cstheme="majorHAnsi"/>
                <w:sz w:val="18"/>
                <w:szCs w:val="18"/>
              </w:rPr>
            </w:pPr>
            <w:r w:rsidRPr="006070EA">
              <w:rPr>
                <w:rFonts w:asciiTheme="majorHAnsi" w:hAnsiTheme="majorHAnsi" w:cstheme="majorHAnsi"/>
                <w:sz w:val="18"/>
                <w:szCs w:val="18"/>
              </w:rPr>
              <w:t>US.</w:t>
            </w:r>
            <w:r w:rsidR="00AF0592" w:rsidRPr="006070EA">
              <w:rPr>
                <w:rFonts w:asciiTheme="majorHAnsi" w:hAnsiTheme="majorHAnsi" w:cstheme="majorHAnsi"/>
                <w:sz w:val="18"/>
                <w:szCs w:val="18"/>
              </w:rPr>
              <w:t>1</w:t>
            </w:r>
          </w:p>
        </w:tc>
        <w:tc>
          <w:tcPr>
            <w:tcW w:w="8504" w:type="dxa"/>
            <w:tcBorders>
              <w:top w:val="single" w:sz="12" w:space="0" w:color="auto"/>
            </w:tcBorders>
            <w:vAlign w:val="center"/>
          </w:tcPr>
          <w:p w14:paraId="3F8A2C4D" w14:textId="77777777" w:rsidR="009D5A6A" w:rsidRPr="006070EA" w:rsidRDefault="009D5A6A" w:rsidP="009D5A6A">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nutnost koncepčního řešení lokality tak, aby bylo celé území efektivně využito a aby bylo zajištěno dopravní napojení pozemků na kapacitně vyhovující veřejně přístupné komunikace </w:t>
            </w:r>
          </w:p>
          <w:p w14:paraId="32D269C7" w14:textId="77777777" w:rsidR="009D5A6A" w:rsidRPr="006070EA" w:rsidRDefault="009D5A6A" w:rsidP="009D5A6A">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s ohledem na rozsah lokality a vazbu na existující zástavbu sídla je nezbytné vymezit ucelený systém zajišťující dopravní obsluhu celého území a prověřit kapacity sítí technické infrastruktury</w:t>
            </w:r>
          </w:p>
          <w:p w14:paraId="4D30CF09" w14:textId="37BB4F7B" w:rsidR="009D5A6A" w:rsidRPr="006070EA" w:rsidRDefault="009D5A6A" w:rsidP="009D5A6A">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prověření uspořádání nových stavebních pozemků, neboť v případě nekoordinovaného rozvoje zástavby a nevyřešené dopravní obsluhy území by mohlo dojít k zablokování části plochy a tím znemožnění jejího efektivního využití</w:t>
            </w:r>
          </w:p>
          <w:p w14:paraId="16195AC9" w14:textId="77777777" w:rsidR="00130012" w:rsidRPr="006070EA" w:rsidRDefault="0013001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vymezení veřejných prostranství v ploše ve vazbě na § 7 odst. 2 vyhlášky 501/2006 Sb., které nelze předurčit s ohledem na míru detailu a neznalost vlastnických vztahů v území</w:t>
            </w:r>
          </w:p>
          <w:p w14:paraId="39524E61" w14:textId="16046568" w:rsidR="00AF0592" w:rsidRPr="006070EA" w:rsidRDefault="00AF0592" w:rsidP="00AF059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prověření aplikace principů modrozelené infrastruktury</w:t>
            </w:r>
          </w:p>
          <w:p w14:paraId="79696AA9" w14:textId="77777777" w:rsidR="00130012" w:rsidRPr="006070EA" w:rsidRDefault="00AF059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komplikovaná urbanistická kompozice zastavitelné plochy</w:t>
            </w:r>
          </w:p>
          <w:p w14:paraId="64835AA5" w14:textId="3E666625" w:rsidR="00AF0592" w:rsidRPr="006070EA" w:rsidRDefault="00AF059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nutnost upřesnění směru zajištění veřejné prostupnosti území veřejným prostranstvím </w:t>
            </w:r>
          </w:p>
        </w:tc>
      </w:tr>
      <w:tr w:rsidR="00130012" w:rsidRPr="006070EA" w14:paraId="2F68AC40" w14:textId="77777777" w:rsidTr="00E8127B">
        <w:trPr>
          <w:cantSplit/>
          <w:trHeight w:val="392"/>
          <w:jc w:val="center"/>
        </w:trPr>
        <w:tc>
          <w:tcPr>
            <w:tcW w:w="851" w:type="dxa"/>
            <w:vAlign w:val="center"/>
          </w:tcPr>
          <w:p w14:paraId="16311B97" w14:textId="1B3AAC49" w:rsidR="00130012" w:rsidRPr="006070EA" w:rsidRDefault="003F5D13" w:rsidP="00130012">
            <w:pPr>
              <w:jc w:val="center"/>
              <w:rPr>
                <w:rFonts w:asciiTheme="majorHAnsi" w:hAnsiTheme="majorHAnsi" w:cstheme="majorHAnsi"/>
                <w:sz w:val="18"/>
                <w:szCs w:val="18"/>
              </w:rPr>
            </w:pPr>
            <w:r w:rsidRPr="006070EA">
              <w:rPr>
                <w:rFonts w:asciiTheme="majorHAnsi" w:hAnsiTheme="majorHAnsi" w:cstheme="majorHAnsi"/>
                <w:sz w:val="18"/>
                <w:szCs w:val="18"/>
              </w:rPr>
              <w:t>US.</w:t>
            </w:r>
            <w:r w:rsidR="00130012" w:rsidRPr="006070EA">
              <w:rPr>
                <w:rFonts w:asciiTheme="majorHAnsi" w:hAnsiTheme="majorHAnsi" w:cstheme="majorHAnsi"/>
                <w:sz w:val="18"/>
                <w:szCs w:val="18"/>
              </w:rPr>
              <w:t>2</w:t>
            </w:r>
          </w:p>
        </w:tc>
        <w:tc>
          <w:tcPr>
            <w:tcW w:w="8504" w:type="dxa"/>
            <w:vAlign w:val="center"/>
          </w:tcPr>
          <w:p w14:paraId="73EC1D0F" w14:textId="77777777" w:rsidR="00130012" w:rsidRPr="006070EA" w:rsidRDefault="0013001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nutnost koncepčního řešení lokality tak, aby bylo celé území efektivně využito a aby bylo zajištěno dopravní napojení pozemků na kapacitně vyhovující veřejně přístupné komunikace </w:t>
            </w:r>
          </w:p>
          <w:p w14:paraId="4423BE64" w14:textId="77777777" w:rsidR="00130012" w:rsidRPr="006070EA" w:rsidRDefault="0013001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s ohledem na rozsah lokality a vazbu na existující zástavbu sídla je nezbytné vymezit ucelený systém zajišťující dopravní obsluhu celého území a prověřit kapacity sítí technické infrastruktury</w:t>
            </w:r>
          </w:p>
          <w:p w14:paraId="2A4BC923" w14:textId="77777777" w:rsidR="00130012" w:rsidRPr="006070EA" w:rsidRDefault="0013001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prověření uspořádání nových stavebních pozemků, neboť v případě nekoordinovaného rozvoje zástavby a nevyřešené dopravní obsluhy území by mohlo dojít k zablokování části plochy a tím znemožnění jejího efektivního využití</w:t>
            </w:r>
          </w:p>
          <w:p w14:paraId="38701024" w14:textId="77777777" w:rsidR="00130012" w:rsidRPr="006070EA" w:rsidRDefault="0013001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vymezení veřejných prostranství v ploše ve vazbě na § 7 odst. 2 vyhlášky 501/2006 Sb., které nelze předurčit s ohledem na míru detailu a neznalost vlastnických vztahů v území</w:t>
            </w:r>
          </w:p>
          <w:p w14:paraId="3E281968" w14:textId="2905F413" w:rsidR="00130012" w:rsidRPr="006070EA" w:rsidRDefault="0013001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nutnost prověření případného umisťování staveb v závislosti na limitech využití území </w:t>
            </w:r>
          </w:p>
          <w:p w14:paraId="23638CF0" w14:textId="77777777" w:rsidR="00130012" w:rsidRPr="006070EA" w:rsidRDefault="0013001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prověření vlivu na krajinný ráz s ohledem na umístění lokality v exponované poloze, prověření působení hmot v dálkových pohledech</w:t>
            </w:r>
          </w:p>
          <w:p w14:paraId="3D22AB14" w14:textId="77777777" w:rsidR="00130012" w:rsidRPr="006070EA" w:rsidRDefault="00130012"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prověření aplikace principů modrozelené infrastruktury</w:t>
            </w:r>
          </w:p>
          <w:p w14:paraId="79577533" w14:textId="316E46F1" w:rsidR="00130012" w:rsidRPr="006070EA" w:rsidRDefault="000D4573" w:rsidP="00130012">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potřeba ochrany specifické urbanistické struktury sídla Lány</w:t>
            </w:r>
          </w:p>
          <w:p w14:paraId="0CC9A918" w14:textId="7426677F" w:rsidR="00AC1EE3" w:rsidRPr="006070EA" w:rsidRDefault="000D4573" w:rsidP="00AC1EE3">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nutnost </w:t>
            </w:r>
            <w:r w:rsidR="00AC1EE3" w:rsidRPr="006070EA">
              <w:rPr>
                <w:rFonts w:asciiTheme="majorHAnsi" w:hAnsiTheme="majorHAnsi" w:cstheme="majorHAnsi"/>
                <w:snapToGrid w:val="0"/>
                <w:sz w:val="18"/>
                <w:szCs w:val="18"/>
              </w:rPr>
              <w:t xml:space="preserve">vymezení </w:t>
            </w:r>
            <w:r w:rsidRPr="006070EA">
              <w:rPr>
                <w:rFonts w:asciiTheme="majorHAnsi" w:hAnsiTheme="majorHAnsi" w:cstheme="majorHAnsi"/>
                <w:snapToGrid w:val="0"/>
                <w:sz w:val="18"/>
                <w:szCs w:val="18"/>
              </w:rPr>
              <w:t xml:space="preserve">konkrétních </w:t>
            </w:r>
            <w:r w:rsidR="00AC1EE3" w:rsidRPr="006070EA">
              <w:rPr>
                <w:rFonts w:asciiTheme="majorHAnsi" w:hAnsiTheme="majorHAnsi" w:cstheme="majorHAnsi"/>
                <w:snapToGrid w:val="0"/>
                <w:sz w:val="18"/>
                <w:szCs w:val="18"/>
              </w:rPr>
              <w:t xml:space="preserve">přístupů </w:t>
            </w:r>
            <w:r w:rsidRPr="006070EA">
              <w:rPr>
                <w:rFonts w:asciiTheme="majorHAnsi" w:hAnsiTheme="majorHAnsi" w:cstheme="majorHAnsi"/>
                <w:snapToGrid w:val="0"/>
                <w:sz w:val="18"/>
                <w:szCs w:val="18"/>
              </w:rPr>
              <w:t xml:space="preserve">na zemědělské pozemky v lánové struktuře v západní části sídla, napojené na </w:t>
            </w:r>
            <w:r w:rsidR="00AC1EE3" w:rsidRPr="006070EA">
              <w:rPr>
                <w:rFonts w:asciiTheme="majorHAnsi" w:hAnsiTheme="majorHAnsi" w:cstheme="majorHAnsi"/>
                <w:snapToGrid w:val="0"/>
                <w:sz w:val="18"/>
                <w:szCs w:val="18"/>
              </w:rPr>
              <w:t>silnici III. třídy III/3317, zajistit podmínky pro setrvalé obhospodařování zemědělské půdy a pro zamezení jejího zablokování rezidenční zástavbou</w:t>
            </w:r>
          </w:p>
        </w:tc>
      </w:tr>
    </w:tbl>
    <w:p w14:paraId="46402B9D" w14:textId="4AF929BC" w:rsidR="009D5A6A" w:rsidRPr="006070EA" w:rsidRDefault="009D5A6A" w:rsidP="009D5A6A">
      <w:pPr>
        <w:keepNext/>
        <w:spacing w:before="120"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3F5D13" w:rsidRPr="006070EA">
        <w:rPr>
          <w:rFonts w:asciiTheme="majorHAnsi" w:hAnsiTheme="majorHAnsi" w:cstheme="majorHAnsi"/>
          <w:b/>
          <w:i/>
          <w:sz w:val="18"/>
          <w:szCs w:val="20"/>
          <w:u w:val="single"/>
        </w:rPr>
        <w:t>9</w:t>
      </w:r>
      <w:r w:rsidR="007F4A1A">
        <w:rPr>
          <w:rFonts w:asciiTheme="majorHAnsi" w:hAnsiTheme="majorHAnsi" w:cstheme="majorHAnsi"/>
          <w:b/>
          <w:i/>
          <w:sz w:val="18"/>
          <w:szCs w:val="20"/>
          <w:u w:val="single"/>
        </w:rPr>
        <w:t>2</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2B075F1E" w14:textId="4E79BDB0" w:rsidR="00AF0592" w:rsidRPr="006070EA" w:rsidRDefault="00AF0592" w:rsidP="00AF0592">
      <w:pPr>
        <w:pStyle w:val="Atext"/>
        <w:rPr>
          <w:rFonts w:asciiTheme="majorHAnsi" w:hAnsiTheme="majorHAnsi" w:cstheme="majorHAnsi"/>
        </w:rPr>
      </w:pPr>
      <w:r w:rsidRPr="006070EA">
        <w:rPr>
          <w:rFonts w:asciiTheme="majorHAnsi" w:hAnsiTheme="majorHAnsi" w:cstheme="majorHAnsi"/>
        </w:rPr>
        <w:t>Lhůta pro vložení dat o územních studiích do evidence územně plánovací činnosti je stanovena s ohledem na časovou náročnost pořízení územních studií, které je nezbytné zpracovat jako podklad pro rozhodování v území, a dále s ohledem na povinnost pořizovatele vypracovat zprávu o uplatňování ÚP Kostomlaty nad Labem v uplynulém období po 4 letech od vydání územního plánu dle § 55 odst. 1 stavebního zákona. V této zprávě lze vyhodnotit dosavadní zpracování územních studií a</w:t>
      </w:r>
      <w:r w:rsidR="003F5D13" w:rsidRPr="006070EA">
        <w:rPr>
          <w:rFonts w:asciiTheme="majorHAnsi" w:hAnsiTheme="majorHAnsi" w:cstheme="majorHAnsi"/>
        </w:rPr>
        <w:t> </w:t>
      </w:r>
      <w:r w:rsidRPr="006070EA">
        <w:rPr>
          <w:rFonts w:asciiTheme="majorHAnsi" w:hAnsiTheme="majorHAnsi" w:cstheme="majorHAnsi"/>
        </w:rPr>
        <w:t>případně uvést v pokynech pro zpracování návrhu změny územního plánu požadavek na prodloužení lhůt pro pořízení dosud nezpracovaných územních studií. Vzhledem k obvyklé časové náročnosti 2 roky na pořízení a vydání změny územního plánu je lhůta stanovena tak, aby bylo možné na základě zprávy o uplatňování ÚP Kostomlaty nad Labem zpracovat změnu ÚP prodlužující lhůty pro zpracování územních studií, aniž by mezitím tato podmínka zanikla.</w:t>
      </w:r>
      <w:r w:rsidR="007F4A1A">
        <w:rPr>
          <w:rFonts w:asciiTheme="majorHAnsi" w:hAnsiTheme="majorHAnsi" w:cstheme="majorHAnsi"/>
        </w:rPr>
        <w:t xml:space="preserve"> </w:t>
      </w:r>
    </w:p>
    <w:p w14:paraId="795EB636" w14:textId="758C928D" w:rsidR="009D5A6A" w:rsidRPr="006070EA" w:rsidRDefault="009D5A6A" w:rsidP="009D5A6A">
      <w:pPr>
        <w:pStyle w:val="Atext"/>
        <w:rPr>
          <w:rFonts w:asciiTheme="majorHAnsi" w:hAnsiTheme="majorHAnsi" w:cstheme="majorHAnsi"/>
        </w:rPr>
      </w:pPr>
      <w:r w:rsidRPr="006070EA">
        <w:rPr>
          <w:rFonts w:asciiTheme="majorHAnsi" w:hAnsiTheme="majorHAnsi" w:cstheme="majorHAnsi"/>
        </w:rPr>
        <w:t>Nezbytnost koncepčního řešení lokalit je dána požadavky na zajištění efektivního využívání zastavěného území i</w:t>
      </w:r>
      <w:r w:rsidR="00AF0592" w:rsidRPr="006070EA">
        <w:rPr>
          <w:rFonts w:asciiTheme="majorHAnsi" w:hAnsiTheme="majorHAnsi" w:cstheme="majorHAnsi"/>
        </w:rPr>
        <w:t> </w:t>
      </w:r>
      <w:r w:rsidRPr="006070EA">
        <w:rPr>
          <w:rFonts w:asciiTheme="majorHAnsi" w:hAnsiTheme="majorHAnsi" w:cstheme="majorHAnsi"/>
        </w:rPr>
        <w:t>zastavitelných ploch, jehož smyslem je především hospodárné řešení veřejné infrastruktury, zajištění dostatečné intenzity zástavby zejména jako předpoklad ochrany nezastavěného území, v návaznosti na požadavky stavebního zákona (zejména §</w:t>
      </w:r>
      <w:r w:rsidR="00AF0592" w:rsidRPr="006070EA">
        <w:rPr>
          <w:rFonts w:asciiTheme="majorHAnsi" w:hAnsiTheme="majorHAnsi" w:cstheme="majorHAnsi"/>
        </w:rPr>
        <w:t> </w:t>
      </w:r>
      <w:r w:rsidRPr="006070EA">
        <w:rPr>
          <w:rFonts w:asciiTheme="majorHAnsi" w:hAnsiTheme="majorHAnsi" w:cstheme="majorHAnsi"/>
        </w:rPr>
        <w:t xml:space="preserve">18 a 19) a priority územního plánování definované v PÚR ČR a v ZÚR SK. </w:t>
      </w:r>
    </w:p>
    <w:p w14:paraId="119F11A2" w14:textId="76679F08" w:rsidR="009D5A6A" w:rsidRPr="006070EA" w:rsidRDefault="009D5A6A" w:rsidP="009D5A6A">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3F5D13" w:rsidRPr="006070EA">
        <w:rPr>
          <w:rFonts w:asciiTheme="majorHAnsi" w:hAnsiTheme="majorHAnsi" w:cstheme="majorHAnsi"/>
          <w:b/>
          <w:i/>
          <w:sz w:val="18"/>
          <w:szCs w:val="20"/>
          <w:u w:val="single"/>
        </w:rPr>
        <w:t>9</w:t>
      </w:r>
      <w:r w:rsidR="007F4A1A">
        <w:rPr>
          <w:rFonts w:asciiTheme="majorHAnsi" w:hAnsiTheme="majorHAnsi" w:cstheme="majorHAnsi"/>
          <w:b/>
          <w:i/>
          <w:sz w:val="18"/>
          <w:szCs w:val="20"/>
          <w:u w:val="single"/>
        </w:rPr>
        <w:t>3</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79338037" w14:textId="0417A6B5" w:rsidR="009E186E" w:rsidRPr="006070EA" w:rsidRDefault="009D5A6A" w:rsidP="009D5A6A">
      <w:pPr>
        <w:pStyle w:val="Atext"/>
        <w:rPr>
          <w:rFonts w:asciiTheme="majorHAnsi" w:hAnsiTheme="majorHAnsi" w:cstheme="majorHAnsi"/>
        </w:rPr>
      </w:pPr>
      <w:r w:rsidRPr="006070EA">
        <w:rPr>
          <w:rFonts w:asciiTheme="majorHAnsi" w:hAnsiTheme="majorHAnsi" w:cstheme="majorHAnsi"/>
        </w:rPr>
        <w:t>Při rozhodování o změnách v území je nezbytné i za předpokladu absence územní studie a marného uplynutí lhůty pro její zpracování zohlednit stanovené požadavky na rozvoj území, zejména požadavek ve vazbě na § 7 odst. 2 vyhlášky č. 501/2006 Sb. na vymezování dostatečných ploch veřejných prostranství. To se týká zejména vymezování lokálního dopravního systému ulic, jehož řešení předurčuje parcelaci ploch a rámcové umisťování zástavby; územní plán toto řešení konkrétním způsobem nepředurčuje s ohledem na ustanovení § 3 odst. 1 vyhlášky č. 501/2006 Sb.</w:t>
      </w:r>
    </w:p>
    <w:p w14:paraId="47CAC227" w14:textId="77777777" w:rsidR="00BC3545" w:rsidRPr="006070EA" w:rsidRDefault="00BC3545" w:rsidP="00155D25">
      <w:pPr>
        <w:pStyle w:val="Mra2-reakceern"/>
        <w:keepNext/>
        <w:keepLines/>
        <w:pBdr>
          <w:left w:val="none" w:sz="0" w:space="0" w:color="auto"/>
        </w:pBdr>
        <w:shd w:val="clear" w:color="auto" w:fill="DEEAF6" w:themeFill="accent1" w:themeFillTint="33"/>
        <w:spacing w:before="240" w:after="120"/>
        <w:ind w:left="703" w:hanging="703"/>
        <w:rPr>
          <w:rFonts w:asciiTheme="majorHAnsi" w:hAnsiTheme="majorHAnsi" w:cstheme="majorHAnsi"/>
          <w:b/>
          <w:i/>
          <w:color w:val="auto"/>
          <w:sz w:val="22"/>
        </w:rPr>
      </w:pPr>
      <w:r w:rsidRPr="006070EA">
        <w:rPr>
          <w:rFonts w:asciiTheme="majorHAnsi" w:hAnsiTheme="majorHAnsi" w:cstheme="majorHAnsi"/>
          <w:b/>
          <w:i/>
          <w:color w:val="auto"/>
          <w:sz w:val="22"/>
        </w:rPr>
        <w:lastRenderedPageBreak/>
        <w:t>AD 1</w:t>
      </w:r>
      <w:r w:rsidR="00EF675C" w:rsidRPr="006070EA">
        <w:rPr>
          <w:rFonts w:asciiTheme="majorHAnsi" w:hAnsiTheme="majorHAnsi" w:cstheme="majorHAnsi"/>
          <w:b/>
          <w:i/>
          <w:color w:val="auto"/>
          <w:sz w:val="22"/>
        </w:rPr>
        <w:t>3</w:t>
      </w:r>
      <w:r w:rsidRPr="006070EA">
        <w:rPr>
          <w:rFonts w:asciiTheme="majorHAnsi" w:hAnsiTheme="majorHAnsi" w:cstheme="majorHAnsi"/>
          <w:b/>
          <w:i/>
          <w:color w:val="auto"/>
          <w:sz w:val="22"/>
        </w:rPr>
        <w:tab/>
        <w:t>Vymezení ploch a koridorů, ve kterých je rozhodování o změnách v území podmíněno vydáním regulačního plánu, zadání regulačního plánu v rozsahu dle přílohy č. 9, stanovení, zda se bude jednat o regulační plán z podnětu, nebo na žádost, a u regulačního plánu z podnětu stanovení přiměřené lhůty pro jeho vydání</w:t>
      </w:r>
    </w:p>
    <w:p w14:paraId="48873BE4" w14:textId="77777777" w:rsidR="00BC3545" w:rsidRPr="006070EA" w:rsidRDefault="00BC3545"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414" w:name="_Toc204678222"/>
      <w:r w:rsidRPr="006070EA">
        <w:rPr>
          <w:rFonts w:asciiTheme="majorHAnsi" w:hAnsiTheme="majorHAnsi" w:cstheme="majorHAnsi"/>
          <w:b/>
          <w:sz w:val="24"/>
          <w:szCs w:val="20"/>
        </w:rPr>
        <w:t>Odůvodnění vymezení ploch</w:t>
      </w:r>
      <w:r w:rsidR="00EF675C" w:rsidRPr="006070EA">
        <w:rPr>
          <w:rFonts w:asciiTheme="majorHAnsi" w:hAnsiTheme="majorHAnsi" w:cstheme="majorHAnsi"/>
          <w:b/>
          <w:sz w:val="24"/>
          <w:szCs w:val="20"/>
        </w:rPr>
        <w:t xml:space="preserve"> a koridorů</w:t>
      </w:r>
      <w:r w:rsidRPr="006070EA">
        <w:rPr>
          <w:rFonts w:asciiTheme="majorHAnsi" w:hAnsiTheme="majorHAnsi" w:cstheme="majorHAnsi"/>
          <w:b/>
          <w:sz w:val="24"/>
          <w:szCs w:val="20"/>
        </w:rPr>
        <w:t>, ve kterých je rozhodování o změnách v území podmíněno vydáním regulačního plánu</w:t>
      </w:r>
      <w:bookmarkEnd w:id="414"/>
      <w:r w:rsidRPr="006070EA">
        <w:rPr>
          <w:rFonts w:asciiTheme="majorHAnsi" w:hAnsiTheme="majorHAnsi" w:cstheme="majorHAnsi"/>
          <w:b/>
          <w:sz w:val="24"/>
          <w:szCs w:val="20"/>
        </w:rPr>
        <w:t xml:space="preserve"> </w:t>
      </w:r>
    </w:p>
    <w:p w14:paraId="07117EFC" w14:textId="0AEB8FA1" w:rsidR="00FF5A85" w:rsidRPr="006070EA" w:rsidRDefault="00FF5A85" w:rsidP="00FF5A85">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7F4A1A">
        <w:rPr>
          <w:rFonts w:asciiTheme="majorHAnsi" w:hAnsiTheme="majorHAnsi" w:cstheme="majorHAnsi"/>
          <w:b/>
          <w:i/>
          <w:sz w:val="18"/>
          <w:szCs w:val="20"/>
          <w:u w:val="single"/>
        </w:rPr>
        <w:t>94</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52280CE0" w14:textId="3C1BD315" w:rsidR="0085631A" w:rsidRPr="006070EA" w:rsidRDefault="0085631A" w:rsidP="0085631A">
      <w:pPr>
        <w:spacing w:line="240" w:lineRule="auto"/>
        <w:ind w:firstLine="567"/>
        <w:jc w:val="both"/>
        <w:rPr>
          <w:rFonts w:asciiTheme="majorHAnsi" w:hAnsiTheme="majorHAnsi" w:cstheme="majorHAnsi"/>
          <w:sz w:val="18"/>
          <w:szCs w:val="20"/>
        </w:rPr>
      </w:pPr>
      <w:r w:rsidRPr="006070EA">
        <w:rPr>
          <w:rFonts w:asciiTheme="majorHAnsi" w:hAnsiTheme="majorHAnsi" w:cstheme="majorHAnsi"/>
          <w:sz w:val="18"/>
          <w:szCs w:val="20"/>
        </w:rPr>
        <w:t xml:space="preserve">V souladu s § 43 odst. 2 stavebního zákona ÚP vymezuje plochy, v nichž je rozhodování o změnách v území podmíněno vydáním regulačního plánu, a to zejména s ohledem na jejich velikost, konfiguraci a složitost terénu, které nelze odpovědně řešit již na úrovni územního plánu a dále z důvodů nutnosti vymezení dostatečných ploch veřejných prostranství a optimálního využití ploch s cílem efektivně využívat veřejnou infrastrukturu a minimalizovat náklady města na zajištění souvisejících služeb. Dalším důvodem je pak detailní řešení, které s ohledem na měřítko územního plánu nelze předurčit ani vymezit. </w:t>
      </w:r>
    </w:p>
    <w:p w14:paraId="6582DEE4" w14:textId="31940330" w:rsidR="0085631A" w:rsidRPr="006070EA" w:rsidRDefault="0085631A" w:rsidP="0085631A">
      <w:pPr>
        <w:spacing w:line="240" w:lineRule="auto"/>
        <w:ind w:firstLine="567"/>
        <w:jc w:val="both"/>
        <w:rPr>
          <w:rFonts w:asciiTheme="majorHAnsi" w:hAnsiTheme="majorHAnsi" w:cstheme="majorHAnsi"/>
          <w:sz w:val="18"/>
          <w:szCs w:val="20"/>
        </w:rPr>
      </w:pPr>
      <w:r w:rsidRPr="006070EA">
        <w:rPr>
          <w:rFonts w:asciiTheme="majorHAnsi" w:hAnsiTheme="majorHAnsi" w:cstheme="majorHAnsi"/>
          <w:sz w:val="18"/>
          <w:szCs w:val="20"/>
        </w:rPr>
        <w:t>Odůvodnění jednotlivých ploch se stanovenou podmínkou vydání regulačního plánu je uvedeno v následující tabulce:</w:t>
      </w:r>
    </w:p>
    <w:tbl>
      <w:tblPr>
        <w:tblStyle w:val="Mkatabulky"/>
        <w:tblW w:w="9355" w:type="dxa"/>
        <w:jc w:val="center"/>
        <w:tblBorders>
          <w:top w:val="none" w:sz="0" w:space="0" w:color="auto"/>
          <w:left w:val="none" w:sz="0" w:space="0" w:color="auto"/>
          <w:bottom w:val="none" w:sz="0" w:space="0" w:color="auto"/>
          <w:right w:val="none" w:sz="0" w:space="0" w:color="auto"/>
        </w:tblBorders>
        <w:tblLook w:val="04A0" w:firstRow="1" w:lastRow="0" w:firstColumn="1" w:lastColumn="0" w:noHBand="0" w:noVBand="1"/>
      </w:tblPr>
      <w:tblGrid>
        <w:gridCol w:w="851"/>
        <w:gridCol w:w="8504"/>
      </w:tblGrid>
      <w:tr w:rsidR="000D4573" w:rsidRPr="006070EA" w14:paraId="061ADFD6" w14:textId="77777777" w:rsidTr="00471929">
        <w:trPr>
          <w:cantSplit/>
          <w:trHeight w:val="227"/>
          <w:tblHeader/>
          <w:jc w:val="center"/>
        </w:trPr>
        <w:tc>
          <w:tcPr>
            <w:tcW w:w="851" w:type="dxa"/>
            <w:tcBorders>
              <w:top w:val="nil"/>
              <w:bottom w:val="single" w:sz="12" w:space="0" w:color="auto"/>
              <w:right w:val="single" w:sz="12" w:space="0" w:color="auto"/>
            </w:tcBorders>
            <w:vAlign w:val="center"/>
          </w:tcPr>
          <w:p w14:paraId="029A3139" w14:textId="77777777" w:rsidR="000D4573" w:rsidRPr="006070EA" w:rsidRDefault="000D4573" w:rsidP="00471929">
            <w:pPr>
              <w:keepNext/>
              <w:spacing w:before="40" w:after="40"/>
              <w:jc w:val="center"/>
              <w:rPr>
                <w:rFonts w:asciiTheme="majorHAnsi" w:hAnsiTheme="majorHAnsi" w:cstheme="majorHAnsi"/>
                <w:b/>
                <w:sz w:val="18"/>
                <w:szCs w:val="18"/>
              </w:rPr>
            </w:pPr>
            <w:r w:rsidRPr="006070EA">
              <w:rPr>
                <w:rFonts w:asciiTheme="majorHAnsi" w:hAnsiTheme="majorHAnsi" w:cstheme="majorHAnsi"/>
                <w:b/>
                <w:sz w:val="18"/>
                <w:szCs w:val="18"/>
              </w:rPr>
              <w:t>ozn.</w:t>
            </w:r>
          </w:p>
        </w:tc>
        <w:tc>
          <w:tcPr>
            <w:tcW w:w="8504" w:type="dxa"/>
            <w:tcBorders>
              <w:top w:val="nil"/>
              <w:left w:val="single" w:sz="12" w:space="0" w:color="auto"/>
              <w:bottom w:val="single" w:sz="12" w:space="0" w:color="auto"/>
            </w:tcBorders>
            <w:vAlign w:val="center"/>
          </w:tcPr>
          <w:p w14:paraId="705EF646" w14:textId="431ECAA2" w:rsidR="000D4573" w:rsidRPr="006070EA" w:rsidRDefault="000D4573" w:rsidP="00471929">
            <w:pPr>
              <w:keepNext/>
              <w:spacing w:before="40" w:after="40"/>
              <w:jc w:val="center"/>
              <w:rPr>
                <w:rFonts w:asciiTheme="majorHAnsi" w:hAnsiTheme="majorHAnsi" w:cstheme="majorHAnsi"/>
                <w:b/>
                <w:sz w:val="18"/>
                <w:szCs w:val="18"/>
              </w:rPr>
            </w:pPr>
            <w:r w:rsidRPr="006070EA">
              <w:rPr>
                <w:rFonts w:asciiTheme="majorHAnsi" w:hAnsiTheme="majorHAnsi" w:cstheme="majorHAnsi"/>
                <w:b/>
                <w:sz w:val="18"/>
                <w:szCs w:val="18"/>
              </w:rPr>
              <w:t xml:space="preserve">důvody pro stanovení podmínky </w:t>
            </w:r>
            <w:r w:rsidR="0085631A" w:rsidRPr="006070EA">
              <w:rPr>
                <w:rFonts w:asciiTheme="majorHAnsi" w:hAnsiTheme="majorHAnsi" w:cstheme="majorHAnsi"/>
                <w:b/>
                <w:sz w:val="18"/>
                <w:szCs w:val="18"/>
              </w:rPr>
              <w:t>vydání regulačního plánu</w:t>
            </w:r>
          </w:p>
        </w:tc>
      </w:tr>
      <w:tr w:rsidR="000D4573" w:rsidRPr="006070EA" w14:paraId="07478E81" w14:textId="77777777" w:rsidTr="00471929">
        <w:trPr>
          <w:cantSplit/>
          <w:trHeight w:val="392"/>
          <w:jc w:val="center"/>
        </w:trPr>
        <w:tc>
          <w:tcPr>
            <w:tcW w:w="851" w:type="dxa"/>
            <w:vAlign w:val="center"/>
          </w:tcPr>
          <w:p w14:paraId="26299452" w14:textId="4BBB66FB" w:rsidR="000D4573" w:rsidRPr="006070EA" w:rsidRDefault="0085631A" w:rsidP="00471929">
            <w:pPr>
              <w:jc w:val="center"/>
              <w:rPr>
                <w:rFonts w:asciiTheme="majorHAnsi" w:hAnsiTheme="majorHAnsi" w:cstheme="majorHAnsi"/>
                <w:sz w:val="18"/>
                <w:szCs w:val="18"/>
              </w:rPr>
            </w:pPr>
            <w:r w:rsidRPr="006070EA">
              <w:rPr>
                <w:rFonts w:asciiTheme="majorHAnsi" w:hAnsiTheme="majorHAnsi" w:cstheme="majorHAnsi"/>
                <w:sz w:val="18"/>
                <w:szCs w:val="18"/>
              </w:rPr>
              <w:t>RP</w:t>
            </w:r>
            <w:r w:rsidR="003F5D13" w:rsidRPr="006070EA">
              <w:rPr>
                <w:rFonts w:asciiTheme="majorHAnsi" w:hAnsiTheme="majorHAnsi" w:cstheme="majorHAnsi"/>
                <w:sz w:val="18"/>
                <w:szCs w:val="18"/>
              </w:rPr>
              <w:t>.</w:t>
            </w:r>
            <w:r w:rsidR="001A5DB9" w:rsidRPr="006070EA">
              <w:rPr>
                <w:rFonts w:asciiTheme="majorHAnsi" w:hAnsiTheme="majorHAnsi" w:cstheme="majorHAnsi"/>
                <w:sz w:val="18"/>
                <w:szCs w:val="18"/>
              </w:rPr>
              <w:t>1</w:t>
            </w:r>
          </w:p>
        </w:tc>
        <w:tc>
          <w:tcPr>
            <w:tcW w:w="8504" w:type="dxa"/>
            <w:vAlign w:val="center"/>
          </w:tcPr>
          <w:p w14:paraId="2E8E638C" w14:textId="0C0AF0CD" w:rsidR="001A5DB9" w:rsidRPr="006070EA" w:rsidRDefault="001A5DB9" w:rsidP="00FC1E99">
            <w:pPr>
              <w:pStyle w:val="Textpsmene"/>
              <w:tabs>
                <w:tab w:val="clear" w:pos="0"/>
              </w:tabs>
              <w:spacing w:before="40" w:after="40"/>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Regulační plán </w:t>
            </w:r>
            <w:r w:rsidR="004232DD" w:rsidRPr="006070EA">
              <w:rPr>
                <w:rFonts w:asciiTheme="majorHAnsi" w:hAnsiTheme="majorHAnsi" w:cstheme="majorHAnsi"/>
                <w:snapToGrid w:val="0"/>
                <w:sz w:val="18"/>
                <w:szCs w:val="18"/>
              </w:rPr>
              <w:t>„</w:t>
            </w:r>
            <w:r w:rsidRPr="006070EA">
              <w:rPr>
                <w:rFonts w:asciiTheme="majorHAnsi" w:hAnsiTheme="majorHAnsi" w:cstheme="majorHAnsi"/>
                <w:snapToGrid w:val="0"/>
                <w:sz w:val="18"/>
                <w:szCs w:val="18"/>
              </w:rPr>
              <w:t>RP</w:t>
            </w:r>
            <w:r w:rsidR="003F5D13" w:rsidRPr="006070EA">
              <w:rPr>
                <w:rFonts w:asciiTheme="majorHAnsi" w:hAnsiTheme="majorHAnsi" w:cstheme="majorHAnsi"/>
                <w:snapToGrid w:val="0"/>
                <w:sz w:val="18"/>
                <w:szCs w:val="18"/>
              </w:rPr>
              <w:t>.</w:t>
            </w:r>
            <w:r w:rsidRPr="006070EA">
              <w:rPr>
                <w:rFonts w:asciiTheme="majorHAnsi" w:hAnsiTheme="majorHAnsi" w:cstheme="majorHAnsi"/>
                <w:snapToGrid w:val="0"/>
                <w:sz w:val="18"/>
                <w:szCs w:val="18"/>
              </w:rPr>
              <w:t>1 Kostomlaty nad Labem – západ</w:t>
            </w:r>
            <w:r w:rsidR="004232DD" w:rsidRPr="006070EA">
              <w:rPr>
                <w:rFonts w:asciiTheme="majorHAnsi" w:hAnsiTheme="majorHAnsi" w:cstheme="majorHAnsi"/>
                <w:snapToGrid w:val="0"/>
                <w:sz w:val="18"/>
                <w:szCs w:val="18"/>
              </w:rPr>
              <w:t>“</w:t>
            </w:r>
            <w:r w:rsidRPr="006070EA">
              <w:rPr>
                <w:rFonts w:asciiTheme="majorHAnsi" w:hAnsiTheme="majorHAnsi" w:cstheme="majorHAnsi"/>
                <w:snapToGrid w:val="0"/>
                <w:sz w:val="18"/>
                <w:szCs w:val="18"/>
              </w:rPr>
              <w:t xml:space="preserve"> zahrnuje zastavitelné plochy Z</w:t>
            </w:r>
            <w:r w:rsidR="003F5D13" w:rsidRPr="006070EA">
              <w:rPr>
                <w:rFonts w:asciiTheme="majorHAnsi" w:hAnsiTheme="majorHAnsi" w:cstheme="majorHAnsi"/>
                <w:snapToGrid w:val="0"/>
                <w:sz w:val="18"/>
                <w:szCs w:val="18"/>
              </w:rPr>
              <w:t>.</w:t>
            </w:r>
            <w:r w:rsidRPr="006070EA">
              <w:rPr>
                <w:rFonts w:asciiTheme="majorHAnsi" w:hAnsiTheme="majorHAnsi" w:cstheme="majorHAnsi"/>
                <w:snapToGrid w:val="0"/>
                <w:sz w:val="18"/>
                <w:szCs w:val="18"/>
              </w:rPr>
              <w:t>07 (BI) a Z</w:t>
            </w:r>
            <w:r w:rsidR="003F5D13" w:rsidRPr="006070EA">
              <w:rPr>
                <w:rFonts w:asciiTheme="majorHAnsi" w:hAnsiTheme="majorHAnsi" w:cstheme="majorHAnsi"/>
                <w:snapToGrid w:val="0"/>
                <w:sz w:val="18"/>
                <w:szCs w:val="18"/>
              </w:rPr>
              <w:t>.</w:t>
            </w:r>
            <w:r w:rsidRPr="006070EA">
              <w:rPr>
                <w:rFonts w:asciiTheme="majorHAnsi" w:hAnsiTheme="majorHAnsi" w:cstheme="majorHAnsi"/>
                <w:snapToGrid w:val="0"/>
                <w:sz w:val="18"/>
                <w:szCs w:val="18"/>
              </w:rPr>
              <w:t>08 (Z</w:t>
            </w:r>
            <w:r w:rsidR="003F5D13" w:rsidRPr="006070EA">
              <w:rPr>
                <w:rFonts w:asciiTheme="majorHAnsi" w:hAnsiTheme="majorHAnsi" w:cstheme="majorHAnsi"/>
                <w:snapToGrid w:val="0"/>
                <w:sz w:val="18"/>
                <w:szCs w:val="18"/>
              </w:rPr>
              <w:t>P</w:t>
            </w:r>
            <w:r w:rsidRPr="006070EA">
              <w:rPr>
                <w:rFonts w:asciiTheme="majorHAnsi" w:hAnsiTheme="majorHAnsi" w:cstheme="majorHAnsi"/>
                <w:snapToGrid w:val="0"/>
                <w:sz w:val="18"/>
                <w:szCs w:val="18"/>
              </w:rPr>
              <w:t>)</w:t>
            </w:r>
            <w:r w:rsidR="004232DD" w:rsidRPr="006070EA">
              <w:rPr>
                <w:rFonts w:asciiTheme="majorHAnsi" w:hAnsiTheme="majorHAnsi" w:cstheme="majorHAnsi"/>
                <w:snapToGrid w:val="0"/>
                <w:sz w:val="18"/>
                <w:szCs w:val="18"/>
              </w:rPr>
              <w:t xml:space="preserve"> o souhrnné výměře 4 ha</w:t>
            </w:r>
          </w:p>
          <w:p w14:paraId="4D3B6249" w14:textId="5AA3CFBE" w:rsidR="001A5DB9" w:rsidRPr="006070EA" w:rsidRDefault="001A5DB9"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značný rozsah zastavitelné plochy pro rezidenční rozvoj a související potřeba podrobného řešení návaznosti nové zástavby individuálního rodinného bydlení na okolní funkce smíšené obytné – městské, hromadného bydlení a veřejně přístupné zeleně</w:t>
            </w:r>
          </w:p>
          <w:p w14:paraId="242BD233" w14:textId="7F467675"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nutnost koncepčního řešení lokality tak, aby bylo celé území efektivně využito a aby bylo zajištěno dopravní napojení pozemků na kapacitně vyhovující veřejně přístupné komunikace </w:t>
            </w:r>
          </w:p>
          <w:p w14:paraId="3087FA33" w14:textId="04D03D3F" w:rsidR="001A5DB9" w:rsidRPr="006070EA" w:rsidRDefault="001A5DB9"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zajištění koordinovaného rozvoje zástavby a prověření možnosti stanovení pořadí změn v území (etapizace) za účelem vytvoření podmínek pro postupný rozvoj zástavby ve směru od zastavěného do volné krajiny; v této souvislosti potřeba zajištění ochrany zemědělského půdního fondu a jeho postupného a</w:t>
            </w:r>
            <w:r w:rsidR="003F5D13" w:rsidRPr="006070EA">
              <w:rPr>
                <w:rFonts w:asciiTheme="majorHAnsi" w:hAnsiTheme="majorHAnsi" w:cstheme="majorHAnsi"/>
                <w:snapToGrid w:val="0"/>
                <w:sz w:val="18"/>
                <w:szCs w:val="18"/>
              </w:rPr>
              <w:t> </w:t>
            </w:r>
            <w:r w:rsidRPr="006070EA">
              <w:rPr>
                <w:rFonts w:asciiTheme="majorHAnsi" w:hAnsiTheme="majorHAnsi" w:cstheme="majorHAnsi"/>
                <w:snapToGrid w:val="0"/>
                <w:sz w:val="18"/>
                <w:szCs w:val="18"/>
              </w:rPr>
              <w:t>koordinovaného odnímání</w:t>
            </w:r>
          </w:p>
          <w:p w14:paraId="402BC226"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s ohledem na rozsah lokality a vazbu na existující zástavbu sídla je nezbytné vymezit ucelený systém zajišťující dopravní obsluhu celého území a prověřit kapacity sítí technické infrastruktury</w:t>
            </w:r>
          </w:p>
          <w:p w14:paraId="69C3FA8D" w14:textId="40BC54D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prověření uspořádání nových stavebních pozemků, neboť v případě nekoordinovaného rozvoje zástavby a</w:t>
            </w:r>
            <w:r w:rsidR="003F5D13" w:rsidRPr="006070EA">
              <w:rPr>
                <w:rFonts w:asciiTheme="majorHAnsi" w:hAnsiTheme="majorHAnsi" w:cstheme="majorHAnsi"/>
                <w:snapToGrid w:val="0"/>
                <w:sz w:val="18"/>
                <w:szCs w:val="18"/>
              </w:rPr>
              <w:t> </w:t>
            </w:r>
            <w:r w:rsidRPr="006070EA">
              <w:rPr>
                <w:rFonts w:asciiTheme="majorHAnsi" w:hAnsiTheme="majorHAnsi" w:cstheme="majorHAnsi"/>
                <w:snapToGrid w:val="0"/>
                <w:sz w:val="18"/>
                <w:szCs w:val="18"/>
              </w:rPr>
              <w:t>nevyřešené dopravní obsluhy území by mohlo dojít k zablokování části plochy a tím znemožnění jejího efektivního využití</w:t>
            </w:r>
          </w:p>
          <w:p w14:paraId="1E6FEFC1"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vymezení veřejných prostranství v ploše ve vazbě na § 7 odst. 2 vyhlášky 501/2006 Sb., které nelze předurčit s ohledem na míru detailu a neznalost vlastnických vztahů v území</w:t>
            </w:r>
          </w:p>
          <w:p w14:paraId="474D949B"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nutnost prověření případného umisťování staveb v závislosti na limitech využití území </w:t>
            </w:r>
          </w:p>
          <w:p w14:paraId="064AE1D1"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prověření vlivu na krajinný ráz s ohledem na umístění lokality v exponované poloze, prověření působení hmot v dálkových pohledech</w:t>
            </w:r>
          </w:p>
          <w:p w14:paraId="01C5CACC"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prověření aplikace principů modrozelené infrastruktury</w:t>
            </w:r>
          </w:p>
          <w:p w14:paraId="1C01AC9C" w14:textId="2792435A"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stanovení ochrany koryta vodního toku Vlkavy a souvisejícího lokálního biokoridoru L</w:t>
            </w:r>
            <w:r w:rsidR="003F5D13" w:rsidRPr="006070EA">
              <w:rPr>
                <w:rFonts w:asciiTheme="majorHAnsi" w:hAnsiTheme="majorHAnsi" w:cstheme="majorHAnsi"/>
                <w:snapToGrid w:val="0"/>
                <w:sz w:val="18"/>
                <w:szCs w:val="18"/>
              </w:rPr>
              <w:t>B</w:t>
            </w:r>
            <w:r w:rsidRPr="006070EA">
              <w:rPr>
                <w:rFonts w:asciiTheme="majorHAnsi" w:hAnsiTheme="majorHAnsi" w:cstheme="majorHAnsi"/>
                <w:snapToGrid w:val="0"/>
                <w:sz w:val="18"/>
                <w:szCs w:val="18"/>
              </w:rPr>
              <w:t>K</w:t>
            </w:r>
            <w:r w:rsidR="003F5D13" w:rsidRPr="006070EA">
              <w:rPr>
                <w:rFonts w:asciiTheme="majorHAnsi" w:hAnsiTheme="majorHAnsi" w:cstheme="majorHAnsi"/>
                <w:snapToGrid w:val="0"/>
                <w:sz w:val="18"/>
                <w:szCs w:val="18"/>
              </w:rPr>
              <w:t>.</w:t>
            </w:r>
            <w:r w:rsidRPr="006070EA">
              <w:rPr>
                <w:rFonts w:asciiTheme="majorHAnsi" w:hAnsiTheme="majorHAnsi" w:cstheme="majorHAnsi"/>
                <w:snapToGrid w:val="0"/>
                <w:sz w:val="18"/>
                <w:szCs w:val="18"/>
              </w:rPr>
              <w:t>1</w:t>
            </w:r>
          </w:p>
        </w:tc>
      </w:tr>
      <w:tr w:rsidR="000D4573" w:rsidRPr="006070EA" w14:paraId="23BEC101" w14:textId="77777777" w:rsidTr="00471929">
        <w:trPr>
          <w:cantSplit/>
          <w:trHeight w:val="391"/>
          <w:jc w:val="center"/>
        </w:trPr>
        <w:tc>
          <w:tcPr>
            <w:tcW w:w="851" w:type="dxa"/>
            <w:vAlign w:val="center"/>
          </w:tcPr>
          <w:p w14:paraId="5F32AD53" w14:textId="6F6A7775" w:rsidR="000D4573" w:rsidRPr="006070EA" w:rsidRDefault="004232DD" w:rsidP="00471929">
            <w:pPr>
              <w:jc w:val="center"/>
              <w:rPr>
                <w:rFonts w:asciiTheme="majorHAnsi" w:hAnsiTheme="majorHAnsi" w:cstheme="majorHAnsi"/>
                <w:sz w:val="18"/>
                <w:szCs w:val="18"/>
              </w:rPr>
            </w:pPr>
            <w:r w:rsidRPr="006070EA">
              <w:rPr>
                <w:rFonts w:asciiTheme="majorHAnsi" w:hAnsiTheme="majorHAnsi" w:cstheme="majorHAnsi"/>
                <w:sz w:val="18"/>
                <w:szCs w:val="18"/>
              </w:rPr>
              <w:t>RP</w:t>
            </w:r>
            <w:r w:rsidR="003F5D13" w:rsidRPr="006070EA">
              <w:rPr>
                <w:rFonts w:asciiTheme="majorHAnsi" w:hAnsiTheme="majorHAnsi" w:cstheme="majorHAnsi"/>
                <w:sz w:val="18"/>
                <w:szCs w:val="18"/>
              </w:rPr>
              <w:t>.</w:t>
            </w:r>
            <w:r w:rsidRPr="006070EA">
              <w:rPr>
                <w:rFonts w:asciiTheme="majorHAnsi" w:hAnsiTheme="majorHAnsi" w:cstheme="majorHAnsi"/>
                <w:sz w:val="18"/>
                <w:szCs w:val="18"/>
              </w:rPr>
              <w:t>2</w:t>
            </w:r>
          </w:p>
        </w:tc>
        <w:tc>
          <w:tcPr>
            <w:tcW w:w="8504" w:type="dxa"/>
            <w:vAlign w:val="center"/>
          </w:tcPr>
          <w:p w14:paraId="5F7B4DA4" w14:textId="623806D1" w:rsidR="004232DD" w:rsidRPr="006070EA" w:rsidRDefault="004232DD" w:rsidP="00FC1E99">
            <w:pPr>
              <w:pStyle w:val="Textpsmene"/>
              <w:tabs>
                <w:tab w:val="clear" w:pos="0"/>
              </w:tabs>
              <w:spacing w:before="40" w:after="40"/>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Regulační plán "RP</w:t>
            </w:r>
            <w:r w:rsidR="003F5D13" w:rsidRPr="006070EA">
              <w:rPr>
                <w:rFonts w:asciiTheme="majorHAnsi" w:hAnsiTheme="majorHAnsi" w:cstheme="majorHAnsi"/>
                <w:snapToGrid w:val="0"/>
                <w:sz w:val="18"/>
                <w:szCs w:val="18"/>
              </w:rPr>
              <w:t>.</w:t>
            </w:r>
            <w:r w:rsidRPr="006070EA">
              <w:rPr>
                <w:rFonts w:asciiTheme="majorHAnsi" w:hAnsiTheme="majorHAnsi" w:cstheme="majorHAnsi"/>
                <w:snapToGrid w:val="0"/>
                <w:sz w:val="18"/>
                <w:szCs w:val="18"/>
              </w:rPr>
              <w:t>2 Kostomlaty nad Labem – východ“ zahrnuje zastavitelnou plochu Z</w:t>
            </w:r>
            <w:r w:rsidR="003F5D13" w:rsidRPr="006070EA">
              <w:rPr>
                <w:rFonts w:asciiTheme="majorHAnsi" w:hAnsiTheme="majorHAnsi" w:cstheme="majorHAnsi"/>
                <w:snapToGrid w:val="0"/>
                <w:sz w:val="18"/>
                <w:szCs w:val="18"/>
              </w:rPr>
              <w:t>.</w:t>
            </w:r>
            <w:r w:rsidRPr="006070EA">
              <w:rPr>
                <w:rFonts w:asciiTheme="majorHAnsi" w:hAnsiTheme="majorHAnsi" w:cstheme="majorHAnsi"/>
                <w:snapToGrid w:val="0"/>
                <w:sz w:val="18"/>
                <w:szCs w:val="18"/>
              </w:rPr>
              <w:t>14 (BI) o výměře 4,66 ha</w:t>
            </w:r>
          </w:p>
          <w:p w14:paraId="1B29AF15" w14:textId="57A7E7FA" w:rsidR="001A5DB9" w:rsidRPr="006070EA" w:rsidRDefault="001A5DB9" w:rsidP="001A5DB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značný rozsah zastavitelné plochy pro rezidenční rozvoj a související potřeba podrobného řešení návaznosti nové zástavby individuálního rodinného bydlení na okolní funkce, zejména na stabilizovanou lesní plochu</w:t>
            </w:r>
          </w:p>
          <w:p w14:paraId="3630276A" w14:textId="2DEC47E1"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 xml:space="preserve">nutnost koncepčního řešení lokality tak, aby bylo celé území efektivně využito a aby bylo zajištěno dopravní napojení pozemků na kapacitně vyhovující veřejně přístupné komunikace </w:t>
            </w:r>
          </w:p>
          <w:p w14:paraId="7064D450"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s ohledem na rozsah lokality a vazbu na existující zástavbu sídla je nezbytné vymezit ucelený systém zajišťující dopravní obsluhu celého území a prověřit kapacity sítí technické infrastruktury</w:t>
            </w:r>
          </w:p>
          <w:p w14:paraId="6731F3DA" w14:textId="7FD9C52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prověření uspořádání nových stavebních pozemků, neboť v případě nekoordinovaného rozvoje zástavby a</w:t>
            </w:r>
            <w:r w:rsidR="003F5D13" w:rsidRPr="006070EA">
              <w:rPr>
                <w:rFonts w:asciiTheme="majorHAnsi" w:hAnsiTheme="majorHAnsi" w:cstheme="majorHAnsi"/>
                <w:snapToGrid w:val="0"/>
                <w:sz w:val="18"/>
                <w:szCs w:val="18"/>
              </w:rPr>
              <w:t> </w:t>
            </w:r>
            <w:r w:rsidRPr="006070EA">
              <w:rPr>
                <w:rFonts w:asciiTheme="majorHAnsi" w:hAnsiTheme="majorHAnsi" w:cstheme="majorHAnsi"/>
                <w:snapToGrid w:val="0"/>
                <w:sz w:val="18"/>
                <w:szCs w:val="18"/>
              </w:rPr>
              <w:t>nevyřešené dopravní obsluhy území by mohlo dojít k zablokování části plochy a tím znemožnění jejího efektivního využití</w:t>
            </w:r>
          </w:p>
          <w:p w14:paraId="0264D687"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vymezení veřejných prostranství v ploše ve vazbě na § 7 odst. 2 vyhlášky 501/2006 Sb., které nelze předurčit s ohledem na míru detailu a neznalost vlastnických vztahů v území</w:t>
            </w:r>
          </w:p>
          <w:p w14:paraId="7186B4D5"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prověření případného umisťování staveb v závislosti na limitech využití území (např. ochranné pásmo lesa)</w:t>
            </w:r>
          </w:p>
          <w:p w14:paraId="57D44DA2"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prověření vlivu na krajinný ráz s ohledem na umístění lokality v exponované poloze, prověření působení hmot v dálkových pohledech</w:t>
            </w:r>
          </w:p>
          <w:p w14:paraId="06B3332C" w14:textId="77777777" w:rsidR="000D4573" w:rsidRPr="006070EA" w:rsidRDefault="000D4573" w:rsidP="00471929">
            <w:pPr>
              <w:pStyle w:val="Textpsmene"/>
              <w:numPr>
                <w:ilvl w:val="0"/>
                <w:numId w:val="33"/>
              </w:numPr>
              <w:spacing w:before="40" w:after="40"/>
              <w:ind w:left="373"/>
              <w:jc w:val="left"/>
              <w:outlineLvl w:val="9"/>
              <w:rPr>
                <w:rFonts w:asciiTheme="majorHAnsi" w:hAnsiTheme="majorHAnsi" w:cstheme="majorHAnsi"/>
                <w:snapToGrid w:val="0"/>
                <w:sz w:val="18"/>
                <w:szCs w:val="18"/>
              </w:rPr>
            </w:pPr>
            <w:r w:rsidRPr="006070EA">
              <w:rPr>
                <w:rFonts w:asciiTheme="majorHAnsi" w:hAnsiTheme="majorHAnsi" w:cstheme="majorHAnsi"/>
                <w:snapToGrid w:val="0"/>
                <w:sz w:val="18"/>
                <w:szCs w:val="18"/>
              </w:rPr>
              <w:t>nutnost prověření aplikace principů modrozelené infrastruktury</w:t>
            </w:r>
          </w:p>
        </w:tc>
      </w:tr>
    </w:tbl>
    <w:p w14:paraId="20F593D1" w14:textId="5A5D8E73" w:rsidR="000D4573" w:rsidRPr="006070EA" w:rsidRDefault="00A25D55" w:rsidP="00FC1E99">
      <w:pPr>
        <w:pStyle w:val="Atext"/>
        <w:spacing w:after="60"/>
        <w:rPr>
          <w:rFonts w:asciiTheme="majorHAnsi" w:hAnsiTheme="majorHAnsi" w:cstheme="majorHAnsi"/>
          <w:szCs w:val="18"/>
        </w:rPr>
      </w:pPr>
      <w:r w:rsidRPr="006070EA">
        <w:rPr>
          <w:rFonts w:asciiTheme="majorHAnsi" w:hAnsiTheme="majorHAnsi" w:cstheme="majorHAnsi"/>
          <w:szCs w:val="18"/>
        </w:rPr>
        <w:lastRenderedPageBreak/>
        <w:t>Zadání regulační</w:t>
      </w:r>
      <w:r w:rsidR="004232DD" w:rsidRPr="006070EA">
        <w:rPr>
          <w:rFonts w:asciiTheme="majorHAnsi" w:hAnsiTheme="majorHAnsi" w:cstheme="majorHAnsi"/>
          <w:szCs w:val="18"/>
        </w:rPr>
        <w:t>ch</w:t>
      </w:r>
      <w:r w:rsidRPr="006070EA">
        <w:rPr>
          <w:rFonts w:asciiTheme="majorHAnsi" w:hAnsiTheme="majorHAnsi" w:cstheme="majorHAnsi"/>
          <w:szCs w:val="18"/>
        </w:rPr>
        <w:t xml:space="preserve"> plán</w:t>
      </w:r>
      <w:r w:rsidR="004232DD" w:rsidRPr="006070EA">
        <w:rPr>
          <w:rFonts w:asciiTheme="majorHAnsi" w:hAnsiTheme="majorHAnsi" w:cstheme="majorHAnsi"/>
          <w:szCs w:val="18"/>
        </w:rPr>
        <w:t>ů</w:t>
      </w:r>
      <w:r w:rsidRPr="006070EA">
        <w:rPr>
          <w:rFonts w:asciiTheme="majorHAnsi" w:hAnsiTheme="majorHAnsi" w:cstheme="majorHAnsi"/>
          <w:szCs w:val="18"/>
        </w:rPr>
        <w:t xml:space="preserve"> RP</w:t>
      </w:r>
      <w:r w:rsidR="003F5D13" w:rsidRPr="006070EA">
        <w:rPr>
          <w:rFonts w:asciiTheme="majorHAnsi" w:hAnsiTheme="majorHAnsi" w:cstheme="majorHAnsi"/>
          <w:szCs w:val="18"/>
        </w:rPr>
        <w:t>.</w:t>
      </w:r>
      <w:r w:rsidRPr="006070EA">
        <w:rPr>
          <w:rFonts w:asciiTheme="majorHAnsi" w:hAnsiTheme="majorHAnsi" w:cstheme="majorHAnsi"/>
          <w:szCs w:val="18"/>
        </w:rPr>
        <w:t xml:space="preserve">1 </w:t>
      </w:r>
      <w:r w:rsidR="004232DD" w:rsidRPr="006070EA">
        <w:rPr>
          <w:rFonts w:asciiTheme="majorHAnsi" w:hAnsiTheme="majorHAnsi" w:cstheme="majorHAnsi"/>
          <w:szCs w:val="18"/>
        </w:rPr>
        <w:t>a RP</w:t>
      </w:r>
      <w:r w:rsidR="003F5D13" w:rsidRPr="006070EA">
        <w:rPr>
          <w:rFonts w:asciiTheme="majorHAnsi" w:hAnsiTheme="majorHAnsi" w:cstheme="majorHAnsi"/>
          <w:szCs w:val="18"/>
        </w:rPr>
        <w:t>.</w:t>
      </w:r>
      <w:r w:rsidR="004232DD" w:rsidRPr="006070EA">
        <w:rPr>
          <w:rFonts w:asciiTheme="majorHAnsi" w:hAnsiTheme="majorHAnsi" w:cstheme="majorHAnsi"/>
          <w:szCs w:val="18"/>
        </w:rPr>
        <w:t xml:space="preserve">2 </w:t>
      </w:r>
      <w:r w:rsidRPr="006070EA">
        <w:rPr>
          <w:rFonts w:asciiTheme="majorHAnsi" w:hAnsiTheme="majorHAnsi" w:cstheme="majorHAnsi"/>
          <w:szCs w:val="18"/>
        </w:rPr>
        <w:t xml:space="preserve">je obsahem výrokové části ÚP </w:t>
      </w:r>
      <w:r w:rsidR="004232DD" w:rsidRPr="006070EA">
        <w:rPr>
          <w:rFonts w:asciiTheme="majorHAnsi" w:hAnsiTheme="majorHAnsi" w:cstheme="majorHAnsi"/>
          <w:szCs w:val="18"/>
        </w:rPr>
        <w:t>Kostomlaty nad Labem</w:t>
      </w:r>
      <w:r w:rsidRPr="006070EA">
        <w:rPr>
          <w:rFonts w:asciiTheme="majorHAnsi" w:hAnsiTheme="majorHAnsi" w:cstheme="majorHAnsi"/>
          <w:szCs w:val="18"/>
        </w:rPr>
        <w:t>, kapitoly 1</w:t>
      </w:r>
      <w:r w:rsidR="004232DD" w:rsidRPr="006070EA">
        <w:rPr>
          <w:rFonts w:asciiTheme="majorHAnsi" w:hAnsiTheme="majorHAnsi" w:cstheme="majorHAnsi"/>
          <w:szCs w:val="18"/>
        </w:rPr>
        <w:t>3</w:t>
      </w:r>
      <w:r w:rsidRPr="006070EA">
        <w:rPr>
          <w:rFonts w:asciiTheme="majorHAnsi" w:hAnsiTheme="majorHAnsi" w:cstheme="majorHAnsi"/>
          <w:szCs w:val="18"/>
        </w:rPr>
        <w:t xml:space="preserve">, a je zpracováno v souladu s požadavky přílohy č. 7 vyhlášky č. 500/2006 Sb. a v souladu s přílohou č. 9 vyhlášky č. 500/2006 Sb. </w:t>
      </w:r>
    </w:p>
    <w:p w14:paraId="740B129F" w14:textId="77777777" w:rsidR="00EF675C" w:rsidRPr="006070EA" w:rsidRDefault="00EF675C" w:rsidP="00155D25">
      <w:pPr>
        <w:pStyle w:val="Mra2-reakceern"/>
        <w:keepNext/>
        <w:pBdr>
          <w:left w:val="none" w:sz="0" w:space="0" w:color="auto"/>
        </w:pBdr>
        <w:shd w:val="clear" w:color="auto" w:fill="DEEAF6" w:themeFill="accent1" w:themeFillTint="33"/>
        <w:spacing w:before="240" w:after="120"/>
        <w:ind w:left="705" w:hanging="705"/>
        <w:rPr>
          <w:rFonts w:asciiTheme="majorHAnsi" w:hAnsiTheme="majorHAnsi" w:cstheme="majorHAnsi"/>
          <w:b/>
          <w:i/>
          <w:color w:val="auto"/>
          <w:sz w:val="22"/>
        </w:rPr>
      </w:pPr>
      <w:r w:rsidRPr="006070EA">
        <w:rPr>
          <w:rFonts w:asciiTheme="majorHAnsi" w:hAnsiTheme="majorHAnsi" w:cstheme="majorHAnsi"/>
          <w:b/>
          <w:i/>
          <w:color w:val="auto"/>
          <w:sz w:val="22"/>
        </w:rPr>
        <w:t>AD 14</w:t>
      </w:r>
      <w:r w:rsidRPr="006070EA">
        <w:rPr>
          <w:rFonts w:asciiTheme="majorHAnsi" w:hAnsiTheme="majorHAnsi" w:cstheme="majorHAnsi"/>
          <w:b/>
          <w:i/>
          <w:color w:val="auto"/>
          <w:sz w:val="22"/>
        </w:rPr>
        <w:tab/>
        <w:t>Stanovení pořadí změn v území (etapizace)</w:t>
      </w:r>
    </w:p>
    <w:p w14:paraId="67D6648E" w14:textId="77777777" w:rsidR="00EF675C" w:rsidRPr="006070EA" w:rsidRDefault="00EF675C" w:rsidP="003A4B1E">
      <w:pPr>
        <w:pStyle w:val="Odstavecseseznamem"/>
        <w:keepNext/>
        <w:numPr>
          <w:ilvl w:val="1"/>
          <w:numId w:val="30"/>
        </w:numPr>
        <w:spacing w:before="160" w:after="120" w:line="240" w:lineRule="auto"/>
        <w:ind w:left="709" w:hanging="709"/>
        <w:contextualSpacing w:val="0"/>
        <w:outlineLvl w:val="1"/>
        <w:rPr>
          <w:rFonts w:asciiTheme="majorHAnsi" w:hAnsiTheme="majorHAnsi" w:cstheme="majorHAnsi"/>
          <w:b/>
          <w:sz w:val="24"/>
          <w:szCs w:val="20"/>
        </w:rPr>
      </w:pPr>
      <w:bookmarkStart w:id="415" w:name="_Toc204678223"/>
      <w:r w:rsidRPr="006070EA">
        <w:rPr>
          <w:rFonts w:asciiTheme="majorHAnsi" w:hAnsiTheme="majorHAnsi" w:cstheme="majorHAnsi"/>
          <w:b/>
          <w:sz w:val="24"/>
          <w:szCs w:val="20"/>
        </w:rPr>
        <w:t>Odůvodnění stanovení pořadí změn v území</w:t>
      </w:r>
      <w:bookmarkEnd w:id="415"/>
      <w:r w:rsidRPr="006070EA">
        <w:rPr>
          <w:rFonts w:asciiTheme="majorHAnsi" w:hAnsiTheme="majorHAnsi" w:cstheme="majorHAnsi"/>
          <w:b/>
          <w:sz w:val="24"/>
          <w:szCs w:val="20"/>
        </w:rPr>
        <w:t xml:space="preserve"> </w:t>
      </w:r>
    </w:p>
    <w:p w14:paraId="26DC9319" w14:textId="1B708325" w:rsidR="00FF5A85" w:rsidRPr="006070EA" w:rsidRDefault="00FF5A85" w:rsidP="00FF5A85">
      <w:pPr>
        <w:keepNext/>
        <w:spacing w:after="120" w:line="240" w:lineRule="auto"/>
        <w:jc w:val="right"/>
        <w:rPr>
          <w:rFonts w:asciiTheme="majorHAnsi" w:hAnsiTheme="majorHAnsi" w:cstheme="majorHAnsi"/>
          <w:i/>
          <w:sz w:val="18"/>
          <w:szCs w:val="20"/>
          <w:u w:val="single"/>
        </w:rPr>
      </w:pPr>
      <w:r w:rsidRPr="006070EA">
        <w:rPr>
          <w:rFonts w:asciiTheme="majorHAnsi" w:hAnsiTheme="majorHAnsi" w:cstheme="majorHAnsi"/>
          <w:i/>
          <w:sz w:val="18"/>
          <w:szCs w:val="20"/>
          <w:u w:val="single"/>
        </w:rPr>
        <w:t xml:space="preserve">Odůvodnění odst. </w:t>
      </w:r>
      <w:r w:rsidRPr="006070EA">
        <w:rPr>
          <w:rFonts w:asciiTheme="majorHAnsi" w:hAnsiTheme="majorHAnsi" w:cstheme="majorHAnsi"/>
          <w:b/>
          <w:i/>
          <w:sz w:val="18"/>
          <w:szCs w:val="20"/>
          <w:u w:val="single"/>
        </w:rPr>
        <w:t>(</w:t>
      </w:r>
      <w:r w:rsidR="003F5D13" w:rsidRPr="006070EA">
        <w:rPr>
          <w:rFonts w:asciiTheme="majorHAnsi" w:hAnsiTheme="majorHAnsi" w:cstheme="majorHAnsi"/>
          <w:b/>
          <w:i/>
          <w:sz w:val="18"/>
          <w:szCs w:val="20"/>
          <w:u w:val="single"/>
        </w:rPr>
        <w:t>9</w:t>
      </w:r>
      <w:r w:rsidR="007F4A1A">
        <w:rPr>
          <w:rFonts w:asciiTheme="majorHAnsi" w:hAnsiTheme="majorHAnsi" w:cstheme="majorHAnsi"/>
          <w:b/>
          <w:i/>
          <w:sz w:val="18"/>
          <w:szCs w:val="20"/>
          <w:u w:val="single"/>
        </w:rPr>
        <w:t>5</w:t>
      </w:r>
      <w:r w:rsidRPr="006070EA">
        <w:rPr>
          <w:rFonts w:asciiTheme="majorHAnsi" w:hAnsiTheme="majorHAnsi" w:cstheme="majorHAnsi"/>
          <w:b/>
          <w:i/>
          <w:sz w:val="18"/>
          <w:szCs w:val="20"/>
          <w:u w:val="single"/>
        </w:rPr>
        <w:t>)</w:t>
      </w:r>
      <w:r w:rsidRPr="006070EA">
        <w:rPr>
          <w:rFonts w:asciiTheme="majorHAnsi" w:hAnsiTheme="majorHAnsi" w:cstheme="majorHAnsi"/>
          <w:i/>
          <w:sz w:val="18"/>
          <w:szCs w:val="20"/>
          <w:u w:val="single"/>
        </w:rPr>
        <w:t xml:space="preserve"> výrokové části</w:t>
      </w:r>
    </w:p>
    <w:p w14:paraId="7703F50E" w14:textId="5A911870" w:rsidR="00EF675C" w:rsidRPr="006070EA" w:rsidRDefault="00EF675C" w:rsidP="009E186E">
      <w:pPr>
        <w:spacing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V rámci procesu pořizování ÚP </w:t>
      </w:r>
      <w:r w:rsidR="00130012" w:rsidRPr="006070EA">
        <w:rPr>
          <w:rFonts w:asciiTheme="majorHAnsi" w:hAnsiTheme="majorHAnsi" w:cstheme="majorHAnsi"/>
          <w:sz w:val="18"/>
          <w:szCs w:val="20"/>
        </w:rPr>
        <w:t>Kostomlaty nad Labem</w:t>
      </w:r>
      <w:r w:rsidR="00573088" w:rsidRPr="006070EA">
        <w:rPr>
          <w:rFonts w:asciiTheme="majorHAnsi" w:hAnsiTheme="majorHAnsi" w:cstheme="majorHAnsi"/>
          <w:sz w:val="18"/>
          <w:szCs w:val="20"/>
        </w:rPr>
        <w:t xml:space="preserve"> </w:t>
      </w:r>
      <w:r w:rsidRPr="006070EA">
        <w:rPr>
          <w:rFonts w:asciiTheme="majorHAnsi" w:hAnsiTheme="majorHAnsi" w:cstheme="majorHAnsi"/>
          <w:sz w:val="18"/>
          <w:szCs w:val="20"/>
        </w:rPr>
        <w:t>nevyplynuly žádné požadavky ani potřebnost stanovení pořadí změn v území (etapizace).</w:t>
      </w:r>
    </w:p>
    <w:p w14:paraId="6DDD0528" w14:textId="77777777" w:rsidR="009E33CB" w:rsidRPr="006070EA" w:rsidRDefault="009E33CB" w:rsidP="00D430EF">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416" w:name="_Toc424119865"/>
      <w:bookmarkStart w:id="417" w:name="_Toc204678224"/>
      <w:r w:rsidRPr="006070EA">
        <w:rPr>
          <w:rFonts w:asciiTheme="majorHAnsi" w:hAnsiTheme="majorHAnsi" w:cstheme="majorHAnsi"/>
          <w:b/>
          <w:sz w:val="24"/>
          <w:szCs w:val="28"/>
        </w:rPr>
        <w:t>VYHODNOCENÍ PŘEDPOKLÁDANÝCH DŮSLEDKŮ NAVRHOVANÉHO ŘEŠENÍ NA ZEMĚDĚLSKÝ PŮDNÍ FOND A POZEMKY URČENÉ K PLNĚNÍ FUNKCE LESA</w:t>
      </w:r>
      <w:bookmarkEnd w:id="416"/>
      <w:bookmarkEnd w:id="417"/>
    </w:p>
    <w:p w14:paraId="531BBF19" w14:textId="77777777" w:rsidR="009E33CB" w:rsidRPr="006070EA" w:rsidRDefault="009E33CB" w:rsidP="00D430EF">
      <w:pPr>
        <w:keepNext/>
        <w:spacing w:after="120" w:line="240" w:lineRule="auto"/>
        <w:ind w:firstLine="709"/>
        <w:rPr>
          <w:rFonts w:asciiTheme="majorHAnsi" w:hAnsiTheme="majorHAnsi" w:cstheme="majorHAnsi"/>
          <w:i/>
          <w:sz w:val="18"/>
          <w:szCs w:val="20"/>
        </w:rPr>
      </w:pPr>
      <w:r w:rsidRPr="006070EA">
        <w:rPr>
          <w:rFonts w:asciiTheme="majorHAnsi" w:hAnsiTheme="majorHAnsi" w:cstheme="majorHAnsi"/>
          <w:i/>
          <w:sz w:val="18"/>
          <w:szCs w:val="20"/>
        </w:rPr>
        <w:t>Vyhláška 500/2006 Sb., příloha č. 7, část II, odst. 1 d)</w:t>
      </w:r>
    </w:p>
    <w:p w14:paraId="6A7F0DC0" w14:textId="77777777" w:rsidR="009E33CB" w:rsidRPr="006070EA" w:rsidRDefault="009E33CB" w:rsidP="009A6481">
      <w:pPr>
        <w:spacing w:after="120" w:line="240" w:lineRule="auto"/>
        <w:ind w:firstLine="709"/>
        <w:rPr>
          <w:rFonts w:asciiTheme="majorHAnsi" w:hAnsiTheme="majorHAnsi" w:cstheme="majorHAnsi"/>
          <w:b/>
          <w:i/>
          <w:sz w:val="18"/>
          <w:szCs w:val="20"/>
        </w:rPr>
      </w:pPr>
      <w:r w:rsidRPr="006070EA">
        <w:rPr>
          <w:rFonts w:asciiTheme="majorHAnsi" w:hAnsiTheme="majorHAnsi" w:cstheme="majorHAnsi"/>
          <w:b/>
          <w:i/>
          <w:sz w:val="18"/>
          <w:szCs w:val="20"/>
        </w:rPr>
        <w:t>Zpracovává projektant s využitím metodických pomůcek MŽP a MMR.</w:t>
      </w:r>
    </w:p>
    <w:p w14:paraId="273F7FA1" w14:textId="77777777" w:rsidR="009E33CB" w:rsidRPr="006070EA" w:rsidRDefault="009E33CB" w:rsidP="003A4B1E">
      <w:pPr>
        <w:pStyle w:val="Odstavecseseznamem"/>
        <w:keepNext/>
        <w:numPr>
          <w:ilvl w:val="1"/>
          <w:numId w:val="31"/>
        </w:numPr>
        <w:spacing w:before="160" w:after="120" w:line="240" w:lineRule="auto"/>
        <w:ind w:left="709" w:hanging="709"/>
        <w:contextualSpacing w:val="0"/>
        <w:jc w:val="both"/>
        <w:outlineLvl w:val="1"/>
        <w:rPr>
          <w:rFonts w:asciiTheme="majorHAnsi" w:hAnsiTheme="majorHAnsi" w:cstheme="majorHAnsi"/>
          <w:b/>
          <w:sz w:val="24"/>
          <w:szCs w:val="20"/>
        </w:rPr>
      </w:pPr>
      <w:bookmarkStart w:id="418" w:name="_Toc415756031"/>
      <w:bookmarkStart w:id="419" w:name="_Toc415756397"/>
      <w:bookmarkStart w:id="420" w:name="_Toc415756756"/>
      <w:bookmarkStart w:id="421" w:name="_Toc415757006"/>
      <w:bookmarkStart w:id="422" w:name="_Toc415757255"/>
      <w:bookmarkStart w:id="423" w:name="_Toc415757491"/>
      <w:bookmarkStart w:id="424" w:name="_Toc415757649"/>
      <w:bookmarkStart w:id="425" w:name="_Toc424050169"/>
      <w:bookmarkStart w:id="426" w:name="_Toc424050343"/>
      <w:bookmarkStart w:id="427" w:name="_Toc424050501"/>
      <w:bookmarkStart w:id="428" w:name="_Toc424112363"/>
      <w:bookmarkStart w:id="429" w:name="_Toc424119387"/>
      <w:bookmarkStart w:id="430" w:name="_Toc424119866"/>
      <w:bookmarkStart w:id="431" w:name="_Toc424120122"/>
      <w:bookmarkStart w:id="432" w:name="_Toc424120571"/>
      <w:bookmarkStart w:id="433" w:name="_Toc424126277"/>
      <w:bookmarkStart w:id="434" w:name="_Toc424138858"/>
      <w:bookmarkStart w:id="435" w:name="_Toc485214954"/>
      <w:bookmarkStart w:id="436" w:name="_Toc485378107"/>
      <w:bookmarkStart w:id="437" w:name="_Toc485378229"/>
      <w:bookmarkStart w:id="438" w:name="_Toc424119871"/>
      <w:bookmarkStart w:id="439" w:name="_Toc204678225"/>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r w:rsidRPr="006070EA">
        <w:rPr>
          <w:rFonts w:asciiTheme="majorHAnsi" w:hAnsiTheme="majorHAnsi" w:cstheme="majorHAnsi"/>
          <w:b/>
          <w:sz w:val="24"/>
          <w:szCs w:val="20"/>
        </w:rPr>
        <w:t>Vyhodnocení předpokládaných důsledků navrhovaného řešené na zemědělský půdní fond</w:t>
      </w:r>
      <w:bookmarkEnd w:id="438"/>
      <w:bookmarkEnd w:id="439"/>
    </w:p>
    <w:p w14:paraId="4B531E7A" w14:textId="261393E0" w:rsidR="0060574B" w:rsidRPr="006070EA" w:rsidRDefault="0060574B" w:rsidP="009A6481">
      <w:pPr>
        <w:spacing w:line="240" w:lineRule="auto"/>
        <w:ind w:firstLine="709"/>
        <w:jc w:val="both"/>
        <w:rPr>
          <w:rFonts w:asciiTheme="majorHAnsi" w:hAnsiTheme="majorHAnsi" w:cstheme="majorHAnsi"/>
          <w:sz w:val="18"/>
          <w:szCs w:val="20"/>
        </w:rPr>
      </w:pPr>
      <w:bookmarkStart w:id="440" w:name="_Toc424119872"/>
      <w:r w:rsidRPr="006070EA">
        <w:rPr>
          <w:rFonts w:asciiTheme="majorHAnsi" w:hAnsiTheme="majorHAnsi" w:cstheme="majorHAnsi"/>
          <w:sz w:val="18"/>
          <w:szCs w:val="20"/>
        </w:rPr>
        <w:t>Vyhodnocení předpokládaných důsledků navrhovaného řešení na zemědělský půdní fond (dále též jen „ZPF“) je zpracováno v souladu se zákonem č. 334/1992 Sb., o ochraně zemědělského půdního fondu, ve znění pozdějších předpisů, a v</w:t>
      </w:r>
      <w:r w:rsidR="003F5D13" w:rsidRPr="006070EA">
        <w:rPr>
          <w:rFonts w:asciiTheme="majorHAnsi" w:hAnsiTheme="majorHAnsi" w:cstheme="majorHAnsi"/>
          <w:sz w:val="18"/>
          <w:szCs w:val="20"/>
        </w:rPr>
        <w:t> </w:t>
      </w:r>
      <w:r w:rsidRPr="006070EA">
        <w:rPr>
          <w:rFonts w:asciiTheme="majorHAnsi" w:hAnsiTheme="majorHAnsi" w:cstheme="majorHAnsi"/>
          <w:sz w:val="18"/>
          <w:szCs w:val="20"/>
        </w:rPr>
        <w:t>souladu s vyhláškou MŽP č. 271/2019 Sb., kterou se upravují některé podrobnosti ochrany zemědělského půdního fondu.</w:t>
      </w:r>
    </w:p>
    <w:p w14:paraId="63EF1777" w14:textId="77777777" w:rsidR="009A6481" w:rsidRPr="006070EA" w:rsidRDefault="009A6481"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41" w:name="_Toc485214959"/>
      <w:bookmarkStart w:id="442" w:name="_Toc485378112"/>
      <w:bookmarkStart w:id="443" w:name="_Toc485378234"/>
      <w:bookmarkStart w:id="444" w:name="_Toc204678226"/>
      <w:bookmarkEnd w:id="440"/>
      <w:bookmarkEnd w:id="441"/>
      <w:bookmarkEnd w:id="442"/>
      <w:bookmarkEnd w:id="443"/>
      <w:r w:rsidRPr="006070EA">
        <w:rPr>
          <w:rFonts w:asciiTheme="majorHAnsi" w:hAnsiTheme="majorHAnsi" w:cstheme="majorHAnsi"/>
          <w:b/>
        </w:rPr>
        <w:t>Hranice zastavěného území</w:t>
      </w:r>
      <w:bookmarkEnd w:id="444"/>
    </w:p>
    <w:p w14:paraId="66642830" w14:textId="41455161" w:rsidR="009A6481" w:rsidRPr="006070EA" w:rsidRDefault="009A6481" w:rsidP="002F7E4D">
      <w:pPr>
        <w:pStyle w:val="Atext"/>
        <w:rPr>
          <w:rFonts w:asciiTheme="majorHAnsi" w:hAnsiTheme="majorHAnsi" w:cstheme="majorHAnsi"/>
        </w:rPr>
      </w:pPr>
      <w:r w:rsidRPr="00A76411">
        <w:rPr>
          <w:rFonts w:asciiTheme="majorHAnsi" w:hAnsiTheme="majorHAnsi" w:cstheme="majorHAnsi"/>
        </w:rPr>
        <w:t xml:space="preserve">Zastavěné území je vymezeno plně v souladu s § 58 zákona č. 183/2006 Sb., ve znění pozdějších předpisů. Vymezení hranice zastavěného území vychází z evidence pozemků v katastru nemovitostí, z hranice intravilánu a z analýzy stavu území provedené k datu </w:t>
      </w:r>
      <w:r w:rsidR="00C2266C" w:rsidRPr="00A76411">
        <w:rPr>
          <w:rFonts w:asciiTheme="majorHAnsi" w:hAnsiTheme="majorHAnsi" w:cstheme="majorHAnsi"/>
        </w:rPr>
        <w:t>5. 8. 2024</w:t>
      </w:r>
      <w:r w:rsidRPr="00A76411">
        <w:rPr>
          <w:rFonts w:asciiTheme="majorHAnsi" w:hAnsiTheme="majorHAnsi" w:cstheme="majorHAnsi"/>
        </w:rPr>
        <w:t xml:space="preserve">. Podrobné odůvodnění je uvedeno v kapitole </w:t>
      </w:r>
      <w:r w:rsidRPr="00A76411">
        <w:rPr>
          <w:rFonts w:asciiTheme="majorHAnsi" w:hAnsiTheme="majorHAnsi" w:cstheme="majorHAnsi"/>
          <w:i/>
        </w:rPr>
        <w:t>11.1 Odůvodnění vymezení zastavěného území</w:t>
      </w:r>
      <w:r w:rsidRPr="00A76411">
        <w:rPr>
          <w:rFonts w:asciiTheme="majorHAnsi" w:hAnsiTheme="majorHAnsi" w:cstheme="majorHAnsi"/>
        </w:rPr>
        <w:t xml:space="preserve">. Hranice zastavěného území je zobrazena ve výkrese </w:t>
      </w:r>
      <w:r w:rsidR="003F5D13" w:rsidRPr="00A76411">
        <w:rPr>
          <w:rFonts w:asciiTheme="majorHAnsi" w:hAnsiTheme="majorHAnsi" w:cstheme="majorHAnsi"/>
          <w:i/>
        </w:rPr>
        <w:t>6</w:t>
      </w:r>
      <w:r w:rsidRPr="00A76411">
        <w:rPr>
          <w:rFonts w:asciiTheme="majorHAnsi" w:hAnsiTheme="majorHAnsi" w:cstheme="majorHAnsi"/>
          <w:i/>
        </w:rPr>
        <w:t xml:space="preserve"> Výkres předpokládaných záborů půdního fondu</w:t>
      </w:r>
      <w:r w:rsidR="00531B60" w:rsidRPr="00A76411">
        <w:rPr>
          <w:rFonts w:asciiTheme="majorHAnsi" w:hAnsiTheme="majorHAnsi" w:cstheme="majorHAnsi"/>
          <w:i/>
        </w:rPr>
        <w:t xml:space="preserve"> </w:t>
      </w:r>
      <w:r w:rsidR="00531B60" w:rsidRPr="00A76411">
        <w:rPr>
          <w:rFonts w:asciiTheme="majorHAnsi" w:hAnsiTheme="majorHAnsi" w:cstheme="majorHAnsi"/>
        </w:rPr>
        <w:t xml:space="preserve">grafické části Odůvodnění ÚP </w:t>
      </w:r>
      <w:r w:rsidR="00AB6B5E" w:rsidRPr="00A76411">
        <w:rPr>
          <w:rFonts w:asciiTheme="majorHAnsi" w:hAnsiTheme="majorHAnsi" w:cstheme="majorHAnsi"/>
        </w:rPr>
        <w:t>Kostomlaty nad Labem</w:t>
      </w:r>
      <w:r w:rsidRPr="00A76411">
        <w:rPr>
          <w:rFonts w:asciiTheme="majorHAnsi" w:hAnsiTheme="majorHAnsi" w:cstheme="majorHAnsi"/>
        </w:rPr>
        <w:t>.</w:t>
      </w:r>
    </w:p>
    <w:p w14:paraId="2B66B239"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45" w:name="_Toc424119873"/>
      <w:bookmarkStart w:id="446" w:name="_Toc204678227"/>
      <w:r w:rsidRPr="006070EA">
        <w:rPr>
          <w:rFonts w:asciiTheme="majorHAnsi" w:hAnsiTheme="majorHAnsi" w:cstheme="majorHAnsi"/>
          <w:b/>
        </w:rPr>
        <w:t>Struktura využití pozemků</w:t>
      </w:r>
      <w:bookmarkEnd w:id="445"/>
      <w:bookmarkEnd w:id="446"/>
    </w:p>
    <w:p w14:paraId="1DD0070E" w14:textId="77777777" w:rsidR="009A6481" w:rsidRPr="006070EA" w:rsidRDefault="009E33CB" w:rsidP="00A76C42">
      <w:pPr>
        <w:spacing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Zemědělský půdní fond tvoří dle zákona č. 334/1992 Sb., o ochraně zemědělského půdního fondu, ve znění pozdějších předpisů, pozemky zemědělsky obhospodařované, tedy ornou půdu, chmelnice, vinice, zahrady, ovocné sady, louky, pastviny a půdu, která byla a má být nadále zemědělsky obhospodařována, ale dočasně obdělávána není. </w:t>
      </w:r>
    </w:p>
    <w:p w14:paraId="4A1E663D" w14:textId="47BD68C6" w:rsidR="00C52A2E" w:rsidRPr="006070EA" w:rsidRDefault="00C52A2E" w:rsidP="003F5D13">
      <w:pPr>
        <w:keepNext/>
        <w:autoSpaceDE w:val="0"/>
        <w:autoSpaceDN w:val="0"/>
        <w:adjustRightInd w:val="0"/>
        <w:spacing w:before="120" w:after="60"/>
        <w:jc w:val="both"/>
        <w:rPr>
          <w:rFonts w:asciiTheme="majorHAnsi" w:hAnsiTheme="majorHAnsi" w:cstheme="majorHAnsi"/>
          <w:i/>
          <w:iCs/>
          <w:color w:val="000000"/>
          <w:sz w:val="18"/>
          <w:szCs w:val="18"/>
        </w:rPr>
      </w:pPr>
      <w:r w:rsidRPr="006070EA">
        <w:rPr>
          <w:rFonts w:asciiTheme="majorHAnsi" w:hAnsiTheme="majorHAnsi" w:cstheme="majorHAnsi"/>
          <w:i/>
          <w:iCs/>
          <w:color w:val="000000"/>
          <w:sz w:val="18"/>
          <w:szCs w:val="18"/>
        </w:rPr>
        <w:t>Tab.: Zemědělský půdní fond, stav k 31. 12. 2015</w:t>
      </w:r>
    </w:p>
    <w:tbl>
      <w:tblPr>
        <w:tblW w:w="9191" w:type="dxa"/>
        <w:tblBorders>
          <w:insideH w:val="single" w:sz="6" w:space="0" w:color="000000"/>
          <w:insideV w:val="single" w:sz="6" w:space="0" w:color="000000"/>
        </w:tblBorders>
        <w:tblLook w:val="0000" w:firstRow="0" w:lastRow="0" w:firstColumn="0" w:lastColumn="0" w:noHBand="0" w:noVBand="0"/>
      </w:tblPr>
      <w:tblGrid>
        <w:gridCol w:w="1077"/>
        <w:gridCol w:w="1069"/>
        <w:gridCol w:w="1077"/>
        <w:gridCol w:w="1069"/>
        <w:gridCol w:w="717"/>
        <w:gridCol w:w="1069"/>
        <w:gridCol w:w="769"/>
        <w:gridCol w:w="798"/>
        <w:gridCol w:w="767"/>
        <w:gridCol w:w="779"/>
      </w:tblGrid>
      <w:tr w:rsidR="00C52A2E" w:rsidRPr="006070EA" w14:paraId="621BACF2" w14:textId="77777777" w:rsidTr="00106C28">
        <w:trPr>
          <w:trHeight w:val="1535"/>
        </w:trPr>
        <w:tc>
          <w:tcPr>
            <w:tcW w:w="1077" w:type="dxa"/>
            <w:vAlign w:val="center"/>
          </w:tcPr>
          <w:p w14:paraId="74659C99"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Obec</w:t>
            </w:r>
          </w:p>
        </w:tc>
        <w:tc>
          <w:tcPr>
            <w:tcW w:w="0" w:type="auto"/>
            <w:vAlign w:val="center"/>
          </w:tcPr>
          <w:p w14:paraId="79359270"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zemědělské půdy z celkové</w:t>
            </w:r>
          </w:p>
          <w:p w14:paraId="173FD271"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výměry (%)</w:t>
            </w:r>
          </w:p>
        </w:tc>
        <w:tc>
          <w:tcPr>
            <w:tcW w:w="0" w:type="auto"/>
            <w:vAlign w:val="center"/>
          </w:tcPr>
          <w:p w14:paraId="0679075B"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Zemědělská půda (ha)</w:t>
            </w:r>
          </w:p>
        </w:tc>
        <w:tc>
          <w:tcPr>
            <w:tcW w:w="0" w:type="auto"/>
            <w:vAlign w:val="center"/>
          </w:tcPr>
          <w:p w14:paraId="6C1BDA6A"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orné půdy ze zemědělské</w:t>
            </w:r>
          </w:p>
          <w:p w14:paraId="039702BB"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půdy (%)</w:t>
            </w:r>
          </w:p>
        </w:tc>
        <w:tc>
          <w:tcPr>
            <w:tcW w:w="0" w:type="auto"/>
            <w:vAlign w:val="center"/>
          </w:tcPr>
          <w:p w14:paraId="53507AE7"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Orná půda (ha)</w:t>
            </w:r>
          </w:p>
        </w:tc>
        <w:tc>
          <w:tcPr>
            <w:tcW w:w="0" w:type="auto"/>
            <w:vAlign w:val="center"/>
          </w:tcPr>
          <w:p w14:paraId="5187C7E2"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Podíl trvalých travních porostů ze zemědělské půdy (%)</w:t>
            </w:r>
          </w:p>
        </w:tc>
        <w:tc>
          <w:tcPr>
            <w:tcW w:w="0" w:type="auto"/>
            <w:vAlign w:val="center"/>
          </w:tcPr>
          <w:p w14:paraId="610C0C61"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Trvalé travní porosty (ha)</w:t>
            </w:r>
          </w:p>
        </w:tc>
        <w:tc>
          <w:tcPr>
            <w:tcW w:w="0" w:type="auto"/>
            <w:vAlign w:val="center"/>
          </w:tcPr>
          <w:p w14:paraId="2643D8EE"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Zahrady (ha)</w:t>
            </w:r>
          </w:p>
        </w:tc>
        <w:tc>
          <w:tcPr>
            <w:tcW w:w="0" w:type="auto"/>
            <w:vAlign w:val="center"/>
          </w:tcPr>
          <w:p w14:paraId="13E5E753"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Ovocné sady (ha)</w:t>
            </w:r>
          </w:p>
        </w:tc>
        <w:tc>
          <w:tcPr>
            <w:tcW w:w="0" w:type="auto"/>
            <w:vAlign w:val="center"/>
          </w:tcPr>
          <w:p w14:paraId="75E80BDA"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b/>
                <w:bCs/>
                <w:color w:val="000000"/>
                <w:sz w:val="18"/>
                <w:szCs w:val="18"/>
              </w:rPr>
              <w:t>Celková výměra (ha)</w:t>
            </w:r>
          </w:p>
        </w:tc>
      </w:tr>
      <w:tr w:rsidR="00C52A2E" w:rsidRPr="006070EA" w14:paraId="122FCC33" w14:textId="77777777" w:rsidTr="00106C28">
        <w:trPr>
          <w:trHeight w:val="98"/>
        </w:trPr>
        <w:tc>
          <w:tcPr>
            <w:tcW w:w="1077" w:type="dxa"/>
            <w:vAlign w:val="center"/>
          </w:tcPr>
          <w:p w14:paraId="5AC69867"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Kostomlaty nad Labem</w:t>
            </w:r>
          </w:p>
        </w:tc>
        <w:tc>
          <w:tcPr>
            <w:tcW w:w="0" w:type="auto"/>
            <w:vAlign w:val="center"/>
          </w:tcPr>
          <w:p w14:paraId="0FD1951E"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82,9</w:t>
            </w:r>
          </w:p>
        </w:tc>
        <w:tc>
          <w:tcPr>
            <w:tcW w:w="0" w:type="auto"/>
            <w:vAlign w:val="center"/>
          </w:tcPr>
          <w:p w14:paraId="76525060"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1494,8</w:t>
            </w:r>
          </w:p>
        </w:tc>
        <w:tc>
          <w:tcPr>
            <w:tcW w:w="0" w:type="auto"/>
            <w:vAlign w:val="center"/>
          </w:tcPr>
          <w:p w14:paraId="4EE260B8"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92,4</w:t>
            </w:r>
          </w:p>
        </w:tc>
        <w:tc>
          <w:tcPr>
            <w:tcW w:w="0" w:type="auto"/>
            <w:vAlign w:val="center"/>
          </w:tcPr>
          <w:p w14:paraId="5DA557C5"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1380,6</w:t>
            </w:r>
          </w:p>
        </w:tc>
        <w:tc>
          <w:tcPr>
            <w:tcW w:w="0" w:type="auto"/>
            <w:vAlign w:val="center"/>
          </w:tcPr>
          <w:p w14:paraId="2B25141C"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4,6</w:t>
            </w:r>
          </w:p>
        </w:tc>
        <w:tc>
          <w:tcPr>
            <w:tcW w:w="0" w:type="auto"/>
            <w:vAlign w:val="center"/>
          </w:tcPr>
          <w:p w14:paraId="48812D18"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68,2</w:t>
            </w:r>
          </w:p>
        </w:tc>
        <w:tc>
          <w:tcPr>
            <w:tcW w:w="0" w:type="auto"/>
            <w:vAlign w:val="center"/>
          </w:tcPr>
          <w:p w14:paraId="1EABD108"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43,9</w:t>
            </w:r>
          </w:p>
        </w:tc>
        <w:tc>
          <w:tcPr>
            <w:tcW w:w="0" w:type="auto"/>
            <w:vAlign w:val="center"/>
          </w:tcPr>
          <w:p w14:paraId="407ED52E"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2,1</w:t>
            </w:r>
          </w:p>
        </w:tc>
        <w:tc>
          <w:tcPr>
            <w:tcW w:w="0" w:type="auto"/>
            <w:vAlign w:val="center"/>
          </w:tcPr>
          <w:p w14:paraId="5CC5252B" w14:textId="77777777" w:rsidR="00C52A2E" w:rsidRPr="006070EA" w:rsidRDefault="00C52A2E" w:rsidP="00AB6B5E">
            <w:pPr>
              <w:autoSpaceDE w:val="0"/>
              <w:autoSpaceDN w:val="0"/>
              <w:adjustRightInd w:val="0"/>
              <w:spacing w:after="0"/>
              <w:jc w:val="center"/>
              <w:rPr>
                <w:rFonts w:asciiTheme="majorHAnsi" w:hAnsiTheme="majorHAnsi" w:cstheme="majorHAnsi"/>
                <w:color w:val="000000"/>
                <w:sz w:val="18"/>
                <w:szCs w:val="18"/>
              </w:rPr>
            </w:pPr>
            <w:r w:rsidRPr="006070EA">
              <w:rPr>
                <w:rFonts w:asciiTheme="majorHAnsi" w:hAnsiTheme="majorHAnsi" w:cstheme="majorHAnsi"/>
                <w:color w:val="000000"/>
                <w:sz w:val="18"/>
                <w:szCs w:val="18"/>
              </w:rPr>
              <w:t>1803,9</w:t>
            </w:r>
          </w:p>
        </w:tc>
      </w:tr>
    </w:tbl>
    <w:p w14:paraId="0E33E47D" w14:textId="77777777" w:rsidR="00C52A2E" w:rsidRPr="006070EA" w:rsidRDefault="00C52A2E" w:rsidP="00EF7B4B">
      <w:pPr>
        <w:autoSpaceDE w:val="0"/>
        <w:autoSpaceDN w:val="0"/>
        <w:adjustRightInd w:val="0"/>
        <w:spacing w:before="120" w:after="120"/>
        <w:jc w:val="both"/>
        <w:rPr>
          <w:rFonts w:asciiTheme="majorHAnsi" w:hAnsiTheme="majorHAnsi" w:cstheme="majorHAnsi"/>
          <w:color w:val="000000"/>
          <w:sz w:val="18"/>
          <w:szCs w:val="18"/>
          <w:u w:val="single"/>
          <w:lang w:eastAsia="cs-CZ"/>
        </w:rPr>
      </w:pPr>
      <w:r w:rsidRPr="006070EA">
        <w:rPr>
          <w:rFonts w:asciiTheme="majorHAnsi" w:hAnsiTheme="majorHAnsi" w:cstheme="majorHAnsi"/>
          <w:bCs/>
          <w:color w:val="000000"/>
          <w:sz w:val="18"/>
          <w:szCs w:val="18"/>
          <w:u w:val="single"/>
          <w:lang w:eastAsia="cs-CZ"/>
        </w:rPr>
        <w:t xml:space="preserve">Zemědělský půdní fond </w:t>
      </w:r>
    </w:p>
    <w:p w14:paraId="77D15085" w14:textId="6245DC86" w:rsidR="00C52A2E" w:rsidRPr="006070EA" w:rsidRDefault="00C52A2E" w:rsidP="00C52A2E">
      <w:pPr>
        <w:autoSpaceDE w:val="0"/>
        <w:autoSpaceDN w:val="0"/>
        <w:adjustRightInd w:val="0"/>
        <w:spacing w:before="120" w:after="120"/>
        <w:jc w:val="both"/>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ab/>
        <w:t>Na území SO ORP Nymburk zemědělství obhospodařuje celkem plochu 24990,8 ha zemědělské půdy, ta představuje 70,29</w:t>
      </w:r>
      <w:r w:rsidR="00E94A62" w:rsidRPr="006070EA">
        <w:rPr>
          <w:rFonts w:asciiTheme="majorHAnsi" w:hAnsiTheme="majorHAnsi" w:cstheme="majorHAnsi"/>
          <w:color w:val="000000"/>
          <w:sz w:val="18"/>
          <w:szCs w:val="18"/>
          <w:lang w:eastAsia="cs-CZ"/>
        </w:rPr>
        <w:t xml:space="preserve"> </w:t>
      </w:r>
      <w:r w:rsidRPr="006070EA">
        <w:rPr>
          <w:rFonts w:asciiTheme="majorHAnsi" w:hAnsiTheme="majorHAnsi" w:cstheme="majorHAnsi"/>
          <w:color w:val="000000"/>
          <w:sz w:val="18"/>
          <w:szCs w:val="18"/>
          <w:lang w:eastAsia="cs-CZ"/>
        </w:rPr>
        <w:t xml:space="preserve">% z celkové rozlohy území SO ORP, což </w:t>
      </w:r>
      <w:r w:rsidR="003F5D13" w:rsidRPr="006070EA">
        <w:rPr>
          <w:rFonts w:asciiTheme="majorHAnsi" w:hAnsiTheme="majorHAnsi" w:cstheme="majorHAnsi"/>
          <w:color w:val="000000"/>
          <w:sz w:val="18"/>
          <w:szCs w:val="18"/>
          <w:lang w:eastAsia="cs-CZ"/>
        </w:rPr>
        <w:t xml:space="preserve">ukazuje na </w:t>
      </w:r>
      <w:r w:rsidRPr="006070EA">
        <w:rPr>
          <w:rFonts w:asciiTheme="majorHAnsi" w:hAnsiTheme="majorHAnsi" w:cstheme="majorHAnsi"/>
          <w:color w:val="000000"/>
          <w:sz w:val="18"/>
          <w:szCs w:val="18"/>
          <w:lang w:eastAsia="cs-CZ"/>
        </w:rPr>
        <w:t>úbytek zemědělské půdy o</w:t>
      </w:r>
      <w:r w:rsidR="00E94A62" w:rsidRPr="006070EA">
        <w:rPr>
          <w:rFonts w:asciiTheme="majorHAnsi" w:hAnsiTheme="majorHAnsi" w:cstheme="majorHAnsi"/>
          <w:color w:val="000000"/>
          <w:sz w:val="18"/>
          <w:szCs w:val="18"/>
          <w:lang w:eastAsia="cs-CZ"/>
        </w:rPr>
        <w:t> </w:t>
      </w:r>
      <w:r w:rsidRPr="006070EA">
        <w:rPr>
          <w:rFonts w:asciiTheme="majorHAnsi" w:hAnsiTheme="majorHAnsi" w:cstheme="majorHAnsi"/>
          <w:color w:val="000000"/>
          <w:sz w:val="18"/>
          <w:szCs w:val="18"/>
          <w:lang w:eastAsia="cs-CZ"/>
        </w:rPr>
        <w:t>22 ha</w:t>
      </w:r>
      <w:r w:rsidR="003F5D13" w:rsidRPr="006070EA">
        <w:rPr>
          <w:rFonts w:asciiTheme="majorHAnsi" w:hAnsiTheme="majorHAnsi" w:cstheme="majorHAnsi"/>
          <w:color w:val="000000"/>
          <w:sz w:val="18"/>
          <w:szCs w:val="18"/>
          <w:lang w:eastAsia="cs-CZ"/>
        </w:rPr>
        <w:t xml:space="preserve"> od 3. úplné aktualizace ÚAP v roce 2014</w:t>
      </w:r>
      <w:r w:rsidRPr="006070EA">
        <w:rPr>
          <w:rFonts w:asciiTheme="majorHAnsi" w:hAnsiTheme="majorHAnsi" w:cstheme="majorHAnsi"/>
          <w:color w:val="000000"/>
          <w:sz w:val="18"/>
          <w:szCs w:val="18"/>
          <w:lang w:eastAsia="cs-CZ"/>
        </w:rPr>
        <w:t>. Charakteristické je vysoké zornění zemědělské půdy, kdy se orná půda podílí 91 % (22747,4 ha) ze zemědělské půdy, orná půda se tak podílí 64 % na celkové výměře SO ORP Nymburk.</w:t>
      </w:r>
      <w:r w:rsidRPr="006070EA">
        <w:rPr>
          <w:rFonts w:asciiTheme="majorHAnsi" w:hAnsiTheme="majorHAnsi" w:cstheme="majorHAnsi"/>
          <w:i/>
          <w:color w:val="000000"/>
          <w:sz w:val="18"/>
          <w:szCs w:val="18"/>
          <w:lang w:eastAsia="cs-CZ"/>
        </w:rPr>
        <w:t xml:space="preserve"> </w:t>
      </w:r>
    </w:p>
    <w:p w14:paraId="340AF89A" w14:textId="462694B9" w:rsidR="00C52A2E" w:rsidRPr="006070EA" w:rsidRDefault="00C52A2E" w:rsidP="00C52A2E">
      <w:pPr>
        <w:autoSpaceDE w:val="0"/>
        <w:autoSpaceDN w:val="0"/>
        <w:adjustRightInd w:val="0"/>
        <w:spacing w:before="120" w:after="120"/>
        <w:jc w:val="both"/>
        <w:rPr>
          <w:rFonts w:asciiTheme="majorHAnsi" w:hAnsiTheme="majorHAnsi" w:cstheme="majorHAnsi"/>
          <w:color w:val="000000"/>
          <w:sz w:val="18"/>
          <w:szCs w:val="18"/>
          <w:lang w:eastAsia="cs-CZ"/>
        </w:rPr>
      </w:pPr>
      <w:r w:rsidRPr="006070EA">
        <w:rPr>
          <w:rFonts w:asciiTheme="majorHAnsi" w:hAnsiTheme="majorHAnsi" w:cstheme="majorHAnsi"/>
          <w:color w:val="000000"/>
          <w:sz w:val="18"/>
          <w:szCs w:val="18"/>
          <w:lang w:eastAsia="cs-CZ"/>
        </w:rPr>
        <w:tab/>
        <w:t xml:space="preserve">V řešeném území Kostomlat nad Labem lze pozorovat podobný trend rozdělení ploch, kdy plocha zemědělské půdy představuje celkem 83 % v území a </w:t>
      </w:r>
      <w:r w:rsidR="003F5D13" w:rsidRPr="006070EA">
        <w:rPr>
          <w:rFonts w:asciiTheme="majorHAnsi" w:hAnsiTheme="majorHAnsi" w:cstheme="majorHAnsi"/>
          <w:color w:val="000000"/>
          <w:sz w:val="18"/>
          <w:szCs w:val="18"/>
          <w:lang w:eastAsia="cs-CZ"/>
        </w:rPr>
        <w:t xml:space="preserve">sestává především z </w:t>
      </w:r>
      <w:r w:rsidRPr="006070EA">
        <w:rPr>
          <w:rFonts w:asciiTheme="majorHAnsi" w:hAnsiTheme="majorHAnsi" w:cstheme="majorHAnsi"/>
          <w:color w:val="000000"/>
          <w:sz w:val="18"/>
          <w:szCs w:val="18"/>
          <w:lang w:eastAsia="cs-CZ"/>
        </w:rPr>
        <w:t>orn</w:t>
      </w:r>
      <w:r w:rsidR="003F5D13" w:rsidRPr="006070EA">
        <w:rPr>
          <w:rFonts w:asciiTheme="majorHAnsi" w:hAnsiTheme="majorHAnsi" w:cstheme="majorHAnsi"/>
          <w:color w:val="000000"/>
          <w:sz w:val="18"/>
          <w:szCs w:val="18"/>
          <w:lang w:eastAsia="cs-CZ"/>
        </w:rPr>
        <w:t>é</w:t>
      </w:r>
      <w:r w:rsidRPr="006070EA">
        <w:rPr>
          <w:rFonts w:asciiTheme="majorHAnsi" w:hAnsiTheme="majorHAnsi" w:cstheme="majorHAnsi"/>
          <w:color w:val="000000"/>
          <w:sz w:val="18"/>
          <w:szCs w:val="18"/>
          <w:lang w:eastAsia="cs-CZ"/>
        </w:rPr>
        <w:t xml:space="preserve"> půd</w:t>
      </w:r>
      <w:r w:rsidR="003F5D13" w:rsidRPr="006070EA">
        <w:rPr>
          <w:rFonts w:asciiTheme="majorHAnsi" w:hAnsiTheme="majorHAnsi" w:cstheme="majorHAnsi"/>
          <w:color w:val="000000"/>
          <w:sz w:val="18"/>
          <w:szCs w:val="18"/>
          <w:lang w:eastAsia="cs-CZ"/>
        </w:rPr>
        <w:t>y</w:t>
      </w:r>
      <w:r w:rsidRPr="006070EA">
        <w:rPr>
          <w:rFonts w:asciiTheme="majorHAnsi" w:hAnsiTheme="majorHAnsi" w:cstheme="majorHAnsi"/>
          <w:color w:val="000000"/>
          <w:sz w:val="18"/>
          <w:szCs w:val="18"/>
          <w:lang w:eastAsia="cs-CZ"/>
        </w:rPr>
        <w:t xml:space="preserve"> </w:t>
      </w:r>
      <w:r w:rsidR="003F5D13" w:rsidRPr="006070EA">
        <w:rPr>
          <w:rFonts w:asciiTheme="majorHAnsi" w:hAnsiTheme="majorHAnsi" w:cstheme="majorHAnsi"/>
          <w:color w:val="000000"/>
          <w:sz w:val="18"/>
          <w:szCs w:val="18"/>
          <w:lang w:eastAsia="cs-CZ"/>
        </w:rPr>
        <w:t>(</w:t>
      </w:r>
      <w:r w:rsidRPr="006070EA">
        <w:rPr>
          <w:rFonts w:asciiTheme="majorHAnsi" w:hAnsiTheme="majorHAnsi" w:cstheme="majorHAnsi"/>
          <w:color w:val="000000"/>
          <w:sz w:val="18"/>
          <w:szCs w:val="18"/>
          <w:lang w:eastAsia="cs-CZ"/>
        </w:rPr>
        <w:t>92,4 % ze zemědělské půdy</w:t>
      </w:r>
      <w:r w:rsidR="003F5D13" w:rsidRPr="006070EA">
        <w:rPr>
          <w:rFonts w:asciiTheme="majorHAnsi" w:hAnsiTheme="majorHAnsi" w:cstheme="majorHAnsi"/>
          <w:color w:val="000000"/>
          <w:sz w:val="18"/>
          <w:szCs w:val="18"/>
          <w:lang w:eastAsia="cs-CZ"/>
        </w:rPr>
        <w:t>)</w:t>
      </w:r>
      <w:r w:rsidRPr="006070EA">
        <w:rPr>
          <w:rFonts w:asciiTheme="majorHAnsi" w:hAnsiTheme="majorHAnsi" w:cstheme="majorHAnsi"/>
          <w:color w:val="000000"/>
          <w:sz w:val="18"/>
          <w:szCs w:val="18"/>
          <w:lang w:eastAsia="cs-CZ"/>
        </w:rPr>
        <w:t>.</w:t>
      </w:r>
    </w:p>
    <w:p w14:paraId="704E5C2D" w14:textId="7091F00C" w:rsidR="00C52A2E" w:rsidRPr="006070EA" w:rsidRDefault="00C52A2E" w:rsidP="003F5D13">
      <w:pPr>
        <w:keepNext/>
        <w:autoSpaceDE w:val="0"/>
        <w:autoSpaceDN w:val="0"/>
        <w:adjustRightInd w:val="0"/>
        <w:spacing w:before="120" w:after="60"/>
        <w:jc w:val="both"/>
        <w:rPr>
          <w:rFonts w:asciiTheme="majorHAnsi" w:hAnsiTheme="majorHAnsi" w:cstheme="majorHAnsi"/>
          <w:i/>
          <w:iCs/>
          <w:color w:val="000000"/>
          <w:sz w:val="18"/>
          <w:szCs w:val="18"/>
        </w:rPr>
      </w:pPr>
      <w:r w:rsidRPr="006070EA">
        <w:rPr>
          <w:rFonts w:asciiTheme="majorHAnsi" w:hAnsiTheme="majorHAnsi" w:cstheme="majorHAnsi"/>
          <w:i/>
          <w:iCs/>
          <w:color w:val="000000"/>
          <w:sz w:val="18"/>
          <w:szCs w:val="18"/>
        </w:rPr>
        <w:t>Tab. Využití pozemků v obci Kostomlaty nad Labem (k 31. 12. 2016, dle ČSÚ)</w:t>
      </w:r>
    </w:p>
    <w:tbl>
      <w:tblPr>
        <w:tblW w:w="0" w:type="auto"/>
        <w:jc w:val="center"/>
        <w:tblBorders>
          <w:insideH w:val="single" w:sz="4" w:space="0" w:color="auto"/>
          <w:insideV w:val="single" w:sz="4" w:space="0" w:color="auto"/>
        </w:tblBorders>
        <w:tblLook w:val="04A0" w:firstRow="1" w:lastRow="0" w:firstColumn="1" w:lastColumn="0" w:noHBand="0" w:noVBand="1"/>
      </w:tblPr>
      <w:tblGrid>
        <w:gridCol w:w="1804"/>
        <w:gridCol w:w="1080"/>
        <w:gridCol w:w="1850"/>
      </w:tblGrid>
      <w:tr w:rsidR="00C52A2E" w:rsidRPr="006070EA" w14:paraId="690BBC63" w14:textId="77777777" w:rsidTr="00543041">
        <w:trPr>
          <w:cantSplit/>
          <w:trHeight w:val="227"/>
          <w:tblHeader/>
          <w:jc w:val="center"/>
        </w:trPr>
        <w:tc>
          <w:tcPr>
            <w:tcW w:w="0" w:type="auto"/>
            <w:tcBorders>
              <w:top w:val="nil"/>
              <w:left w:val="nil"/>
              <w:bottom w:val="single" w:sz="12" w:space="0" w:color="auto"/>
              <w:right w:val="single" w:sz="12" w:space="0" w:color="auto"/>
            </w:tcBorders>
            <w:vAlign w:val="center"/>
            <w:hideMark/>
          </w:tcPr>
          <w:p w14:paraId="09332622" w14:textId="77777777" w:rsidR="00C52A2E" w:rsidRPr="006070EA" w:rsidRDefault="00C52A2E" w:rsidP="000E35EE">
            <w:pPr>
              <w:pStyle w:val="Bezmezer"/>
              <w:keepNext/>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druh pozemku</w:t>
            </w:r>
          </w:p>
        </w:tc>
        <w:tc>
          <w:tcPr>
            <w:tcW w:w="0" w:type="auto"/>
            <w:tcBorders>
              <w:top w:val="nil"/>
              <w:left w:val="single" w:sz="12" w:space="0" w:color="auto"/>
              <w:bottom w:val="single" w:sz="12" w:space="0" w:color="auto"/>
              <w:right w:val="single" w:sz="12" w:space="0" w:color="auto"/>
            </w:tcBorders>
            <w:vAlign w:val="center"/>
            <w:hideMark/>
          </w:tcPr>
          <w:p w14:paraId="0A4A9C87" w14:textId="77777777" w:rsidR="00C52A2E" w:rsidRPr="006070EA" w:rsidRDefault="00C52A2E" w:rsidP="00543041">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výměra [ha]</w:t>
            </w:r>
          </w:p>
        </w:tc>
        <w:tc>
          <w:tcPr>
            <w:tcW w:w="0" w:type="auto"/>
            <w:tcBorders>
              <w:top w:val="nil"/>
              <w:left w:val="single" w:sz="12" w:space="0" w:color="auto"/>
              <w:bottom w:val="single" w:sz="12" w:space="0" w:color="auto"/>
              <w:right w:val="nil"/>
            </w:tcBorders>
            <w:vAlign w:val="center"/>
            <w:hideMark/>
          </w:tcPr>
          <w:p w14:paraId="6B63A708" w14:textId="649A5186" w:rsidR="00C52A2E" w:rsidRPr="006070EA" w:rsidRDefault="00C52A2E" w:rsidP="00543041">
            <w:pPr>
              <w:pStyle w:val="Bezmezer"/>
              <w:keepNext/>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podíl z celkové výměry</w:t>
            </w:r>
          </w:p>
        </w:tc>
      </w:tr>
      <w:tr w:rsidR="00C52A2E" w:rsidRPr="006070EA" w14:paraId="7773BAB6" w14:textId="77777777" w:rsidTr="00543041">
        <w:trPr>
          <w:trHeight w:val="227"/>
          <w:jc w:val="center"/>
        </w:trPr>
        <w:tc>
          <w:tcPr>
            <w:tcW w:w="0" w:type="auto"/>
            <w:tcBorders>
              <w:top w:val="single" w:sz="12" w:space="0" w:color="auto"/>
              <w:left w:val="nil"/>
              <w:bottom w:val="single" w:sz="4" w:space="0" w:color="auto"/>
              <w:right w:val="single" w:sz="4" w:space="0" w:color="auto"/>
            </w:tcBorders>
            <w:vAlign w:val="center"/>
            <w:hideMark/>
          </w:tcPr>
          <w:p w14:paraId="0247241F" w14:textId="77777777" w:rsidR="00C52A2E" w:rsidRPr="006070EA" w:rsidRDefault="00C52A2E" w:rsidP="000E35EE">
            <w:pPr>
              <w:pStyle w:val="Bezmez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výměra celkem</w:t>
            </w:r>
          </w:p>
        </w:tc>
        <w:tc>
          <w:tcPr>
            <w:tcW w:w="0" w:type="auto"/>
            <w:tcBorders>
              <w:top w:val="single" w:sz="12" w:space="0" w:color="auto"/>
              <w:left w:val="single" w:sz="4" w:space="0" w:color="auto"/>
              <w:bottom w:val="single" w:sz="4" w:space="0" w:color="auto"/>
              <w:right w:val="single" w:sz="4" w:space="0" w:color="auto"/>
            </w:tcBorders>
            <w:vAlign w:val="center"/>
          </w:tcPr>
          <w:p w14:paraId="7E4159ED" w14:textId="77777777" w:rsidR="00C52A2E" w:rsidRPr="006070EA" w:rsidRDefault="00C52A2E" w:rsidP="00543041">
            <w:pPr>
              <w:pStyle w:val="Bezmezer"/>
              <w:jc w:val="center"/>
              <w:rPr>
                <w:rFonts w:asciiTheme="majorHAnsi" w:hAnsiTheme="majorHAnsi" w:cstheme="majorHAnsi"/>
                <w:b/>
                <w:color w:val="000000"/>
                <w:szCs w:val="18"/>
                <w:lang w:val="cs-CZ"/>
              </w:rPr>
            </w:pPr>
            <w:r w:rsidRPr="006070EA">
              <w:rPr>
                <w:rFonts w:asciiTheme="majorHAnsi" w:hAnsiTheme="majorHAnsi" w:cstheme="majorHAnsi"/>
                <w:color w:val="000000"/>
                <w:szCs w:val="18"/>
                <w:lang w:val="cs-CZ" w:eastAsia="cs-CZ"/>
              </w:rPr>
              <w:t>1 803,90</w:t>
            </w:r>
          </w:p>
        </w:tc>
        <w:tc>
          <w:tcPr>
            <w:tcW w:w="0" w:type="auto"/>
            <w:tcBorders>
              <w:top w:val="single" w:sz="12" w:space="0" w:color="auto"/>
              <w:left w:val="single" w:sz="4" w:space="0" w:color="auto"/>
              <w:bottom w:val="single" w:sz="4" w:space="0" w:color="auto"/>
              <w:right w:val="nil"/>
            </w:tcBorders>
            <w:vAlign w:val="center"/>
            <w:hideMark/>
          </w:tcPr>
          <w:p w14:paraId="2C23E0CC" w14:textId="77777777" w:rsidR="00C52A2E" w:rsidRPr="006070EA" w:rsidRDefault="00C52A2E" w:rsidP="00543041">
            <w:pPr>
              <w:pStyle w:val="Bezmezer"/>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100 %</w:t>
            </w:r>
          </w:p>
        </w:tc>
      </w:tr>
      <w:tr w:rsidR="00C52A2E" w:rsidRPr="006070EA" w14:paraId="084B165E" w14:textId="77777777" w:rsidTr="00543041">
        <w:trPr>
          <w:trHeight w:val="227"/>
          <w:jc w:val="center"/>
        </w:trPr>
        <w:tc>
          <w:tcPr>
            <w:tcW w:w="0" w:type="auto"/>
            <w:tcBorders>
              <w:top w:val="single" w:sz="4" w:space="0" w:color="auto"/>
              <w:left w:val="nil"/>
              <w:bottom w:val="single" w:sz="4" w:space="0" w:color="auto"/>
              <w:right w:val="single" w:sz="4" w:space="0" w:color="auto"/>
            </w:tcBorders>
            <w:vAlign w:val="center"/>
            <w:hideMark/>
          </w:tcPr>
          <w:p w14:paraId="2DCED8B2" w14:textId="77777777" w:rsidR="00C52A2E" w:rsidRPr="006070EA" w:rsidRDefault="00C52A2E" w:rsidP="000E35EE">
            <w:pPr>
              <w:pStyle w:val="Bezmez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zemědělská půda</w:t>
            </w:r>
          </w:p>
        </w:tc>
        <w:tc>
          <w:tcPr>
            <w:tcW w:w="0" w:type="auto"/>
            <w:tcBorders>
              <w:top w:val="single" w:sz="4" w:space="0" w:color="auto"/>
              <w:left w:val="single" w:sz="4" w:space="0" w:color="auto"/>
              <w:bottom w:val="single" w:sz="4" w:space="0" w:color="auto"/>
              <w:right w:val="single" w:sz="4" w:space="0" w:color="auto"/>
            </w:tcBorders>
            <w:vAlign w:val="center"/>
          </w:tcPr>
          <w:p w14:paraId="735BF2D0" w14:textId="77777777" w:rsidR="00C52A2E" w:rsidRPr="006070EA" w:rsidRDefault="00C52A2E" w:rsidP="00543041">
            <w:pPr>
              <w:pStyle w:val="Bezmezer"/>
              <w:jc w:val="center"/>
              <w:rPr>
                <w:rFonts w:asciiTheme="majorHAnsi" w:hAnsiTheme="majorHAnsi" w:cstheme="majorHAnsi"/>
                <w:b/>
                <w:color w:val="000000"/>
                <w:szCs w:val="18"/>
                <w:lang w:val="cs-CZ"/>
              </w:rPr>
            </w:pPr>
            <w:r w:rsidRPr="006070EA">
              <w:rPr>
                <w:rFonts w:asciiTheme="majorHAnsi" w:hAnsiTheme="majorHAnsi" w:cstheme="majorHAnsi"/>
                <w:color w:val="000000"/>
                <w:szCs w:val="18"/>
                <w:lang w:val="cs-CZ" w:eastAsia="cs-CZ"/>
              </w:rPr>
              <w:t>1 494,77</w:t>
            </w:r>
          </w:p>
        </w:tc>
        <w:tc>
          <w:tcPr>
            <w:tcW w:w="0" w:type="auto"/>
            <w:tcBorders>
              <w:top w:val="single" w:sz="4" w:space="0" w:color="auto"/>
              <w:left w:val="single" w:sz="4" w:space="0" w:color="auto"/>
              <w:bottom w:val="single" w:sz="4" w:space="0" w:color="auto"/>
              <w:right w:val="nil"/>
            </w:tcBorders>
            <w:vAlign w:val="center"/>
          </w:tcPr>
          <w:p w14:paraId="297F00B6" w14:textId="77777777" w:rsidR="00C52A2E" w:rsidRPr="006070EA" w:rsidRDefault="00C52A2E" w:rsidP="00543041">
            <w:pPr>
              <w:pStyle w:val="Bezmezer"/>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83 %</w:t>
            </w:r>
          </w:p>
        </w:tc>
      </w:tr>
      <w:tr w:rsidR="00C52A2E" w:rsidRPr="006070EA" w14:paraId="4039497C" w14:textId="77777777" w:rsidTr="00543041">
        <w:trPr>
          <w:trHeight w:val="227"/>
          <w:jc w:val="center"/>
        </w:trPr>
        <w:tc>
          <w:tcPr>
            <w:tcW w:w="0" w:type="auto"/>
            <w:tcBorders>
              <w:top w:val="single" w:sz="4" w:space="0" w:color="auto"/>
              <w:left w:val="nil"/>
              <w:bottom w:val="single" w:sz="4" w:space="0" w:color="auto"/>
              <w:right w:val="single" w:sz="4" w:space="0" w:color="auto"/>
            </w:tcBorders>
            <w:vAlign w:val="center"/>
            <w:hideMark/>
          </w:tcPr>
          <w:p w14:paraId="43A5DC3B" w14:textId="77777777" w:rsidR="00C52A2E" w:rsidRPr="006070EA" w:rsidRDefault="00C52A2E" w:rsidP="000E35EE">
            <w:pPr>
              <w:pStyle w:val="Bezmez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lastRenderedPageBreak/>
              <w:t xml:space="preserve">   orná půda</w:t>
            </w:r>
          </w:p>
        </w:tc>
        <w:tc>
          <w:tcPr>
            <w:tcW w:w="0" w:type="auto"/>
            <w:tcBorders>
              <w:top w:val="single" w:sz="4" w:space="0" w:color="auto"/>
              <w:left w:val="single" w:sz="4" w:space="0" w:color="auto"/>
              <w:bottom w:val="single" w:sz="4" w:space="0" w:color="auto"/>
              <w:right w:val="single" w:sz="4" w:space="0" w:color="auto"/>
            </w:tcBorders>
            <w:vAlign w:val="center"/>
          </w:tcPr>
          <w:p w14:paraId="4CFE933B"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eastAsia="cs-CZ"/>
              </w:rPr>
              <w:t>1 380,64</w:t>
            </w:r>
          </w:p>
        </w:tc>
        <w:tc>
          <w:tcPr>
            <w:tcW w:w="0" w:type="auto"/>
            <w:tcBorders>
              <w:top w:val="single" w:sz="4" w:space="0" w:color="auto"/>
              <w:left w:val="single" w:sz="4" w:space="0" w:color="auto"/>
              <w:bottom w:val="single" w:sz="4" w:space="0" w:color="auto"/>
              <w:right w:val="nil"/>
            </w:tcBorders>
            <w:vAlign w:val="center"/>
          </w:tcPr>
          <w:p w14:paraId="5D63296E"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92,4 %</w:t>
            </w:r>
          </w:p>
        </w:tc>
      </w:tr>
      <w:tr w:rsidR="00C52A2E" w:rsidRPr="006070EA" w14:paraId="20FD8F42" w14:textId="77777777" w:rsidTr="00543041">
        <w:trPr>
          <w:trHeight w:val="227"/>
          <w:jc w:val="center"/>
        </w:trPr>
        <w:tc>
          <w:tcPr>
            <w:tcW w:w="0" w:type="auto"/>
            <w:tcBorders>
              <w:top w:val="single" w:sz="4" w:space="0" w:color="auto"/>
              <w:left w:val="nil"/>
              <w:bottom w:val="single" w:sz="4" w:space="0" w:color="auto"/>
              <w:right w:val="single" w:sz="4" w:space="0" w:color="auto"/>
            </w:tcBorders>
            <w:vAlign w:val="center"/>
            <w:hideMark/>
          </w:tcPr>
          <w:p w14:paraId="70C502CB" w14:textId="77777777" w:rsidR="00C52A2E" w:rsidRPr="006070EA" w:rsidRDefault="00C52A2E" w:rsidP="000E35EE">
            <w:pPr>
              <w:pStyle w:val="Bezmez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   zahrady</w:t>
            </w:r>
          </w:p>
        </w:tc>
        <w:tc>
          <w:tcPr>
            <w:tcW w:w="0" w:type="auto"/>
            <w:tcBorders>
              <w:top w:val="single" w:sz="4" w:space="0" w:color="auto"/>
              <w:left w:val="single" w:sz="4" w:space="0" w:color="auto"/>
              <w:bottom w:val="single" w:sz="4" w:space="0" w:color="auto"/>
              <w:right w:val="single" w:sz="4" w:space="0" w:color="auto"/>
            </w:tcBorders>
            <w:vAlign w:val="center"/>
          </w:tcPr>
          <w:p w14:paraId="51092366"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eastAsia="cs-CZ"/>
              </w:rPr>
              <w:t>43,84</w:t>
            </w:r>
          </w:p>
        </w:tc>
        <w:tc>
          <w:tcPr>
            <w:tcW w:w="0" w:type="auto"/>
            <w:tcBorders>
              <w:top w:val="single" w:sz="4" w:space="0" w:color="auto"/>
              <w:left w:val="single" w:sz="4" w:space="0" w:color="auto"/>
              <w:bottom w:val="single" w:sz="4" w:space="0" w:color="auto"/>
              <w:right w:val="nil"/>
            </w:tcBorders>
            <w:vAlign w:val="center"/>
          </w:tcPr>
          <w:p w14:paraId="669FF16B"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3 %</w:t>
            </w:r>
          </w:p>
        </w:tc>
      </w:tr>
      <w:tr w:rsidR="00C52A2E" w:rsidRPr="006070EA" w14:paraId="4F70EAA1" w14:textId="77777777" w:rsidTr="00543041">
        <w:trPr>
          <w:trHeight w:val="227"/>
          <w:jc w:val="center"/>
        </w:trPr>
        <w:tc>
          <w:tcPr>
            <w:tcW w:w="0" w:type="auto"/>
            <w:tcBorders>
              <w:top w:val="single" w:sz="4" w:space="0" w:color="auto"/>
              <w:left w:val="nil"/>
              <w:bottom w:val="single" w:sz="4" w:space="0" w:color="auto"/>
              <w:right w:val="single" w:sz="4" w:space="0" w:color="auto"/>
            </w:tcBorders>
            <w:vAlign w:val="center"/>
            <w:hideMark/>
          </w:tcPr>
          <w:p w14:paraId="3A6D9458" w14:textId="77777777" w:rsidR="00C52A2E" w:rsidRPr="006070EA" w:rsidRDefault="00C52A2E" w:rsidP="000E35EE">
            <w:pPr>
              <w:pStyle w:val="Bezmez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   ovocné sady</w:t>
            </w:r>
          </w:p>
        </w:tc>
        <w:tc>
          <w:tcPr>
            <w:tcW w:w="0" w:type="auto"/>
            <w:tcBorders>
              <w:top w:val="single" w:sz="4" w:space="0" w:color="auto"/>
              <w:left w:val="single" w:sz="4" w:space="0" w:color="auto"/>
              <w:bottom w:val="single" w:sz="4" w:space="0" w:color="auto"/>
              <w:right w:val="single" w:sz="4" w:space="0" w:color="auto"/>
            </w:tcBorders>
            <w:vAlign w:val="center"/>
          </w:tcPr>
          <w:p w14:paraId="18E0C4BF"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eastAsia="cs-CZ"/>
              </w:rPr>
              <w:t>2,06</w:t>
            </w:r>
          </w:p>
        </w:tc>
        <w:tc>
          <w:tcPr>
            <w:tcW w:w="0" w:type="auto"/>
            <w:tcBorders>
              <w:top w:val="single" w:sz="4" w:space="0" w:color="auto"/>
              <w:left w:val="single" w:sz="4" w:space="0" w:color="auto"/>
              <w:bottom w:val="single" w:sz="4" w:space="0" w:color="auto"/>
              <w:right w:val="nil"/>
            </w:tcBorders>
            <w:vAlign w:val="center"/>
          </w:tcPr>
          <w:p w14:paraId="01E87F86"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0,1 %</w:t>
            </w:r>
          </w:p>
        </w:tc>
      </w:tr>
      <w:tr w:rsidR="00C52A2E" w:rsidRPr="006070EA" w14:paraId="332C7B35" w14:textId="77777777" w:rsidTr="00543041">
        <w:trPr>
          <w:trHeight w:val="227"/>
          <w:jc w:val="center"/>
        </w:trPr>
        <w:tc>
          <w:tcPr>
            <w:tcW w:w="0" w:type="auto"/>
            <w:tcBorders>
              <w:top w:val="single" w:sz="4" w:space="0" w:color="auto"/>
              <w:left w:val="nil"/>
              <w:bottom w:val="single" w:sz="4" w:space="0" w:color="auto"/>
              <w:right w:val="single" w:sz="4" w:space="0" w:color="auto"/>
            </w:tcBorders>
            <w:vAlign w:val="center"/>
            <w:hideMark/>
          </w:tcPr>
          <w:p w14:paraId="39E6101D" w14:textId="77777777" w:rsidR="00C52A2E" w:rsidRPr="006070EA" w:rsidRDefault="00C52A2E" w:rsidP="000E35EE">
            <w:pPr>
              <w:pStyle w:val="Bezmez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   trvalé travní porosty</w:t>
            </w:r>
          </w:p>
        </w:tc>
        <w:tc>
          <w:tcPr>
            <w:tcW w:w="0" w:type="auto"/>
            <w:tcBorders>
              <w:top w:val="single" w:sz="4" w:space="0" w:color="auto"/>
              <w:left w:val="single" w:sz="4" w:space="0" w:color="auto"/>
              <w:bottom w:val="single" w:sz="4" w:space="0" w:color="auto"/>
              <w:right w:val="single" w:sz="4" w:space="0" w:color="auto"/>
            </w:tcBorders>
            <w:vAlign w:val="center"/>
          </w:tcPr>
          <w:p w14:paraId="4A04E90C"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eastAsia="cs-CZ"/>
              </w:rPr>
              <w:t>68,24</w:t>
            </w:r>
          </w:p>
        </w:tc>
        <w:tc>
          <w:tcPr>
            <w:tcW w:w="0" w:type="auto"/>
            <w:tcBorders>
              <w:top w:val="single" w:sz="4" w:space="0" w:color="auto"/>
              <w:left w:val="single" w:sz="4" w:space="0" w:color="auto"/>
              <w:bottom w:val="single" w:sz="4" w:space="0" w:color="auto"/>
              <w:right w:val="nil"/>
            </w:tcBorders>
            <w:vAlign w:val="center"/>
          </w:tcPr>
          <w:p w14:paraId="396D5A42"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4,5 %</w:t>
            </w:r>
          </w:p>
        </w:tc>
      </w:tr>
      <w:tr w:rsidR="00C52A2E" w:rsidRPr="006070EA" w14:paraId="32B88F6A" w14:textId="77777777" w:rsidTr="00543041">
        <w:trPr>
          <w:trHeight w:val="227"/>
          <w:jc w:val="center"/>
        </w:trPr>
        <w:tc>
          <w:tcPr>
            <w:tcW w:w="0" w:type="auto"/>
            <w:tcBorders>
              <w:top w:val="single" w:sz="4" w:space="0" w:color="auto"/>
              <w:left w:val="nil"/>
              <w:bottom w:val="single" w:sz="4" w:space="0" w:color="auto"/>
              <w:right w:val="single" w:sz="4" w:space="0" w:color="auto"/>
            </w:tcBorders>
            <w:vAlign w:val="center"/>
            <w:hideMark/>
          </w:tcPr>
          <w:p w14:paraId="4C7F62F1" w14:textId="77777777" w:rsidR="00C52A2E" w:rsidRPr="006070EA" w:rsidRDefault="00C52A2E" w:rsidP="000E35EE">
            <w:pPr>
              <w:pStyle w:val="Bezmez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nezemědělská půda</w:t>
            </w:r>
          </w:p>
        </w:tc>
        <w:tc>
          <w:tcPr>
            <w:tcW w:w="0" w:type="auto"/>
            <w:tcBorders>
              <w:top w:val="single" w:sz="4" w:space="0" w:color="auto"/>
              <w:left w:val="single" w:sz="4" w:space="0" w:color="auto"/>
              <w:bottom w:val="single" w:sz="4" w:space="0" w:color="auto"/>
              <w:right w:val="single" w:sz="4" w:space="0" w:color="auto"/>
            </w:tcBorders>
            <w:vAlign w:val="center"/>
          </w:tcPr>
          <w:p w14:paraId="4E03845A" w14:textId="77777777" w:rsidR="00C52A2E" w:rsidRPr="006070EA" w:rsidRDefault="00C52A2E" w:rsidP="00543041">
            <w:pPr>
              <w:pStyle w:val="Bezmezer"/>
              <w:jc w:val="center"/>
              <w:rPr>
                <w:rFonts w:asciiTheme="majorHAnsi" w:hAnsiTheme="majorHAnsi" w:cstheme="majorHAnsi"/>
                <w:b/>
                <w:color w:val="000000"/>
                <w:szCs w:val="18"/>
                <w:lang w:val="cs-CZ"/>
              </w:rPr>
            </w:pPr>
            <w:r w:rsidRPr="006070EA">
              <w:rPr>
                <w:rFonts w:asciiTheme="majorHAnsi" w:hAnsiTheme="majorHAnsi" w:cstheme="majorHAnsi"/>
                <w:color w:val="000000"/>
                <w:szCs w:val="18"/>
                <w:lang w:val="cs-CZ" w:eastAsia="cs-CZ"/>
              </w:rPr>
              <w:t>309,14</w:t>
            </w:r>
          </w:p>
        </w:tc>
        <w:tc>
          <w:tcPr>
            <w:tcW w:w="0" w:type="auto"/>
            <w:tcBorders>
              <w:top w:val="single" w:sz="4" w:space="0" w:color="auto"/>
              <w:left w:val="single" w:sz="4" w:space="0" w:color="auto"/>
              <w:bottom w:val="single" w:sz="4" w:space="0" w:color="auto"/>
              <w:right w:val="nil"/>
            </w:tcBorders>
            <w:vAlign w:val="center"/>
          </w:tcPr>
          <w:p w14:paraId="77F95180" w14:textId="77777777" w:rsidR="00C52A2E" w:rsidRPr="006070EA" w:rsidRDefault="00C52A2E" w:rsidP="00543041">
            <w:pPr>
              <w:pStyle w:val="Bezmezer"/>
              <w:jc w:val="center"/>
              <w:rPr>
                <w:rFonts w:asciiTheme="majorHAnsi" w:hAnsiTheme="majorHAnsi" w:cstheme="majorHAnsi"/>
                <w:b/>
                <w:color w:val="000000"/>
                <w:szCs w:val="18"/>
                <w:lang w:val="cs-CZ"/>
              </w:rPr>
            </w:pPr>
            <w:r w:rsidRPr="006070EA">
              <w:rPr>
                <w:rFonts w:asciiTheme="majorHAnsi" w:hAnsiTheme="majorHAnsi" w:cstheme="majorHAnsi"/>
                <w:b/>
                <w:color w:val="000000"/>
                <w:szCs w:val="18"/>
                <w:lang w:val="cs-CZ"/>
              </w:rPr>
              <w:t>17 %</w:t>
            </w:r>
          </w:p>
        </w:tc>
      </w:tr>
      <w:tr w:rsidR="00C52A2E" w:rsidRPr="006070EA" w14:paraId="4478F028" w14:textId="77777777" w:rsidTr="00543041">
        <w:trPr>
          <w:trHeight w:val="227"/>
          <w:jc w:val="center"/>
        </w:trPr>
        <w:tc>
          <w:tcPr>
            <w:tcW w:w="0" w:type="auto"/>
            <w:tcBorders>
              <w:top w:val="single" w:sz="4" w:space="0" w:color="auto"/>
              <w:left w:val="nil"/>
              <w:bottom w:val="single" w:sz="4" w:space="0" w:color="auto"/>
              <w:right w:val="single" w:sz="4" w:space="0" w:color="auto"/>
            </w:tcBorders>
            <w:vAlign w:val="center"/>
            <w:hideMark/>
          </w:tcPr>
          <w:p w14:paraId="6D62AF58" w14:textId="77777777" w:rsidR="00C52A2E" w:rsidRPr="006070EA" w:rsidRDefault="00C52A2E" w:rsidP="000E35EE">
            <w:pPr>
              <w:pStyle w:val="Bezmez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   lesní půda</w:t>
            </w:r>
          </w:p>
        </w:tc>
        <w:tc>
          <w:tcPr>
            <w:tcW w:w="0" w:type="auto"/>
            <w:tcBorders>
              <w:top w:val="single" w:sz="4" w:space="0" w:color="auto"/>
              <w:left w:val="single" w:sz="4" w:space="0" w:color="auto"/>
              <w:bottom w:val="single" w:sz="4" w:space="0" w:color="auto"/>
              <w:right w:val="single" w:sz="4" w:space="0" w:color="auto"/>
            </w:tcBorders>
            <w:vAlign w:val="center"/>
          </w:tcPr>
          <w:p w14:paraId="7DEDBB00"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eastAsia="cs-CZ"/>
              </w:rPr>
              <w:t>99,00</w:t>
            </w:r>
          </w:p>
        </w:tc>
        <w:tc>
          <w:tcPr>
            <w:tcW w:w="0" w:type="auto"/>
            <w:tcBorders>
              <w:top w:val="single" w:sz="4" w:space="0" w:color="auto"/>
              <w:left w:val="single" w:sz="4" w:space="0" w:color="auto"/>
              <w:bottom w:val="single" w:sz="4" w:space="0" w:color="auto"/>
              <w:right w:val="nil"/>
            </w:tcBorders>
            <w:vAlign w:val="center"/>
          </w:tcPr>
          <w:p w14:paraId="242BEEE8"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32 %</w:t>
            </w:r>
          </w:p>
        </w:tc>
      </w:tr>
      <w:tr w:rsidR="00C52A2E" w:rsidRPr="006070EA" w14:paraId="4C1543C2" w14:textId="77777777" w:rsidTr="00543041">
        <w:trPr>
          <w:trHeight w:val="227"/>
          <w:jc w:val="center"/>
        </w:trPr>
        <w:tc>
          <w:tcPr>
            <w:tcW w:w="0" w:type="auto"/>
            <w:tcBorders>
              <w:top w:val="single" w:sz="4" w:space="0" w:color="auto"/>
              <w:left w:val="nil"/>
              <w:bottom w:val="single" w:sz="4" w:space="0" w:color="auto"/>
              <w:right w:val="single" w:sz="4" w:space="0" w:color="auto"/>
            </w:tcBorders>
            <w:vAlign w:val="center"/>
            <w:hideMark/>
          </w:tcPr>
          <w:p w14:paraId="6EA1F902" w14:textId="77777777" w:rsidR="00C52A2E" w:rsidRPr="006070EA" w:rsidRDefault="00C52A2E" w:rsidP="000E35EE">
            <w:pPr>
              <w:pStyle w:val="Bezmez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   vodní plochy</w:t>
            </w:r>
          </w:p>
        </w:tc>
        <w:tc>
          <w:tcPr>
            <w:tcW w:w="0" w:type="auto"/>
            <w:tcBorders>
              <w:top w:val="single" w:sz="4" w:space="0" w:color="auto"/>
              <w:left w:val="single" w:sz="4" w:space="0" w:color="auto"/>
              <w:bottom w:val="single" w:sz="4" w:space="0" w:color="auto"/>
              <w:right w:val="single" w:sz="4" w:space="0" w:color="auto"/>
            </w:tcBorders>
            <w:vAlign w:val="center"/>
          </w:tcPr>
          <w:p w14:paraId="56DAB0B2"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eastAsia="cs-CZ"/>
              </w:rPr>
              <w:t>50,59</w:t>
            </w:r>
          </w:p>
        </w:tc>
        <w:tc>
          <w:tcPr>
            <w:tcW w:w="0" w:type="auto"/>
            <w:tcBorders>
              <w:top w:val="single" w:sz="4" w:space="0" w:color="auto"/>
              <w:left w:val="single" w:sz="4" w:space="0" w:color="auto"/>
              <w:bottom w:val="single" w:sz="4" w:space="0" w:color="auto"/>
              <w:right w:val="nil"/>
            </w:tcBorders>
            <w:vAlign w:val="center"/>
          </w:tcPr>
          <w:p w14:paraId="1EB976F4"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16,4 %</w:t>
            </w:r>
          </w:p>
        </w:tc>
      </w:tr>
      <w:tr w:rsidR="00C52A2E" w:rsidRPr="006070EA" w14:paraId="0128F7E0" w14:textId="77777777" w:rsidTr="00543041">
        <w:trPr>
          <w:trHeight w:val="227"/>
          <w:jc w:val="center"/>
        </w:trPr>
        <w:tc>
          <w:tcPr>
            <w:tcW w:w="0" w:type="auto"/>
            <w:tcBorders>
              <w:top w:val="single" w:sz="4" w:space="0" w:color="auto"/>
              <w:left w:val="nil"/>
              <w:bottom w:val="single" w:sz="4" w:space="0" w:color="auto"/>
              <w:right w:val="single" w:sz="4" w:space="0" w:color="auto"/>
            </w:tcBorders>
            <w:vAlign w:val="center"/>
            <w:hideMark/>
          </w:tcPr>
          <w:p w14:paraId="66D55080" w14:textId="77777777" w:rsidR="00C52A2E" w:rsidRPr="006070EA" w:rsidRDefault="00C52A2E" w:rsidP="000E35EE">
            <w:pPr>
              <w:pStyle w:val="Bezmez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   zastavěné plochy</w:t>
            </w:r>
          </w:p>
        </w:tc>
        <w:tc>
          <w:tcPr>
            <w:tcW w:w="0" w:type="auto"/>
            <w:tcBorders>
              <w:top w:val="single" w:sz="4" w:space="0" w:color="auto"/>
              <w:left w:val="single" w:sz="4" w:space="0" w:color="auto"/>
              <w:bottom w:val="single" w:sz="4" w:space="0" w:color="auto"/>
              <w:right w:val="single" w:sz="4" w:space="0" w:color="auto"/>
            </w:tcBorders>
            <w:vAlign w:val="center"/>
          </w:tcPr>
          <w:p w14:paraId="207E3557"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eastAsia="cs-CZ"/>
              </w:rPr>
              <w:t>45,55</w:t>
            </w:r>
          </w:p>
        </w:tc>
        <w:tc>
          <w:tcPr>
            <w:tcW w:w="0" w:type="auto"/>
            <w:tcBorders>
              <w:top w:val="single" w:sz="4" w:space="0" w:color="auto"/>
              <w:left w:val="single" w:sz="4" w:space="0" w:color="auto"/>
              <w:bottom w:val="single" w:sz="4" w:space="0" w:color="auto"/>
              <w:right w:val="nil"/>
            </w:tcBorders>
            <w:vAlign w:val="center"/>
          </w:tcPr>
          <w:p w14:paraId="24D1013B"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14,7 %</w:t>
            </w:r>
          </w:p>
        </w:tc>
      </w:tr>
      <w:tr w:rsidR="00C52A2E" w:rsidRPr="006070EA" w14:paraId="5734D0B4" w14:textId="77777777" w:rsidTr="00543041">
        <w:trPr>
          <w:trHeight w:val="227"/>
          <w:jc w:val="center"/>
        </w:trPr>
        <w:tc>
          <w:tcPr>
            <w:tcW w:w="0" w:type="auto"/>
            <w:tcBorders>
              <w:top w:val="single" w:sz="4" w:space="0" w:color="auto"/>
              <w:left w:val="nil"/>
              <w:bottom w:val="nil"/>
              <w:right w:val="single" w:sz="4" w:space="0" w:color="auto"/>
            </w:tcBorders>
            <w:vAlign w:val="center"/>
            <w:hideMark/>
          </w:tcPr>
          <w:p w14:paraId="1BB9EBC6" w14:textId="77777777" w:rsidR="00C52A2E" w:rsidRPr="006070EA" w:rsidRDefault="00C52A2E" w:rsidP="000E35EE">
            <w:pPr>
              <w:pStyle w:val="Bezmez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 xml:space="preserve">   ostatní plochy</w:t>
            </w:r>
          </w:p>
        </w:tc>
        <w:tc>
          <w:tcPr>
            <w:tcW w:w="0" w:type="auto"/>
            <w:tcBorders>
              <w:top w:val="single" w:sz="4" w:space="0" w:color="auto"/>
              <w:left w:val="single" w:sz="4" w:space="0" w:color="auto"/>
              <w:bottom w:val="nil"/>
              <w:right w:val="single" w:sz="4" w:space="0" w:color="auto"/>
            </w:tcBorders>
            <w:vAlign w:val="center"/>
          </w:tcPr>
          <w:p w14:paraId="4696C287"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eastAsia="cs-CZ"/>
              </w:rPr>
              <w:t>114,00</w:t>
            </w:r>
          </w:p>
        </w:tc>
        <w:tc>
          <w:tcPr>
            <w:tcW w:w="0" w:type="auto"/>
            <w:tcBorders>
              <w:top w:val="single" w:sz="4" w:space="0" w:color="auto"/>
              <w:left w:val="single" w:sz="4" w:space="0" w:color="auto"/>
              <w:bottom w:val="nil"/>
              <w:right w:val="nil"/>
            </w:tcBorders>
            <w:vAlign w:val="center"/>
          </w:tcPr>
          <w:p w14:paraId="20B191D8" w14:textId="77777777" w:rsidR="00C52A2E" w:rsidRPr="006070EA" w:rsidRDefault="00C52A2E" w:rsidP="00543041">
            <w:pPr>
              <w:pStyle w:val="Bezmezer"/>
              <w:jc w:val="center"/>
              <w:rPr>
                <w:rFonts w:asciiTheme="majorHAnsi" w:hAnsiTheme="majorHAnsi" w:cstheme="majorHAnsi"/>
                <w:color w:val="000000"/>
                <w:szCs w:val="18"/>
                <w:lang w:val="cs-CZ"/>
              </w:rPr>
            </w:pPr>
            <w:r w:rsidRPr="006070EA">
              <w:rPr>
                <w:rFonts w:asciiTheme="majorHAnsi" w:hAnsiTheme="majorHAnsi" w:cstheme="majorHAnsi"/>
                <w:color w:val="000000"/>
                <w:szCs w:val="18"/>
                <w:lang w:val="cs-CZ"/>
              </w:rPr>
              <w:t>36,9 %</w:t>
            </w:r>
          </w:p>
        </w:tc>
      </w:tr>
    </w:tbl>
    <w:p w14:paraId="06F52AF9" w14:textId="77777777" w:rsidR="00C52A2E" w:rsidRPr="006070EA" w:rsidRDefault="00C52A2E" w:rsidP="00D430EF">
      <w:pPr>
        <w:keepNext/>
        <w:autoSpaceDE w:val="0"/>
        <w:autoSpaceDN w:val="0"/>
        <w:adjustRightInd w:val="0"/>
        <w:spacing w:before="120" w:after="60"/>
        <w:jc w:val="both"/>
        <w:rPr>
          <w:rFonts w:asciiTheme="majorHAnsi" w:hAnsiTheme="majorHAnsi" w:cstheme="majorHAnsi"/>
          <w:i/>
          <w:iCs/>
          <w:color w:val="000000"/>
          <w:sz w:val="18"/>
          <w:szCs w:val="18"/>
        </w:rPr>
      </w:pPr>
      <w:r w:rsidRPr="006070EA">
        <w:rPr>
          <w:rFonts w:asciiTheme="majorHAnsi" w:hAnsiTheme="majorHAnsi" w:cstheme="majorHAnsi"/>
          <w:i/>
          <w:iCs/>
          <w:color w:val="000000"/>
          <w:sz w:val="18"/>
          <w:szCs w:val="18"/>
        </w:rPr>
        <w:t>Graf: Plošné zastoupení jednotlivých typů pozemků ve správním území Kostomlaty nad Labem</w:t>
      </w:r>
    </w:p>
    <w:p w14:paraId="067E4663" w14:textId="721944E9" w:rsidR="00C52A2E" w:rsidRPr="006070EA" w:rsidRDefault="00C52A2E" w:rsidP="00681F86">
      <w:pPr>
        <w:pStyle w:val="Anadpispodtren"/>
        <w:jc w:val="center"/>
        <w:rPr>
          <w:rFonts w:asciiTheme="majorHAnsi" w:hAnsiTheme="majorHAnsi" w:cstheme="majorHAnsi"/>
          <w:noProof/>
          <w:color w:val="000000"/>
          <w:szCs w:val="18"/>
          <w:u w:val="none"/>
          <w:lang w:eastAsia="cs-CZ"/>
        </w:rPr>
      </w:pPr>
      <w:r w:rsidRPr="006070EA">
        <w:rPr>
          <w:rFonts w:asciiTheme="majorHAnsi" w:hAnsiTheme="majorHAnsi" w:cstheme="majorHAnsi"/>
          <w:noProof/>
          <w:color w:val="000000"/>
          <w:szCs w:val="18"/>
          <w:u w:val="none"/>
        </w:rPr>
        <w:drawing>
          <wp:inline distT="0" distB="0" distL="0" distR="0" wp14:anchorId="01F46BB9" wp14:editId="51F950B7">
            <wp:extent cx="4381500" cy="2486025"/>
            <wp:effectExtent l="0" t="0" r="0" b="0"/>
            <wp:docPr id="58" name="Obrázek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Graf 1"/>
                    <pic:cNvPicPr>
                      <a:picLocks noChangeArrowheads="1"/>
                    </pic:cNvPicPr>
                  </pic:nvPicPr>
                  <pic:blipFill rotWithShape="1">
                    <a:blip r:embed="rId56">
                      <a:extLst>
                        <a:ext uri="{28A0092B-C50C-407E-A947-70E740481C1C}">
                          <a14:useLocalDpi xmlns:a14="http://schemas.microsoft.com/office/drawing/2010/main" val="0"/>
                        </a:ext>
                      </a:extLst>
                    </a:blip>
                    <a:srcRect l="1663" t="4150" r="2730" b="5580"/>
                    <a:stretch/>
                  </pic:blipFill>
                  <pic:spPr bwMode="auto">
                    <a:xfrm>
                      <a:off x="0" y="0"/>
                      <a:ext cx="4381500" cy="2486025"/>
                    </a:xfrm>
                    <a:prstGeom prst="rect">
                      <a:avLst/>
                    </a:prstGeom>
                    <a:noFill/>
                    <a:ln>
                      <a:noFill/>
                    </a:ln>
                    <a:extLst>
                      <a:ext uri="{53640926-AAD7-44D8-BBD7-CCE9431645EC}">
                        <a14:shadowObscured xmlns:a14="http://schemas.microsoft.com/office/drawing/2010/main"/>
                      </a:ext>
                    </a:extLst>
                  </pic:spPr>
                </pic:pic>
              </a:graphicData>
            </a:graphic>
          </wp:inline>
        </w:drawing>
      </w:r>
    </w:p>
    <w:p w14:paraId="48E077EA"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47" w:name="_Toc204678228"/>
      <w:r w:rsidRPr="006070EA">
        <w:rPr>
          <w:rFonts w:asciiTheme="majorHAnsi" w:hAnsiTheme="majorHAnsi" w:cstheme="majorHAnsi"/>
          <w:b/>
        </w:rPr>
        <w:t>Pedologické podmínky, uspořádání ZPF v území</w:t>
      </w:r>
      <w:bookmarkEnd w:id="447"/>
    </w:p>
    <w:p w14:paraId="3FF9C0B1" w14:textId="2ECE0C4A" w:rsidR="00C52A2E" w:rsidRPr="006070EA" w:rsidRDefault="00C52A2E" w:rsidP="009E724A">
      <w:pPr>
        <w:pStyle w:val="Atext"/>
        <w:rPr>
          <w:rFonts w:asciiTheme="majorHAnsi" w:hAnsiTheme="majorHAnsi" w:cstheme="majorHAnsi"/>
        </w:rPr>
      </w:pPr>
      <w:bookmarkStart w:id="448" w:name="_Toc424119876"/>
      <w:bookmarkStart w:id="449" w:name="_Toc424119875"/>
      <w:r w:rsidRPr="006070EA">
        <w:rPr>
          <w:rFonts w:asciiTheme="majorHAnsi" w:hAnsiTheme="majorHAnsi" w:cstheme="majorHAnsi"/>
        </w:rPr>
        <w:t xml:space="preserve">Plošně nejrozšířenějším půdním typem jsou černice, vyskytující se především v severovýchodní části území a také jižně od města Sadská. Druhým nejrozšířenějším typem půd jsou černozemě bezprostředně navazující na rozšíření černice. Podél toku řeky Labe a dalších i menších toků jsou zastoupeny typické fluvizemě a regozemě. Ostrůvkovitě se v SO ORP vyskytují také pararendziny, hojněji jsou zastoupeny západně od města Nymburk. </w:t>
      </w:r>
      <w:r w:rsidR="00543041" w:rsidRPr="006070EA">
        <w:rPr>
          <w:rFonts w:asciiTheme="majorHAnsi" w:hAnsiTheme="majorHAnsi" w:cstheme="majorHAnsi"/>
        </w:rPr>
        <w:t xml:space="preserve">Místy </w:t>
      </w:r>
      <w:r w:rsidRPr="006070EA">
        <w:rPr>
          <w:rFonts w:asciiTheme="majorHAnsi" w:hAnsiTheme="majorHAnsi" w:cstheme="majorHAnsi"/>
        </w:rPr>
        <w:t>se vyskytují také půdy na píscích. Z</w:t>
      </w:r>
      <w:r w:rsidR="00543041" w:rsidRPr="006070EA">
        <w:rPr>
          <w:rFonts w:asciiTheme="majorHAnsi" w:hAnsiTheme="majorHAnsi" w:cstheme="majorHAnsi"/>
        </w:rPr>
        <w:t> </w:t>
      </w:r>
      <w:r w:rsidRPr="006070EA">
        <w:rPr>
          <w:rFonts w:asciiTheme="majorHAnsi" w:hAnsiTheme="majorHAnsi" w:cstheme="majorHAnsi"/>
        </w:rPr>
        <w:t xml:space="preserve">hlediska půdně klimatických podmínek </w:t>
      </w:r>
      <w:proofErr w:type="gramStart"/>
      <w:r w:rsidRPr="006070EA">
        <w:rPr>
          <w:rFonts w:asciiTheme="majorHAnsi" w:hAnsiTheme="majorHAnsi" w:cstheme="majorHAnsi"/>
        </w:rPr>
        <w:t>se</w:t>
      </w:r>
      <w:proofErr w:type="gramEnd"/>
      <w:r w:rsidRPr="006070EA">
        <w:rPr>
          <w:rFonts w:asciiTheme="majorHAnsi" w:hAnsiTheme="majorHAnsi" w:cstheme="majorHAnsi"/>
        </w:rPr>
        <w:t xml:space="preserve"> území řadí téměř výhradně do zemědělské výrobní oblasti řepařské.</w:t>
      </w:r>
    </w:p>
    <w:p w14:paraId="5F587906" w14:textId="77777777" w:rsidR="00213A5E" w:rsidRPr="006070EA" w:rsidRDefault="00213A5E" w:rsidP="009E724A">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Bonitované půdně ekologické jednotky (BPEJ) jsou výchozím podkladem pro ochranu půdního fondu při územně plánovací činnosti. Kód BPEJ se skládá z kódu klimatického regionu (číslo na první pozici), kódu hlavní půdní jednotky (následující 2 číslice) a označení vedlejší půdní jednotky (poslední 2 číslice). </w:t>
      </w:r>
    </w:p>
    <w:p w14:paraId="6B621160" w14:textId="44CECF07" w:rsidR="00C52A2E" w:rsidRPr="006070EA" w:rsidRDefault="00C52A2E" w:rsidP="009E724A">
      <w:pPr>
        <w:pStyle w:val="Atext"/>
        <w:rPr>
          <w:rFonts w:asciiTheme="majorHAnsi" w:hAnsiTheme="majorHAnsi" w:cstheme="majorHAnsi"/>
        </w:rPr>
      </w:pPr>
      <w:r w:rsidRPr="006070EA">
        <w:rPr>
          <w:rFonts w:asciiTheme="majorHAnsi" w:hAnsiTheme="majorHAnsi" w:cstheme="majorHAnsi"/>
        </w:rPr>
        <w:t>Hodnocení z hlediska kvality půd probíhá na základě vymezení 5 tříd ochrany, které vycházejí z kódů mapy BPEJ. Zemědělskou půdu je nutno odnímat pro nezemědělské účely přednostně z tříd 5., 4 a 3. Do 1. třídy ochrany jsou zařazeny bonitně nejcennější půdy v jednotlivých klimatických regionech, které je možno odejmout ze ZPF pouze výjimečně, a to převážně na záměry související s obnovou ekologické stability krajiny, případně pro liniové stavby zásadního významu. Do</w:t>
      </w:r>
      <w:r w:rsidR="009E724A" w:rsidRPr="006070EA">
        <w:rPr>
          <w:rFonts w:asciiTheme="majorHAnsi" w:hAnsiTheme="majorHAnsi" w:cstheme="majorHAnsi"/>
        </w:rPr>
        <w:t> </w:t>
      </w:r>
      <w:r w:rsidRPr="006070EA">
        <w:rPr>
          <w:rFonts w:asciiTheme="majorHAnsi" w:hAnsiTheme="majorHAnsi" w:cstheme="majorHAnsi"/>
        </w:rPr>
        <w:t>2.</w:t>
      </w:r>
      <w:r w:rsidR="009E724A" w:rsidRPr="006070EA">
        <w:rPr>
          <w:rFonts w:asciiTheme="majorHAnsi" w:hAnsiTheme="majorHAnsi" w:cstheme="majorHAnsi"/>
        </w:rPr>
        <w:t> </w:t>
      </w:r>
      <w:r w:rsidRPr="006070EA">
        <w:rPr>
          <w:rFonts w:asciiTheme="majorHAnsi" w:hAnsiTheme="majorHAnsi" w:cstheme="majorHAnsi"/>
        </w:rPr>
        <w:t xml:space="preserve">třídy ochrany jsou situovány zemědělské půdy, které mají v rámci jednotlivých klimatických regionů nadprůměrnou produkční schopnost. </w:t>
      </w:r>
    </w:p>
    <w:p w14:paraId="2C41903B" w14:textId="583F93E3" w:rsidR="00C52A2E" w:rsidRPr="006070EA" w:rsidRDefault="00C52A2E" w:rsidP="009E724A">
      <w:pPr>
        <w:pStyle w:val="Atext"/>
        <w:rPr>
          <w:rFonts w:asciiTheme="majorHAnsi" w:hAnsiTheme="majorHAnsi" w:cstheme="majorHAnsi"/>
        </w:rPr>
      </w:pPr>
      <w:r w:rsidRPr="006070EA">
        <w:rPr>
          <w:rFonts w:asciiTheme="majorHAnsi" w:hAnsiTheme="majorHAnsi" w:cstheme="majorHAnsi"/>
        </w:rPr>
        <w:t>Ve vztahu k ochraně ZPF jde o půdy vysoce chráněné, jen podmíněně odnímatelné a s ohledem na územní plánování také jen podmíněně zastavitelné. Na území SO ORP spadá do třídy ochrany 1. třídy celkem 7</w:t>
      </w:r>
      <w:r w:rsidR="009E724A" w:rsidRPr="006070EA">
        <w:rPr>
          <w:rFonts w:asciiTheme="majorHAnsi" w:hAnsiTheme="majorHAnsi" w:cstheme="majorHAnsi"/>
        </w:rPr>
        <w:t xml:space="preserve"> </w:t>
      </w:r>
      <w:r w:rsidRPr="006070EA">
        <w:rPr>
          <w:rFonts w:asciiTheme="majorHAnsi" w:hAnsiTheme="majorHAnsi" w:cstheme="majorHAnsi"/>
        </w:rPr>
        <w:t>158 ha zemědělské půdy (tj.</w:t>
      </w:r>
      <w:r w:rsidR="009E724A" w:rsidRPr="006070EA">
        <w:rPr>
          <w:rFonts w:asciiTheme="majorHAnsi" w:hAnsiTheme="majorHAnsi" w:cstheme="majorHAnsi"/>
        </w:rPr>
        <w:t xml:space="preserve"> </w:t>
      </w:r>
      <w:r w:rsidRPr="006070EA">
        <w:rPr>
          <w:rFonts w:asciiTheme="majorHAnsi" w:hAnsiTheme="majorHAnsi" w:cstheme="majorHAnsi"/>
        </w:rPr>
        <w:t>20,13</w:t>
      </w:r>
      <w:r w:rsidR="009E724A" w:rsidRPr="006070EA">
        <w:rPr>
          <w:rFonts w:asciiTheme="majorHAnsi" w:hAnsiTheme="majorHAnsi" w:cstheme="majorHAnsi"/>
        </w:rPr>
        <w:t xml:space="preserve"> </w:t>
      </w:r>
      <w:r w:rsidRPr="006070EA">
        <w:rPr>
          <w:rFonts w:asciiTheme="majorHAnsi" w:hAnsiTheme="majorHAnsi" w:cstheme="majorHAnsi"/>
        </w:rPr>
        <w:t>% z celkové plochy SO ORP) a do 2. třídy ochrany spadá celkem 5</w:t>
      </w:r>
      <w:r w:rsidR="009E724A" w:rsidRPr="006070EA">
        <w:rPr>
          <w:rFonts w:asciiTheme="majorHAnsi" w:hAnsiTheme="majorHAnsi" w:cstheme="majorHAnsi"/>
        </w:rPr>
        <w:t xml:space="preserve"> </w:t>
      </w:r>
      <w:r w:rsidRPr="006070EA">
        <w:rPr>
          <w:rFonts w:asciiTheme="majorHAnsi" w:hAnsiTheme="majorHAnsi" w:cstheme="majorHAnsi"/>
        </w:rPr>
        <w:t>258 ha zemědělské půdy (tj.</w:t>
      </w:r>
      <w:r w:rsidR="009E724A" w:rsidRPr="006070EA">
        <w:rPr>
          <w:rFonts w:asciiTheme="majorHAnsi" w:hAnsiTheme="majorHAnsi" w:cstheme="majorHAnsi"/>
        </w:rPr>
        <w:t xml:space="preserve"> </w:t>
      </w:r>
      <w:r w:rsidRPr="006070EA">
        <w:rPr>
          <w:rFonts w:asciiTheme="majorHAnsi" w:hAnsiTheme="majorHAnsi" w:cstheme="majorHAnsi"/>
        </w:rPr>
        <w:t>14,79</w:t>
      </w:r>
      <w:r w:rsidR="009E724A" w:rsidRPr="006070EA">
        <w:rPr>
          <w:rFonts w:asciiTheme="majorHAnsi" w:hAnsiTheme="majorHAnsi" w:cstheme="majorHAnsi"/>
        </w:rPr>
        <w:t xml:space="preserve"> </w:t>
      </w:r>
      <w:r w:rsidRPr="006070EA">
        <w:rPr>
          <w:rFonts w:asciiTheme="majorHAnsi" w:hAnsiTheme="majorHAnsi" w:cstheme="majorHAnsi"/>
        </w:rPr>
        <w:t>% z</w:t>
      </w:r>
      <w:r w:rsidR="009E724A" w:rsidRPr="006070EA">
        <w:rPr>
          <w:rFonts w:asciiTheme="majorHAnsi" w:hAnsiTheme="majorHAnsi" w:cstheme="majorHAnsi"/>
        </w:rPr>
        <w:t> </w:t>
      </w:r>
      <w:r w:rsidRPr="006070EA">
        <w:rPr>
          <w:rFonts w:asciiTheme="majorHAnsi" w:hAnsiTheme="majorHAnsi" w:cstheme="majorHAnsi"/>
        </w:rPr>
        <w:t>celkové plochy SO ORP). Z uvedeného vyplývá, že výskyt zemědělské půdy, spadající do 1. a 2. třídy ochrany je celkem příznivý, přesto je nutné tyto půdy chránit před větrnou a vodní erozí a před záborem za účelem zástavby.</w:t>
      </w:r>
    </w:p>
    <w:p w14:paraId="3C29243B" w14:textId="7592E7C3" w:rsidR="00C52A2E" w:rsidRPr="006070EA" w:rsidRDefault="009E724A" w:rsidP="009E724A">
      <w:pPr>
        <w:pStyle w:val="Atext"/>
        <w:rPr>
          <w:rFonts w:asciiTheme="majorHAnsi" w:hAnsiTheme="majorHAnsi" w:cstheme="majorHAnsi"/>
          <w:color w:val="000000"/>
        </w:rPr>
      </w:pPr>
      <w:r w:rsidRPr="006070EA">
        <w:rPr>
          <w:rFonts w:asciiTheme="majorHAnsi" w:hAnsiTheme="majorHAnsi" w:cstheme="majorHAnsi"/>
          <w:color w:val="000000"/>
        </w:rPr>
        <w:t>BPEJ v řešeném území a zařazení do jednotlivých tříd ochrany zobrazuje graficky níže uvedený obrázek.</w:t>
      </w:r>
    </w:p>
    <w:p w14:paraId="115FB64A" w14:textId="096CDD88" w:rsidR="00C52A2E" w:rsidRPr="006070EA" w:rsidRDefault="00C52A2E" w:rsidP="00C52A2E">
      <w:pPr>
        <w:pStyle w:val="Atext"/>
        <w:ind w:firstLine="0"/>
        <w:rPr>
          <w:rFonts w:asciiTheme="majorHAnsi" w:hAnsiTheme="majorHAnsi" w:cstheme="majorHAnsi"/>
          <w:color w:val="000000"/>
        </w:rPr>
      </w:pPr>
      <w:r w:rsidRPr="006070EA">
        <w:rPr>
          <w:rFonts w:asciiTheme="majorHAnsi" w:hAnsiTheme="majorHAnsi" w:cstheme="majorHAnsi"/>
          <w:noProof/>
          <w:color w:val="000000"/>
        </w:rPr>
        <w:lastRenderedPageBreak/>
        <w:drawing>
          <wp:inline distT="0" distB="0" distL="0" distR="0" wp14:anchorId="57324E7C" wp14:editId="25189DD2">
            <wp:extent cx="4952571" cy="6480000"/>
            <wp:effectExtent l="0" t="0" r="0" b="0"/>
            <wp:docPr id="59" name="Obrázek 59"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Obrázek 59" descr="Obsah obrázku mapa&#10;&#10;Popis byl vytvořen automaticky"/>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952571" cy="6480000"/>
                    </a:xfrm>
                    <a:prstGeom prst="rect">
                      <a:avLst/>
                    </a:prstGeom>
                    <a:noFill/>
                    <a:ln>
                      <a:noFill/>
                    </a:ln>
                  </pic:spPr>
                </pic:pic>
              </a:graphicData>
            </a:graphic>
          </wp:inline>
        </w:drawing>
      </w:r>
    </w:p>
    <w:p w14:paraId="625200FC"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50" w:name="_Toc204678229"/>
      <w:r w:rsidRPr="006070EA">
        <w:rPr>
          <w:rFonts w:asciiTheme="majorHAnsi" w:hAnsiTheme="majorHAnsi" w:cstheme="majorHAnsi"/>
          <w:b/>
        </w:rPr>
        <w:t>Pozemkové úpravy</w:t>
      </w:r>
      <w:bookmarkEnd w:id="448"/>
      <w:bookmarkEnd w:id="450"/>
    </w:p>
    <w:p w14:paraId="7EFCAC11" w14:textId="7201EBC5" w:rsidR="009F7319" w:rsidRPr="006070EA" w:rsidRDefault="00531B60" w:rsidP="00A76C42">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V řešeném území </w:t>
      </w:r>
      <w:r w:rsidR="002267C0" w:rsidRPr="006070EA">
        <w:rPr>
          <w:rFonts w:asciiTheme="majorHAnsi" w:hAnsiTheme="majorHAnsi" w:cstheme="majorHAnsi"/>
          <w:sz w:val="18"/>
          <w:szCs w:val="20"/>
        </w:rPr>
        <w:t xml:space="preserve">dosud nebyly </w:t>
      </w:r>
      <w:r w:rsidR="009F7319" w:rsidRPr="006070EA">
        <w:rPr>
          <w:rFonts w:asciiTheme="majorHAnsi" w:hAnsiTheme="majorHAnsi" w:cstheme="majorHAnsi"/>
          <w:sz w:val="18"/>
          <w:szCs w:val="20"/>
        </w:rPr>
        <w:t>realizovány</w:t>
      </w:r>
      <w:r w:rsidRPr="006070EA">
        <w:rPr>
          <w:rFonts w:asciiTheme="majorHAnsi" w:hAnsiTheme="majorHAnsi" w:cstheme="majorHAnsi"/>
          <w:sz w:val="18"/>
          <w:szCs w:val="20"/>
        </w:rPr>
        <w:t xml:space="preserve"> </w:t>
      </w:r>
      <w:r w:rsidR="006B04B4" w:rsidRPr="006070EA">
        <w:rPr>
          <w:rFonts w:asciiTheme="majorHAnsi" w:hAnsiTheme="majorHAnsi" w:cstheme="majorHAnsi"/>
          <w:sz w:val="18"/>
          <w:szCs w:val="20"/>
        </w:rPr>
        <w:t>komplexní pozemkové úpravy</w:t>
      </w:r>
      <w:r w:rsidR="002267C0" w:rsidRPr="006070EA">
        <w:rPr>
          <w:rFonts w:asciiTheme="majorHAnsi" w:hAnsiTheme="majorHAnsi" w:cstheme="majorHAnsi"/>
          <w:sz w:val="18"/>
          <w:szCs w:val="20"/>
        </w:rPr>
        <w:t>.</w:t>
      </w:r>
    </w:p>
    <w:p w14:paraId="292F0237" w14:textId="259A46FE" w:rsidR="009E33CB" w:rsidRPr="006070EA" w:rsidRDefault="003F6B6C" w:rsidP="00A76C42">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Dle evidence eagri.cz jsou v k. ú. Kostomlaty nad Labem plánovány komplexní pozemkové úpravy s předpokládaným zahájením v r. 2029. </w:t>
      </w:r>
    </w:p>
    <w:p w14:paraId="0B74C65C"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51" w:name="_Toc424119877"/>
      <w:bookmarkStart w:id="452" w:name="_Toc204678230"/>
      <w:r w:rsidRPr="006070EA">
        <w:rPr>
          <w:rFonts w:asciiTheme="majorHAnsi" w:hAnsiTheme="majorHAnsi" w:cstheme="majorHAnsi"/>
          <w:b/>
        </w:rPr>
        <w:t>Investice do půdy</w:t>
      </w:r>
      <w:bookmarkEnd w:id="451"/>
      <w:bookmarkEnd w:id="452"/>
    </w:p>
    <w:p w14:paraId="2F430EB5" w14:textId="77777777" w:rsidR="00E7718F" w:rsidRPr="006070EA" w:rsidRDefault="00531B60" w:rsidP="00531B60">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Část zemědělských ploch v území je odvodněna, provedeny jsou meliorace (investice do půdy)</w:t>
      </w:r>
      <w:r w:rsidR="003B79F9" w:rsidRPr="006070EA">
        <w:rPr>
          <w:rFonts w:asciiTheme="majorHAnsi" w:hAnsiTheme="majorHAnsi" w:cstheme="majorHAnsi"/>
          <w:sz w:val="18"/>
          <w:szCs w:val="20"/>
        </w:rPr>
        <w:t xml:space="preserve"> – odvodňovací zařízení plošná a liniová</w:t>
      </w:r>
      <w:r w:rsidRPr="006070EA">
        <w:rPr>
          <w:rFonts w:asciiTheme="majorHAnsi" w:hAnsiTheme="majorHAnsi" w:cstheme="majorHAnsi"/>
          <w:sz w:val="18"/>
          <w:szCs w:val="20"/>
        </w:rPr>
        <w:t xml:space="preserve">. </w:t>
      </w:r>
    </w:p>
    <w:p w14:paraId="74F475D3" w14:textId="2C1C0377" w:rsidR="00E7718F" w:rsidRPr="006070EA" w:rsidRDefault="00E7718F" w:rsidP="00531B60">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V řešeném území se nacházejí stavby vodních děl – hlavní odvodňovací zařízení (HOZ), které jsou v majetku státu příslušnosti hospodařit Státního pozemkového úřadu (SPÚ) v souladu s § 56 odst. 6 zákona č. 254/2001 Sb., o vodách, v platném znění, a § 4 odst. 2 zákona č. 503/2012 Sb., o Státním pozemkovém úřadu a o změně některých souvisejících zákonů, v platném znění. Lokalizaci melioračních staveb (zákresy průběhů linií stave a umístění bodů staveb vodohospodářských opatření – odvodnění, závlah a protierozních opatření) ve správě SPÚ schematicky znázorňuje níže uvedený obrázek:</w:t>
      </w:r>
    </w:p>
    <w:p w14:paraId="227E249D" w14:textId="6809FE8B" w:rsidR="00E7718F" w:rsidRPr="006070EA" w:rsidRDefault="00AD09DE" w:rsidP="00E7718F">
      <w:pPr>
        <w:spacing w:before="120" w:after="120" w:line="240" w:lineRule="auto"/>
        <w:jc w:val="both"/>
        <w:rPr>
          <w:rFonts w:asciiTheme="majorHAnsi" w:hAnsiTheme="majorHAnsi" w:cstheme="majorHAnsi"/>
          <w:sz w:val="18"/>
          <w:szCs w:val="20"/>
        </w:rPr>
      </w:pPr>
      <w:r w:rsidRPr="006070EA">
        <w:rPr>
          <w:rFonts w:asciiTheme="majorHAnsi" w:hAnsiTheme="majorHAnsi" w:cstheme="majorHAnsi"/>
          <w:noProof/>
          <w:sz w:val="18"/>
          <w:szCs w:val="20"/>
        </w:rPr>
        <w:lastRenderedPageBreak/>
        <w:drawing>
          <wp:inline distT="0" distB="0" distL="0" distR="0" wp14:anchorId="76E10536" wp14:editId="0595B271">
            <wp:extent cx="4680000" cy="6010512"/>
            <wp:effectExtent l="0" t="0" r="6350" b="9525"/>
            <wp:docPr id="15" name="Obráze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4680000" cy="6010512"/>
                    </a:xfrm>
                    <a:prstGeom prst="rect">
                      <a:avLst/>
                    </a:prstGeom>
                    <a:noFill/>
                    <a:ln>
                      <a:noFill/>
                    </a:ln>
                  </pic:spPr>
                </pic:pic>
              </a:graphicData>
            </a:graphic>
          </wp:inline>
        </w:drawing>
      </w:r>
    </w:p>
    <w:p w14:paraId="13A9D21B" w14:textId="2BC0C65B" w:rsidR="00E7718F" w:rsidRPr="006070EA" w:rsidRDefault="00E7718F" w:rsidP="00FC1E99">
      <w:pPr>
        <w:spacing w:before="120" w:after="120" w:line="240" w:lineRule="auto"/>
        <w:jc w:val="both"/>
        <w:rPr>
          <w:rFonts w:asciiTheme="majorHAnsi" w:hAnsiTheme="majorHAnsi" w:cstheme="majorHAnsi"/>
          <w:i/>
          <w:iCs/>
          <w:sz w:val="18"/>
          <w:szCs w:val="20"/>
        </w:rPr>
      </w:pPr>
      <w:r w:rsidRPr="006070EA">
        <w:rPr>
          <w:rFonts w:asciiTheme="majorHAnsi" w:hAnsiTheme="majorHAnsi" w:cstheme="majorHAnsi"/>
          <w:i/>
          <w:iCs/>
          <w:sz w:val="18"/>
          <w:szCs w:val="20"/>
        </w:rPr>
        <w:t>Obr.: Meliorační stavby ve správě SPÚ v řešeném území (zdroj: geoportal.spucr.cz)</w:t>
      </w:r>
    </w:p>
    <w:p w14:paraId="487E8570" w14:textId="217E0075" w:rsidR="00E7718F" w:rsidRPr="006070EA" w:rsidRDefault="00E7718F" w:rsidP="00531B60">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Při dotčení staveb HOZ je ze strany SPÚ požadováno:</w:t>
      </w:r>
    </w:p>
    <w:p w14:paraId="27B42888" w14:textId="77777777" w:rsidR="000B6F18" w:rsidRPr="006070EA" w:rsidRDefault="000B6F18" w:rsidP="000B6F18">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1) Respektování staveb HOZ a zachování jejich funkčnosti.</w:t>
      </w:r>
    </w:p>
    <w:p w14:paraId="4583BDDA" w14:textId="77777777" w:rsidR="000B6F18" w:rsidRPr="006070EA" w:rsidRDefault="000B6F18" w:rsidP="00FC1E99">
      <w:pPr>
        <w:spacing w:before="120" w:after="120" w:line="240" w:lineRule="auto"/>
        <w:ind w:left="709"/>
        <w:jc w:val="both"/>
        <w:rPr>
          <w:rFonts w:asciiTheme="majorHAnsi" w:hAnsiTheme="majorHAnsi" w:cstheme="majorHAnsi"/>
          <w:sz w:val="18"/>
          <w:szCs w:val="20"/>
        </w:rPr>
      </w:pPr>
      <w:r w:rsidRPr="006070EA">
        <w:rPr>
          <w:rFonts w:asciiTheme="majorHAnsi" w:hAnsiTheme="majorHAnsi" w:cstheme="majorHAnsi"/>
          <w:sz w:val="18"/>
          <w:szCs w:val="20"/>
        </w:rPr>
        <w:t>2) Z hlediska umožnění výkonu správy a údržby je nutné zachovat podél zakrytých úseků HOZ nezastavěný manipulační pruh o šíři 4 m od osy potrubí na obě strany a podél otevřených HOZ 6 m oboustranný manipulační pruh.</w:t>
      </w:r>
    </w:p>
    <w:p w14:paraId="6A1722DE" w14:textId="77777777" w:rsidR="000B6F18" w:rsidRPr="006070EA" w:rsidRDefault="000B6F18" w:rsidP="00FC1E99">
      <w:pPr>
        <w:spacing w:before="120" w:after="120" w:line="240" w:lineRule="auto"/>
        <w:ind w:left="709"/>
        <w:jc w:val="both"/>
        <w:rPr>
          <w:rFonts w:asciiTheme="majorHAnsi" w:hAnsiTheme="majorHAnsi" w:cstheme="majorHAnsi"/>
          <w:sz w:val="18"/>
          <w:szCs w:val="20"/>
        </w:rPr>
      </w:pPr>
      <w:r w:rsidRPr="006070EA">
        <w:rPr>
          <w:rFonts w:asciiTheme="majorHAnsi" w:hAnsiTheme="majorHAnsi" w:cstheme="majorHAnsi"/>
          <w:sz w:val="18"/>
          <w:szCs w:val="20"/>
        </w:rPr>
        <w:t>Na uvedených vodních dílech HOZ je zajišťována běžná údržba, např. odstranění splavené ornice, sečení porostů a odstraňování náletů dřevin z průtočného profilu HOZ, v případě zakrytých úseků opravy trubních vedení vč. revizních šachet.</w:t>
      </w:r>
    </w:p>
    <w:p w14:paraId="14A19437" w14:textId="77777777" w:rsidR="000B6F18" w:rsidRPr="006070EA" w:rsidRDefault="000B6F18" w:rsidP="000B6F18">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3) Do HOZ nebudou vypouštěny žádné odpadní ani dešťové vody.</w:t>
      </w:r>
    </w:p>
    <w:p w14:paraId="15BFB53C" w14:textId="77777777" w:rsidR="000B6F18" w:rsidRPr="006070EA" w:rsidRDefault="000B6F18" w:rsidP="00FC1E99">
      <w:pPr>
        <w:spacing w:before="120" w:after="120" w:line="240" w:lineRule="auto"/>
        <w:ind w:left="709"/>
        <w:jc w:val="both"/>
        <w:rPr>
          <w:rFonts w:asciiTheme="majorHAnsi" w:hAnsiTheme="majorHAnsi" w:cstheme="majorHAnsi"/>
          <w:sz w:val="18"/>
          <w:szCs w:val="20"/>
        </w:rPr>
      </w:pPr>
      <w:r w:rsidRPr="006070EA">
        <w:rPr>
          <w:rFonts w:asciiTheme="majorHAnsi" w:hAnsiTheme="majorHAnsi" w:cstheme="majorHAnsi"/>
          <w:sz w:val="18"/>
          <w:szCs w:val="20"/>
        </w:rPr>
        <w:t>4) V případě provádění jednotlivých výsadeb okolo HOZ požadujeme výsadbu pouze po jedné straně ve vzdálenosti min. 3 m od vrchní hrany u otevřených HOZ, a u zakrytých ve vzdálenosti min. 4 m od osy potrubí.</w:t>
      </w:r>
    </w:p>
    <w:p w14:paraId="79E44B7D" w14:textId="76987B90" w:rsidR="00E7718F" w:rsidRPr="006070EA" w:rsidRDefault="000B6F18" w:rsidP="000B6F18">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5) Podél stavby HOZ nebude navržen žádný nový prvek systému ekologické stability krajiny.</w:t>
      </w:r>
    </w:p>
    <w:p w14:paraId="19EA6AC0" w14:textId="03C6C003" w:rsidR="00531B60" w:rsidRPr="006070EA" w:rsidRDefault="00531B60" w:rsidP="00531B60">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Rozsah melioračních opatření </w:t>
      </w:r>
      <w:r w:rsidR="00E7718F" w:rsidRPr="006070EA">
        <w:rPr>
          <w:rFonts w:asciiTheme="majorHAnsi" w:hAnsiTheme="majorHAnsi" w:cstheme="majorHAnsi"/>
          <w:sz w:val="18"/>
          <w:szCs w:val="20"/>
        </w:rPr>
        <w:t xml:space="preserve">v detailu dle aktuálních dat ÚAP </w:t>
      </w:r>
      <w:r w:rsidRPr="006070EA">
        <w:rPr>
          <w:rFonts w:asciiTheme="majorHAnsi" w:hAnsiTheme="majorHAnsi" w:cstheme="majorHAnsi"/>
          <w:sz w:val="18"/>
          <w:szCs w:val="20"/>
        </w:rPr>
        <w:t xml:space="preserve">je zobrazen </w:t>
      </w:r>
      <w:r w:rsidRPr="006070EA">
        <w:rPr>
          <w:rFonts w:asciiTheme="majorHAnsi" w:hAnsiTheme="majorHAnsi" w:cstheme="majorHAnsi"/>
          <w:sz w:val="18"/>
        </w:rPr>
        <w:t xml:space="preserve">ve výkrese </w:t>
      </w:r>
      <w:r w:rsidR="003F5D13" w:rsidRPr="006070EA">
        <w:rPr>
          <w:rFonts w:asciiTheme="majorHAnsi" w:hAnsiTheme="majorHAnsi" w:cstheme="majorHAnsi"/>
          <w:i/>
          <w:sz w:val="18"/>
        </w:rPr>
        <w:t>6</w:t>
      </w:r>
      <w:r w:rsidRPr="006070EA">
        <w:rPr>
          <w:rFonts w:asciiTheme="majorHAnsi" w:hAnsiTheme="majorHAnsi" w:cstheme="majorHAnsi"/>
          <w:i/>
          <w:sz w:val="18"/>
        </w:rPr>
        <w:t xml:space="preserve"> Výkres předpokládaných záborů půdního fondu </w:t>
      </w:r>
      <w:r w:rsidRPr="006070EA">
        <w:rPr>
          <w:rFonts w:asciiTheme="majorHAnsi" w:hAnsiTheme="majorHAnsi" w:cstheme="majorHAnsi"/>
          <w:sz w:val="18"/>
        </w:rPr>
        <w:t xml:space="preserve">grafické části Odůvodnění ÚP </w:t>
      </w:r>
      <w:r w:rsidR="00F777AD" w:rsidRPr="006070EA">
        <w:rPr>
          <w:rFonts w:asciiTheme="majorHAnsi" w:hAnsiTheme="majorHAnsi" w:cstheme="majorHAnsi"/>
          <w:sz w:val="18"/>
        </w:rPr>
        <w:t>Kostomlaty nad Labem</w:t>
      </w:r>
      <w:r w:rsidRPr="006070EA">
        <w:rPr>
          <w:rFonts w:asciiTheme="majorHAnsi" w:hAnsiTheme="majorHAnsi" w:cstheme="majorHAnsi"/>
          <w:sz w:val="18"/>
        </w:rPr>
        <w:t>.</w:t>
      </w:r>
    </w:p>
    <w:p w14:paraId="510E0B7C"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53" w:name="_Toc424119878"/>
      <w:bookmarkStart w:id="454" w:name="_Toc204678231"/>
      <w:r w:rsidRPr="006070EA">
        <w:rPr>
          <w:rFonts w:asciiTheme="majorHAnsi" w:hAnsiTheme="majorHAnsi" w:cstheme="majorHAnsi"/>
          <w:b/>
        </w:rPr>
        <w:lastRenderedPageBreak/>
        <w:t>Opatření k zajištění ekologické stability, protierozní opatření</w:t>
      </w:r>
      <w:bookmarkEnd w:id="453"/>
      <w:bookmarkEnd w:id="454"/>
    </w:p>
    <w:p w14:paraId="22DB75AE" w14:textId="36F1577C" w:rsidR="00531B60" w:rsidRPr="006070EA" w:rsidRDefault="00531B60" w:rsidP="00003BBA">
      <w:pPr>
        <w:pStyle w:val="Atext"/>
        <w:rPr>
          <w:rFonts w:asciiTheme="majorHAnsi" w:hAnsiTheme="majorHAnsi" w:cstheme="majorHAnsi"/>
        </w:rPr>
      </w:pPr>
      <w:r w:rsidRPr="006070EA">
        <w:rPr>
          <w:rFonts w:asciiTheme="majorHAnsi" w:hAnsiTheme="majorHAnsi" w:cstheme="majorHAnsi"/>
        </w:rPr>
        <w:t>Územním plánem jsou vymezeny skladebné části územního systému ekologické stability regionálního a</w:t>
      </w:r>
      <w:r w:rsidR="005A4878" w:rsidRPr="006070EA">
        <w:rPr>
          <w:rFonts w:asciiTheme="majorHAnsi" w:hAnsiTheme="majorHAnsi" w:cstheme="majorHAnsi"/>
        </w:rPr>
        <w:t> </w:t>
      </w:r>
      <w:r w:rsidRPr="006070EA">
        <w:rPr>
          <w:rFonts w:asciiTheme="majorHAnsi" w:hAnsiTheme="majorHAnsi" w:cstheme="majorHAnsi"/>
        </w:rPr>
        <w:t>lokálního významu, které jsou lokalizovány především na</w:t>
      </w:r>
      <w:r w:rsidR="004A3D17" w:rsidRPr="006070EA">
        <w:rPr>
          <w:rFonts w:asciiTheme="majorHAnsi" w:hAnsiTheme="majorHAnsi" w:cstheme="majorHAnsi"/>
        </w:rPr>
        <w:t xml:space="preserve"> zemědělských a </w:t>
      </w:r>
      <w:r w:rsidR="005976F5" w:rsidRPr="006070EA">
        <w:rPr>
          <w:rFonts w:asciiTheme="majorHAnsi" w:hAnsiTheme="majorHAnsi" w:cstheme="majorHAnsi"/>
        </w:rPr>
        <w:t>lesních pozemcích</w:t>
      </w:r>
      <w:r w:rsidRPr="006070EA">
        <w:rPr>
          <w:rFonts w:asciiTheme="majorHAnsi" w:hAnsiTheme="majorHAnsi" w:cstheme="majorHAnsi"/>
        </w:rPr>
        <w:t xml:space="preserve">. Vymezení ÚSES v řešeném území je podrobně popsáno a zdůvodněno v kapitole </w:t>
      </w:r>
      <w:r w:rsidRPr="006070EA">
        <w:rPr>
          <w:rFonts w:asciiTheme="majorHAnsi" w:hAnsiTheme="majorHAnsi" w:cstheme="majorHAnsi"/>
          <w:i/>
        </w:rPr>
        <w:t>11.</w:t>
      </w:r>
      <w:r w:rsidR="005A4878" w:rsidRPr="006070EA">
        <w:rPr>
          <w:rFonts w:asciiTheme="majorHAnsi" w:hAnsiTheme="majorHAnsi" w:cstheme="majorHAnsi"/>
          <w:i/>
        </w:rPr>
        <w:t>5.</w:t>
      </w:r>
      <w:r w:rsidR="00EF7B4B" w:rsidRPr="006070EA">
        <w:rPr>
          <w:rFonts w:asciiTheme="majorHAnsi" w:hAnsiTheme="majorHAnsi" w:cstheme="majorHAnsi"/>
          <w:i/>
        </w:rPr>
        <w:t>5</w:t>
      </w:r>
      <w:r w:rsidRPr="006070EA">
        <w:rPr>
          <w:rFonts w:asciiTheme="majorHAnsi" w:hAnsiTheme="majorHAnsi" w:cstheme="majorHAnsi"/>
          <w:i/>
        </w:rPr>
        <w:t xml:space="preserve"> Odůvodnění vymezení územního systému ekologické stability</w:t>
      </w:r>
      <w:r w:rsidRPr="006070EA">
        <w:rPr>
          <w:rFonts w:asciiTheme="majorHAnsi" w:hAnsiTheme="majorHAnsi" w:cstheme="majorHAnsi"/>
        </w:rPr>
        <w:t xml:space="preserve">. </w:t>
      </w:r>
    </w:p>
    <w:p w14:paraId="583E61B0" w14:textId="42813707" w:rsidR="00531B60" w:rsidRPr="006070EA" w:rsidRDefault="00003BBA" w:rsidP="00003BBA">
      <w:pPr>
        <w:pStyle w:val="Atext"/>
        <w:rPr>
          <w:rFonts w:asciiTheme="majorHAnsi" w:hAnsiTheme="majorHAnsi" w:cstheme="majorHAnsi"/>
        </w:rPr>
      </w:pPr>
      <w:r w:rsidRPr="006070EA">
        <w:rPr>
          <w:rFonts w:asciiTheme="majorHAnsi" w:hAnsiTheme="majorHAnsi" w:cstheme="majorHAnsi"/>
        </w:rPr>
        <w:t xml:space="preserve">Zábor zemědělské půdy se předpokládá pouze u některých skladebných částí ÚSES. Jedná se zejména o doplnění stávajících částečně funkčních nebo nefunkčních skladebných částí ÚSES. K záborům zemědělské půdy dojde prakticky v případech zakládání a doplňování krajinné zeleně. </w:t>
      </w:r>
      <w:r w:rsidR="00F777AD" w:rsidRPr="006070EA">
        <w:rPr>
          <w:rFonts w:asciiTheme="majorHAnsi" w:hAnsiTheme="majorHAnsi" w:cstheme="majorHAnsi"/>
        </w:rPr>
        <w:t>P</w:t>
      </w:r>
      <w:r w:rsidR="00531B60" w:rsidRPr="006070EA">
        <w:rPr>
          <w:rFonts w:asciiTheme="majorHAnsi" w:hAnsiTheme="majorHAnsi" w:cstheme="majorHAnsi"/>
        </w:rPr>
        <w:t>lochy</w:t>
      </w:r>
      <w:r w:rsidR="00F777AD" w:rsidRPr="006070EA">
        <w:rPr>
          <w:rFonts w:asciiTheme="majorHAnsi" w:hAnsiTheme="majorHAnsi" w:cstheme="majorHAnsi"/>
        </w:rPr>
        <w:t xml:space="preserve"> změn v krajině, vymezené za účelem zajištění funkčnosti ÚSES jako součásti jednotlivých skladebných částí, jsou vyhodnoceny z hlediska záboru půdního fondu společně s ostatními plochami změn v Příloze 1. Jedná se o plochy Změn v krajině K</w:t>
      </w:r>
      <w:r w:rsidR="003F5D13" w:rsidRPr="006070EA">
        <w:rPr>
          <w:rFonts w:asciiTheme="majorHAnsi" w:hAnsiTheme="majorHAnsi" w:cstheme="majorHAnsi"/>
        </w:rPr>
        <w:t>.</w:t>
      </w:r>
      <w:r w:rsidR="00F777AD" w:rsidRPr="006070EA">
        <w:rPr>
          <w:rFonts w:asciiTheme="majorHAnsi" w:hAnsiTheme="majorHAnsi" w:cstheme="majorHAnsi"/>
        </w:rPr>
        <w:t>01 (</w:t>
      </w:r>
      <w:proofErr w:type="gramStart"/>
      <w:r w:rsidR="003F5D13" w:rsidRPr="006070EA">
        <w:rPr>
          <w:rFonts w:asciiTheme="majorHAnsi" w:hAnsiTheme="majorHAnsi" w:cstheme="majorHAnsi"/>
        </w:rPr>
        <w:t>MU.zp</w:t>
      </w:r>
      <w:proofErr w:type="gramEnd"/>
      <w:r w:rsidR="00F777AD" w:rsidRPr="006070EA">
        <w:rPr>
          <w:rFonts w:asciiTheme="majorHAnsi" w:hAnsiTheme="majorHAnsi" w:cstheme="majorHAnsi"/>
        </w:rPr>
        <w:t>), K</w:t>
      </w:r>
      <w:r w:rsidR="003F5D13" w:rsidRPr="006070EA">
        <w:rPr>
          <w:rFonts w:asciiTheme="majorHAnsi" w:hAnsiTheme="majorHAnsi" w:cstheme="majorHAnsi"/>
        </w:rPr>
        <w:t>.</w:t>
      </w:r>
      <w:r w:rsidR="00F777AD" w:rsidRPr="006070EA">
        <w:rPr>
          <w:rFonts w:asciiTheme="majorHAnsi" w:hAnsiTheme="majorHAnsi" w:cstheme="majorHAnsi"/>
        </w:rPr>
        <w:t>02 (N</w:t>
      </w:r>
      <w:r w:rsidR="003F5D13" w:rsidRPr="006070EA">
        <w:rPr>
          <w:rFonts w:asciiTheme="majorHAnsi" w:hAnsiTheme="majorHAnsi" w:cstheme="majorHAnsi"/>
        </w:rPr>
        <w:t>U</w:t>
      </w:r>
      <w:r w:rsidR="00F777AD" w:rsidRPr="006070EA">
        <w:rPr>
          <w:rFonts w:asciiTheme="majorHAnsi" w:hAnsiTheme="majorHAnsi" w:cstheme="majorHAnsi"/>
        </w:rPr>
        <w:t>), K</w:t>
      </w:r>
      <w:r w:rsidR="003F5D13" w:rsidRPr="006070EA">
        <w:rPr>
          <w:rFonts w:asciiTheme="majorHAnsi" w:hAnsiTheme="majorHAnsi" w:cstheme="majorHAnsi"/>
        </w:rPr>
        <w:t>.</w:t>
      </w:r>
      <w:r w:rsidR="00F777AD" w:rsidRPr="006070EA">
        <w:rPr>
          <w:rFonts w:asciiTheme="majorHAnsi" w:hAnsiTheme="majorHAnsi" w:cstheme="majorHAnsi"/>
        </w:rPr>
        <w:t>03 (N</w:t>
      </w:r>
      <w:r w:rsidR="003F5D13" w:rsidRPr="006070EA">
        <w:rPr>
          <w:rFonts w:asciiTheme="majorHAnsi" w:hAnsiTheme="majorHAnsi" w:cstheme="majorHAnsi"/>
        </w:rPr>
        <w:t>U</w:t>
      </w:r>
      <w:r w:rsidR="00F777AD" w:rsidRPr="006070EA">
        <w:rPr>
          <w:rFonts w:asciiTheme="majorHAnsi" w:hAnsiTheme="majorHAnsi" w:cstheme="majorHAnsi"/>
        </w:rPr>
        <w:t>), K</w:t>
      </w:r>
      <w:r w:rsidR="003F5D13" w:rsidRPr="006070EA">
        <w:rPr>
          <w:rFonts w:asciiTheme="majorHAnsi" w:hAnsiTheme="majorHAnsi" w:cstheme="majorHAnsi"/>
        </w:rPr>
        <w:t>.</w:t>
      </w:r>
      <w:r w:rsidR="00F777AD" w:rsidRPr="006070EA">
        <w:rPr>
          <w:rFonts w:asciiTheme="majorHAnsi" w:hAnsiTheme="majorHAnsi" w:cstheme="majorHAnsi"/>
        </w:rPr>
        <w:t>04 (N</w:t>
      </w:r>
      <w:r w:rsidR="003F5D13" w:rsidRPr="006070EA">
        <w:rPr>
          <w:rFonts w:asciiTheme="majorHAnsi" w:hAnsiTheme="majorHAnsi" w:cstheme="majorHAnsi"/>
        </w:rPr>
        <w:t>U</w:t>
      </w:r>
      <w:r w:rsidR="00F777AD" w:rsidRPr="006070EA">
        <w:rPr>
          <w:rFonts w:asciiTheme="majorHAnsi" w:hAnsiTheme="majorHAnsi" w:cstheme="majorHAnsi"/>
        </w:rPr>
        <w:t>) a K</w:t>
      </w:r>
      <w:r w:rsidR="003F5D13" w:rsidRPr="006070EA">
        <w:rPr>
          <w:rFonts w:asciiTheme="majorHAnsi" w:hAnsiTheme="majorHAnsi" w:cstheme="majorHAnsi"/>
        </w:rPr>
        <w:t>.</w:t>
      </w:r>
      <w:r w:rsidR="00F777AD" w:rsidRPr="006070EA">
        <w:rPr>
          <w:rFonts w:asciiTheme="majorHAnsi" w:hAnsiTheme="majorHAnsi" w:cstheme="majorHAnsi"/>
        </w:rPr>
        <w:t>05 (N</w:t>
      </w:r>
      <w:r w:rsidR="003F5D13" w:rsidRPr="006070EA">
        <w:rPr>
          <w:rFonts w:asciiTheme="majorHAnsi" w:hAnsiTheme="majorHAnsi" w:cstheme="majorHAnsi"/>
        </w:rPr>
        <w:t>U</w:t>
      </w:r>
      <w:r w:rsidR="00F777AD" w:rsidRPr="006070EA">
        <w:rPr>
          <w:rFonts w:asciiTheme="majorHAnsi" w:hAnsiTheme="majorHAnsi" w:cstheme="majorHAnsi"/>
        </w:rPr>
        <w:t>).</w:t>
      </w:r>
      <w:r w:rsidR="00531B60" w:rsidRPr="006070EA">
        <w:rPr>
          <w:rFonts w:asciiTheme="majorHAnsi" w:hAnsiTheme="majorHAnsi" w:cstheme="majorHAnsi"/>
        </w:rPr>
        <w:t xml:space="preserve"> </w:t>
      </w:r>
    </w:p>
    <w:p w14:paraId="7F694E1E" w14:textId="355F52B8" w:rsidR="009E33CB" w:rsidRPr="006070EA" w:rsidRDefault="009E33CB" w:rsidP="00003BBA">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Územní systém ekologické stability je dále doplněn plochami významné zeleně plnícími funkci interakčních prvků (doplňkové opatření ÚSES), </w:t>
      </w:r>
      <w:r w:rsidR="00003BBA" w:rsidRPr="006070EA">
        <w:rPr>
          <w:rFonts w:asciiTheme="majorHAnsi" w:hAnsiTheme="majorHAnsi" w:cstheme="majorHAnsi"/>
          <w:sz w:val="18"/>
          <w:szCs w:val="20"/>
        </w:rPr>
        <w:t>a to</w:t>
      </w:r>
      <w:r w:rsidRPr="006070EA">
        <w:rPr>
          <w:rFonts w:asciiTheme="majorHAnsi" w:hAnsiTheme="majorHAnsi" w:cstheme="majorHAnsi"/>
          <w:sz w:val="18"/>
          <w:szCs w:val="20"/>
        </w:rPr>
        <w:t xml:space="preserve"> ve vazbě na liniové prvky v území. Realizace těchto prvků spočívá převážně v obnově a</w:t>
      </w:r>
      <w:r w:rsidR="00003BBA" w:rsidRPr="006070EA">
        <w:rPr>
          <w:rFonts w:asciiTheme="majorHAnsi" w:hAnsiTheme="majorHAnsi" w:cstheme="majorHAnsi"/>
          <w:sz w:val="18"/>
          <w:szCs w:val="20"/>
        </w:rPr>
        <w:t> </w:t>
      </w:r>
      <w:r w:rsidRPr="006070EA">
        <w:rPr>
          <w:rFonts w:asciiTheme="majorHAnsi" w:hAnsiTheme="majorHAnsi" w:cstheme="majorHAnsi"/>
          <w:sz w:val="18"/>
          <w:szCs w:val="20"/>
        </w:rPr>
        <w:t xml:space="preserve">doplnění liniových výsadeb stromů a keřů podél </w:t>
      </w:r>
      <w:r w:rsidR="004A3D17" w:rsidRPr="006070EA">
        <w:rPr>
          <w:rFonts w:asciiTheme="majorHAnsi" w:hAnsiTheme="majorHAnsi" w:cstheme="majorHAnsi"/>
          <w:sz w:val="18"/>
          <w:szCs w:val="20"/>
        </w:rPr>
        <w:t xml:space="preserve">silnic, </w:t>
      </w:r>
      <w:r w:rsidRPr="006070EA">
        <w:rPr>
          <w:rFonts w:asciiTheme="majorHAnsi" w:hAnsiTheme="majorHAnsi" w:cstheme="majorHAnsi"/>
          <w:sz w:val="18"/>
          <w:szCs w:val="20"/>
        </w:rPr>
        <w:t xml:space="preserve">místních komunikací, polních cest a vodotečí ve volné krajině s minimálními nároky na zábory zemědělské půdy. Plochy významné zeleně jsou součástí zejména </w:t>
      </w:r>
      <w:r w:rsidRPr="006070EA">
        <w:rPr>
          <w:rFonts w:asciiTheme="majorHAnsi" w:hAnsiTheme="majorHAnsi" w:cstheme="majorHAnsi"/>
          <w:iCs/>
          <w:sz w:val="18"/>
          <w:szCs w:val="20"/>
        </w:rPr>
        <w:t>ploch</w:t>
      </w:r>
      <w:r w:rsidRPr="006070EA">
        <w:rPr>
          <w:rFonts w:asciiTheme="majorHAnsi" w:hAnsiTheme="majorHAnsi" w:cstheme="majorHAnsi"/>
          <w:i/>
          <w:sz w:val="18"/>
          <w:szCs w:val="20"/>
        </w:rPr>
        <w:t xml:space="preserve"> </w:t>
      </w:r>
      <w:r w:rsidR="004A3D17" w:rsidRPr="006070EA">
        <w:rPr>
          <w:rFonts w:asciiTheme="majorHAnsi" w:hAnsiTheme="majorHAnsi" w:cstheme="majorHAnsi"/>
          <w:i/>
          <w:sz w:val="18"/>
          <w:szCs w:val="20"/>
        </w:rPr>
        <w:t>zemědělských</w:t>
      </w:r>
      <w:r w:rsidR="003611D5" w:rsidRPr="006070EA">
        <w:rPr>
          <w:rFonts w:asciiTheme="majorHAnsi" w:hAnsiTheme="majorHAnsi" w:cstheme="majorHAnsi"/>
          <w:i/>
          <w:sz w:val="18"/>
          <w:szCs w:val="20"/>
        </w:rPr>
        <w:t xml:space="preserve"> všeobecných</w:t>
      </w:r>
      <w:r w:rsidR="004A3D17" w:rsidRPr="006070EA">
        <w:rPr>
          <w:rFonts w:asciiTheme="majorHAnsi" w:hAnsiTheme="majorHAnsi" w:cstheme="majorHAnsi"/>
          <w:sz w:val="18"/>
          <w:szCs w:val="20"/>
        </w:rPr>
        <w:t xml:space="preserve"> (</w:t>
      </w:r>
      <w:r w:rsidR="003611D5" w:rsidRPr="006070EA">
        <w:rPr>
          <w:rFonts w:asciiTheme="majorHAnsi" w:hAnsiTheme="majorHAnsi" w:cstheme="majorHAnsi"/>
          <w:sz w:val="18"/>
          <w:szCs w:val="20"/>
        </w:rPr>
        <w:t>AU</w:t>
      </w:r>
      <w:r w:rsidR="004A3D17" w:rsidRPr="006070EA">
        <w:rPr>
          <w:rFonts w:asciiTheme="majorHAnsi" w:hAnsiTheme="majorHAnsi" w:cstheme="majorHAnsi"/>
          <w:sz w:val="18"/>
          <w:szCs w:val="20"/>
        </w:rPr>
        <w:t xml:space="preserve">), </w:t>
      </w:r>
      <w:r w:rsidR="005A4878" w:rsidRPr="006070EA">
        <w:rPr>
          <w:rFonts w:asciiTheme="majorHAnsi" w:hAnsiTheme="majorHAnsi" w:cstheme="majorHAnsi"/>
          <w:i/>
          <w:sz w:val="18"/>
          <w:szCs w:val="20"/>
        </w:rPr>
        <w:t>smíšených nezastavěného území</w:t>
      </w:r>
      <w:r w:rsidRPr="006070EA">
        <w:rPr>
          <w:rFonts w:asciiTheme="majorHAnsi" w:hAnsiTheme="majorHAnsi" w:cstheme="majorHAnsi"/>
          <w:i/>
          <w:sz w:val="18"/>
          <w:szCs w:val="20"/>
        </w:rPr>
        <w:t xml:space="preserve"> </w:t>
      </w:r>
      <w:r w:rsidR="003611D5" w:rsidRPr="006070EA">
        <w:rPr>
          <w:rFonts w:asciiTheme="majorHAnsi" w:hAnsiTheme="majorHAnsi" w:cstheme="majorHAnsi"/>
          <w:i/>
          <w:sz w:val="18"/>
          <w:szCs w:val="20"/>
        </w:rPr>
        <w:t>–</w:t>
      </w:r>
      <w:r w:rsidR="005A4878" w:rsidRPr="006070EA">
        <w:rPr>
          <w:rFonts w:asciiTheme="majorHAnsi" w:hAnsiTheme="majorHAnsi" w:cstheme="majorHAnsi"/>
          <w:i/>
          <w:sz w:val="18"/>
          <w:szCs w:val="20"/>
        </w:rPr>
        <w:t xml:space="preserve"> zeměděls</w:t>
      </w:r>
      <w:r w:rsidR="003611D5" w:rsidRPr="006070EA">
        <w:rPr>
          <w:rFonts w:asciiTheme="majorHAnsi" w:hAnsiTheme="majorHAnsi" w:cstheme="majorHAnsi"/>
          <w:i/>
          <w:sz w:val="18"/>
          <w:szCs w:val="20"/>
        </w:rPr>
        <w:t>tví extenzivní</w:t>
      </w:r>
      <w:r w:rsidR="005A4878" w:rsidRPr="006070EA">
        <w:rPr>
          <w:rFonts w:asciiTheme="majorHAnsi" w:hAnsiTheme="majorHAnsi" w:cstheme="majorHAnsi"/>
          <w:i/>
          <w:sz w:val="18"/>
          <w:szCs w:val="20"/>
        </w:rPr>
        <w:t>, přírodní</w:t>
      </w:r>
      <w:r w:rsidR="003611D5" w:rsidRPr="006070EA">
        <w:rPr>
          <w:rFonts w:asciiTheme="majorHAnsi" w:hAnsiTheme="majorHAnsi" w:cstheme="majorHAnsi"/>
          <w:i/>
          <w:sz w:val="18"/>
          <w:szCs w:val="20"/>
        </w:rPr>
        <w:t xml:space="preserve"> priority</w:t>
      </w:r>
      <w:r w:rsidR="005A4878" w:rsidRPr="006070EA">
        <w:rPr>
          <w:rFonts w:asciiTheme="majorHAnsi" w:hAnsiTheme="majorHAnsi" w:cstheme="majorHAnsi"/>
          <w:sz w:val="18"/>
          <w:szCs w:val="20"/>
        </w:rPr>
        <w:t xml:space="preserve"> </w:t>
      </w:r>
      <w:r w:rsidRPr="006070EA">
        <w:rPr>
          <w:rFonts w:asciiTheme="majorHAnsi" w:hAnsiTheme="majorHAnsi" w:cstheme="majorHAnsi"/>
          <w:sz w:val="18"/>
          <w:szCs w:val="20"/>
        </w:rPr>
        <w:t>(</w:t>
      </w:r>
      <w:proofErr w:type="gramStart"/>
      <w:r w:rsidR="003611D5" w:rsidRPr="006070EA">
        <w:rPr>
          <w:rFonts w:asciiTheme="majorHAnsi" w:hAnsiTheme="majorHAnsi" w:cstheme="majorHAnsi"/>
          <w:sz w:val="18"/>
          <w:szCs w:val="20"/>
        </w:rPr>
        <w:t>MU.zp</w:t>
      </w:r>
      <w:proofErr w:type="gramEnd"/>
      <w:r w:rsidRPr="006070EA">
        <w:rPr>
          <w:rFonts w:asciiTheme="majorHAnsi" w:hAnsiTheme="majorHAnsi" w:cstheme="majorHAnsi"/>
          <w:sz w:val="18"/>
          <w:szCs w:val="20"/>
        </w:rPr>
        <w:t xml:space="preserve">), </w:t>
      </w:r>
      <w:r w:rsidR="00003BBA" w:rsidRPr="006070EA">
        <w:rPr>
          <w:rFonts w:asciiTheme="majorHAnsi" w:hAnsiTheme="majorHAnsi" w:cstheme="majorHAnsi"/>
          <w:i/>
          <w:iCs/>
          <w:sz w:val="18"/>
          <w:szCs w:val="20"/>
        </w:rPr>
        <w:t>smíšených nezastavěného území – rekrea</w:t>
      </w:r>
      <w:r w:rsidR="003611D5" w:rsidRPr="006070EA">
        <w:rPr>
          <w:rFonts w:asciiTheme="majorHAnsi" w:hAnsiTheme="majorHAnsi" w:cstheme="majorHAnsi"/>
          <w:i/>
          <w:iCs/>
          <w:sz w:val="18"/>
          <w:szCs w:val="20"/>
        </w:rPr>
        <w:t>ce nepobytová</w:t>
      </w:r>
      <w:r w:rsidR="00003BBA" w:rsidRPr="006070EA">
        <w:rPr>
          <w:rFonts w:asciiTheme="majorHAnsi" w:hAnsiTheme="majorHAnsi" w:cstheme="majorHAnsi"/>
          <w:i/>
          <w:iCs/>
          <w:sz w:val="18"/>
          <w:szCs w:val="20"/>
        </w:rPr>
        <w:t xml:space="preserve"> </w:t>
      </w:r>
      <w:r w:rsidR="00003BBA" w:rsidRPr="006070EA">
        <w:rPr>
          <w:rFonts w:asciiTheme="majorHAnsi" w:hAnsiTheme="majorHAnsi" w:cstheme="majorHAnsi"/>
          <w:sz w:val="18"/>
          <w:szCs w:val="20"/>
        </w:rPr>
        <w:t>(</w:t>
      </w:r>
      <w:proofErr w:type="gramStart"/>
      <w:r w:rsidR="003611D5" w:rsidRPr="006070EA">
        <w:rPr>
          <w:rFonts w:asciiTheme="majorHAnsi" w:hAnsiTheme="majorHAnsi" w:cstheme="majorHAnsi"/>
          <w:sz w:val="18"/>
          <w:szCs w:val="20"/>
        </w:rPr>
        <w:t>MU.r</w:t>
      </w:r>
      <w:proofErr w:type="gramEnd"/>
      <w:r w:rsidR="00003BBA" w:rsidRPr="006070EA">
        <w:rPr>
          <w:rFonts w:asciiTheme="majorHAnsi" w:hAnsiTheme="majorHAnsi" w:cstheme="majorHAnsi"/>
          <w:sz w:val="18"/>
          <w:szCs w:val="20"/>
        </w:rPr>
        <w:t xml:space="preserve">), </w:t>
      </w:r>
      <w:r w:rsidR="003611D5" w:rsidRPr="006070EA">
        <w:rPr>
          <w:rFonts w:asciiTheme="majorHAnsi" w:hAnsiTheme="majorHAnsi" w:cstheme="majorHAnsi"/>
          <w:i/>
          <w:sz w:val="18"/>
          <w:szCs w:val="20"/>
        </w:rPr>
        <w:t xml:space="preserve">dopravy </w:t>
      </w:r>
      <w:r w:rsidR="005A4878" w:rsidRPr="006070EA">
        <w:rPr>
          <w:rFonts w:asciiTheme="majorHAnsi" w:hAnsiTheme="majorHAnsi" w:cstheme="majorHAnsi"/>
          <w:i/>
          <w:sz w:val="18"/>
          <w:szCs w:val="20"/>
        </w:rPr>
        <w:t>silniční</w:t>
      </w:r>
      <w:r w:rsidRPr="006070EA">
        <w:rPr>
          <w:rFonts w:asciiTheme="majorHAnsi" w:hAnsiTheme="majorHAnsi" w:cstheme="majorHAnsi"/>
          <w:sz w:val="18"/>
          <w:szCs w:val="20"/>
        </w:rPr>
        <w:t xml:space="preserve"> (DS) a </w:t>
      </w:r>
      <w:r w:rsidRPr="006070EA">
        <w:rPr>
          <w:rFonts w:asciiTheme="majorHAnsi" w:hAnsiTheme="majorHAnsi" w:cstheme="majorHAnsi"/>
          <w:i/>
          <w:sz w:val="18"/>
          <w:szCs w:val="20"/>
        </w:rPr>
        <w:t>veřejných prostranství</w:t>
      </w:r>
      <w:r w:rsidR="003611D5" w:rsidRPr="006070EA">
        <w:rPr>
          <w:rFonts w:asciiTheme="majorHAnsi" w:hAnsiTheme="majorHAnsi" w:cstheme="majorHAnsi"/>
          <w:i/>
          <w:sz w:val="18"/>
          <w:szCs w:val="20"/>
        </w:rPr>
        <w:t xml:space="preserve"> všeobecných</w:t>
      </w:r>
      <w:r w:rsidRPr="006070EA">
        <w:rPr>
          <w:rFonts w:asciiTheme="majorHAnsi" w:hAnsiTheme="majorHAnsi" w:cstheme="majorHAnsi"/>
          <w:sz w:val="18"/>
          <w:szCs w:val="20"/>
        </w:rPr>
        <w:t xml:space="preserve"> (P</w:t>
      </w:r>
      <w:r w:rsidR="003611D5" w:rsidRPr="006070EA">
        <w:rPr>
          <w:rFonts w:asciiTheme="majorHAnsi" w:hAnsiTheme="majorHAnsi" w:cstheme="majorHAnsi"/>
          <w:sz w:val="18"/>
          <w:szCs w:val="20"/>
        </w:rPr>
        <w:t>U</w:t>
      </w:r>
      <w:r w:rsidRPr="006070EA">
        <w:rPr>
          <w:rFonts w:asciiTheme="majorHAnsi" w:hAnsiTheme="majorHAnsi" w:cstheme="majorHAnsi"/>
          <w:sz w:val="18"/>
          <w:szCs w:val="20"/>
        </w:rPr>
        <w:t>).</w:t>
      </w:r>
    </w:p>
    <w:p w14:paraId="05E6D867" w14:textId="26DC49E8" w:rsidR="009E33CB" w:rsidRPr="006070EA" w:rsidRDefault="009E33CB" w:rsidP="00003BBA">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Další </w:t>
      </w:r>
      <w:r w:rsidR="005F62AB" w:rsidRPr="006070EA">
        <w:rPr>
          <w:rFonts w:asciiTheme="majorHAnsi" w:hAnsiTheme="majorHAnsi" w:cstheme="majorHAnsi"/>
          <w:sz w:val="18"/>
          <w:szCs w:val="20"/>
        </w:rPr>
        <w:t>ekologicko-stabilizační</w:t>
      </w:r>
      <w:r w:rsidRPr="006070EA">
        <w:rPr>
          <w:rFonts w:asciiTheme="majorHAnsi" w:hAnsiTheme="majorHAnsi" w:cstheme="majorHAnsi"/>
          <w:sz w:val="18"/>
          <w:szCs w:val="20"/>
        </w:rPr>
        <w:t xml:space="preserve"> opatření je možné realizovat v rámci ploch s rozdílným způsobem využití, zejména v</w:t>
      </w:r>
      <w:r w:rsidR="004A3D17" w:rsidRPr="006070EA">
        <w:rPr>
          <w:rFonts w:asciiTheme="majorHAnsi" w:hAnsiTheme="majorHAnsi" w:cstheme="majorHAnsi"/>
          <w:sz w:val="18"/>
          <w:szCs w:val="20"/>
        </w:rPr>
        <w:t> </w:t>
      </w:r>
      <w:r w:rsidRPr="006070EA">
        <w:rPr>
          <w:rFonts w:asciiTheme="majorHAnsi" w:hAnsiTheme="majorHAnsi" w:cstheme="majorHAnsi"/>
          <w:iCs/>
          <w:sz w:val="18"/>
          <w:szCs w:val="20"/>
        </w:rPr>
        <w:t>plochách</w:t>
      </w:r>
      <w:r w:rsidR="004A3D17" w:rsidRPr="006070EA">
        <w:rPr>
          <w:rFonts w:asciiTheme="majorHAnsi" w:hAnsiTheme="majorHAnsi" w:cstheme="majorHAnsi"/>
          <w:i/>
          <w:sz w:val="18"/>
          <w:szCs w:val="20"/>
        </w:rPr>
        <w:t xml:space="preserve"> zemědělských</w:t>
      </w:r>
      <w:r w:rsidR="003611D5" w:rsidRPr="006070EA">
        <w:rPr>
          <w:rFonts w:asciiTheme="majorHAnsi" w:hAnsiTheme="majorHAnsi" w:cstheme="majorHAnsi"/>
          <w:i/>
          <w:sz w:val="18"/>
          <w:szCs w:val="20"/>
        </w:rPr>
        <w:t xml:space="preserve"> všeobecných</w:t>
      </w:r>
      <w:r w:rsidR="004A3D17" w:rsidRPr="006070EA">
        <w:rPr>
          <w:rFonts w:asciiTheme="majorHAnsi" w:hAnsiTheme="majorHAnsi" w:cstheme="majorHAnsi"/>
          <w:sz w:val="18"/>
          <w:szCs w:val="20"/>
        </w:rPr>
        <w:t xml:space="preserve"> (</w:t>
      </w:r>
      <w:r w:rsidR="003611D5" w:rsidRPr="006070EA">
        <w:rPr>
          <w:rFonts w:asciiTheme="majorHAnsi" w:hAnsiTheme="majorHAnsi" w:cstheme="majorHAnsi"/>
          <w:sz w:val="18"/>
          <w:szCs w:val="20"/>
        </w:rPr>
        <w:t>AU</w:t>
      </w:r>
      <w:r w:rsidR="004A3D17" w:rsidRPr="006070EA">
        <w:rPr>
          <w:rFonts w:asciiTheme="majorHAnsi" w:hAnsiTheme="majorHAnsi" w:cstheme="majorHAnsi"/>
          <w:sz w:val="18"/>
          <w:szCs w:val="20"/>
        </w:rPr>
        <w:t>),</w:t>
      </w:r>
      <w:r w:rsidRPr="006070EA">
        <w:rPr>
          <w:rFonts w:asciiTheme="majorHAnsi" w:hAnsiTheme="majorHAnsi" w:cstheme="majorHAnsi"/>
          <w:sz w:val="18"/>
          <w:szCs w:val="20"/>
        </w:rPr>
        <w:t xml:space="preserve"> </w:t>
      </w:r>
      <w:r w:rsidR="005F62AB" w:rsidRPr="006070EA">
        <w:rPr>
          <w:rFonts w:asciiTheme="majorHAnsi" w:hAnsiTheme="majorHAnsi" w:cstheme="majorHAnsi"/>
          <w:i/>
          <w:sz w:val="18"/>
          <w:szCs w:val="20"/>
        </w:rPr>
        <w:t xml:space="preserve">smíšených nezastavěného území </w:t>
      </w:r>
      <w:r w:rsidR="005F62AB" w:rsidRPr="006070EA">
        <w:rPr>
          <w:rFonts w:asciiTheme="majorHAnsi" w:hAnsiTheme="majorHAnsi" w:cstheme="majorHAnsi"/>
          <w:sz w:val="18"/>
          <w:szCs w:val="20"/>
        </w:rPr>
        <w:t>(</w:t>
      </w:r>
      <w:proofErr w:type="gramStart"/>
      <w:r w:rsidR="003611D5" w:rsidRPr="006070EA">
        <w:rPr>
          <w:rFonts w:asciiTheme="majorHAnsi" w:hAnsiTheme="majorHAnsi" w:cstheme="majorHAnsi"/>
          <w:sz w:val="18"/>
          <w:szCs w:val="20"/>
        </w:rPr>
        <w:t>MU.zp</w:t>
      </w:r>
      <w:proofErr w:type="gramEnd"/>
      <w:r w:rsidR="00003BBA" w:rsidRPr="006070EA">
        <w:rPr>
          <w:rFonts w:asciiTheme="majorHAnsi" w:hAnsiTheme="majorHAnsi" w:cstheme="majorHAnsi"/>
          <w:sz w:val="18"/>
          <w:szCs w:val="20"/>
        </w:rPr>
        <w:t xml:space="preserve">, </w:t>
      </w:r>
      <w:proofErr w:type="gramStart"/>
      <w:r w:rsidR="003611D5" w:rsidRPr="006070EA">
        <w:rPr>
          <w:rFonts w:asciiTheme="majorHAnsi" w:hAnsiTheme="majorHAnsi" w:cstheme="majorHAnsi"/>
          <w:sz w:val="18"/>
          <w:szCs w:val="20"/>
        </w:rPr>
        <w:t>MU.r</w:t>
      </w:r>
      <w:proofErr w:type="gramEnd"/>
      <w:r w:rsidR="00003BBA" w:rsidRPr="006070EA">
        <w:rPr>
          <w:rFonts w:asciiTheme="majorHAnsi" w:hAnsiTheme="majorHAnsi" w:cstheme="majorHAnsi"/>
          <w:sz w:val="18"/>
          <w:szCs w:val="20"/>
        </w:rPr>
        <w:t xml:space="preserve">, </w:t>
      </w:r>
      <w:proofErr w:type="gramStart"/>
      <w:r w:rsidR="003611D5" w:rsidRPr="006070EA">
        <w:rPr>
          <w:rFonts w:asciiTheme="majorHAnsi" w:hAnsiTheme="majorHAnsi" w:cstheme="majorHAnsi"/>
          <w:sz w:val="18"/>
          <w:szCs w:val="20"/>
        </w:rPr>
        <w:t>MU.s</w:t>
      </w:r>
      <w:proofErr w:type="gramEnd"/>
      <w:r w:rsidR="005F62AB" w:rsidRPr="006070EA">
        <w:rPr>
          <w:rFonts w:asciiTheme="majorHAnsi" w:hAnsiTheme="majorHAnsi" w:cstheme="majorHAnsi"/>
          <w:sz w:val="18"/>
          <w:szCs w:val="20"/>
        </w:rPr>
        <w:t xml:space="preserve">) a </w:t>
      </w:r>
      <w:r w:rsidR="005F62AB" w:rsidRPr="006070EA">
        <w:rPr>
          <w:rFonts w:asciiTheme="majorHAnsi" w:hAnsiTheme="majorHAnsi" w:cstheme="majorHAnsi"/>
          <w:i/>
          <w:sz w:val="18"/>
          <w:szCs w:val="20"/>
        </w:rPr>
        <w:t>přírodních</w:t>
      </w:r>
      <w:r w:rsidR="003611D5" w:rsidRPr="006070EA">
        <w:rPr>
          <w:rFonts w:asciiTheme="majorHAnsi" w:hAnsiTheme="majorHAnsi" w:cstheme="majorHAnsi"/>
          <w:i/>
          <w:sz w:val="18"/>
          <w:szCs w:val="20"/>
        </w:rPr>
        <w:t xml:space="preserve"> všeobecných</w:t>
      </w:r>
      <w:r w:rsidR="005F62AB" w:rsidRPr="006070EA">
        <w:rPr>
          <w:rFonts w:asciiTheme="majorHAnsi" w:hAnsiTheme="majorHAnsi" w:cstheme="majorHAnsi"/>
          <w:sz w:val="18"/>
          <w:szCs w:val="20"/>
        </w:rPr>
        <w:t xml:space="preserve"> (N</w:t>
      </w:r>
      <w:r w:rsidR="003611D5" w:rsidRPr="006070EA">
        <w:rPr>
          <w:rFonts w:asciiTheme="majorHAnsi" w:hAnsiTheme="majorHAnsi" w:cstheme="majorHAnsi"/>
          <w:sz w:val="18"/>
          <w:szCs w:val="20"/>
        </w:rPr>
        <w:t>U</w:t>
      </w:r>
      <w:r w:rsidR="005F62AB" w:rsidRPr="006070EA">
        <w:rPr>
          <w:rFonts w:asciiTheme="majorHAnsi" w:hAnsiTheme="majorHAnsi" w:cstheme="majorHAnsi"/>
          <w:sz w:val="18"/>
          <w:szCs w:val="20"/>
        </w:rPr>
        <w:t>)</w:t>
      </w:r>
      <w:r w:rsidRPr="006070EA">
        <w:rPr>
          <w:rFonts w:asciiTheme="majorHAnsi" w:hAnsiTheme="majorHAnsi" w:cstheme="majorHAnsi"/>
          <w:sz w:val="18"/>
          <w:szCs w:val="20"/>
        </w:rPr>
        <w:t>. V těchto plochách, které zahrnují převážnou část ZPF na území obce, jsou v rámci podmínek využití vytvořeny podmínky pro realizaci ochranných, ekologicko-stabilizačních, protierozních a revitalizačních opatření (těmi mohou být např. úprava velikosti a tvaru pozemku, průlehy zatravněné a</w:t>
      </w:r>
      <w:r w:rsidR="005F62AB" w:rsidRPr="006070EA">
        <w:rPr>
          <w:rFonts w:asciiTheme="majorHAnsi" w:hAnsiTheme="majorHAnsi" w:cstheme="majorHAnsi"/>
          <w:sz w:val="18"/>
          <w:szCs w:val="20"/>
        </w:rPr>
        <w:t> </w:t>
      </w:r>
      <w:r w:rsidRPr="006070EA">
        <w:rPr>
          <w:rFonts w:asciiTheme="majorHAnsi" w:hAnsiTheme="majorHAnsi" w:cstheme="majorHAnsi"/>
          <w:sz w:val="18"/>
          <w:szCs w:val="20"/>
        </w:rPr>
        <w:t>obdělávané, terénní úpravy, urovnávky, hloubkové kypření, protierozní osevní postupy, pásové střídání plodin, vrstevnicové obdělávání půdy, výsev do strniště, pěstování ochranných plodin, důlkování a</w:t>
      </w:r>
      <w:r w:rsidR="005A4878" w:rsidRPr="006070EA">
        <w:rPr>
          <w:rFonts w:asciiTheme="majorHAnsi" w:hAnsiTheme="majorHAnsi" w:cstheme="majorHAnsi"/>
          <w:sz w:val="18"/>
          <w:szCs w:val="20"/>
        </w:rPr>
        <w:t> </w:t>
      </w:r>
      <w:r w:rsidRPr="006070EA">
        <w:rPr>
          <w:rFonts w:asciiTheme="majorHAnsi" w:hAnsiTheme="majorHAnsi" w:cstheme="majorHAnsi"/>
          <w:sz w:val="18"/>
          <w:szCs w:val="20"/>
        </w:rPr>
        <w:t>přerušování brázdování, mulčování, protivětrné zábrany, ochranné zatravnění, obnova drnu apod.). Tato opatření nebudou mít negativní vliv na stav ZPF v území a nepředstavují předpokládané zábory.</w:t>
      </w:r>
    </w:p>
    <w:p w14:paraId="04089281"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55" w:name="_Toc424119879"/>
      <w:bookmarkStart w:id="456" w:name="_Toc204678232"/>
      <w:r w:rsidRPr="006070EA">
        <w:rPr>
          <w:rFonts w:asciiTheme="majorHAnsi" w:hAnsiTheme="majorHAnsi" w:cstheme="majorHAnsi"/>
          <w:b/>
        </w:rPr>
        <w:t>Prostupnost krajiny a zemědělské účelové komunikace</w:t>
      </w:r>
      <w:bookmarkEnd w:id="455"/>
      <w:bookmarkEnd w:id="456"/>
    </w:p>
    <w:p w14:paraId="57E92359" w14:textId="5EC8272C" w:rsidR="009E33CB" w:rsidRPr="006070EA" w:rsidRDefault="009E33CB" w:rsidP="00003BBA">
      <w:pPr>
        <w:spacing w:before="120" w:after="120" w:line="240" w:lineRule="auto"/>
        <w:ind w:firstLine="709"/>
        <w:jc w:val="both"/>
        <w:rPr>
          <w:rFonts w:asciiTheme="majorHAnsi" w:hAnsiTheme="majorHAnsi" w:cstheme="majorHAnsi"/>
          <w:i/>
          <w:sz w:val="18"/>
          <w:szCs w:val="20"/>
        </w:rPr>
      </w:pPr>
      <w:r w:rsidRPr="006070EA">
        <w:rPr>
          <w:rFonts w:asciiTheme="majorHAnsi" w:hAnsiTheme="majorHAnsi" w:cstheme="majorHAnsi"/>
          <w:sz w:val="18"/>
          <w:szCs w:val="20"/>
        </w:rPr>
        <w:t xml:space="preserve">Zajištění prostupnosti krajiny v řešeném území je podrobně popsáno a zdůvodněno v kapitole </w:t>
      </w:r>
      <w:r w:rsidR="005202E3" w:rsidRPr="006070EA">
        <w:rPr>
          <w:rFonts w:asciiTheme="majorHAnsi" w:hAnsiTheme="majorHAnsi" w:cstheme="majorHAnsi"/>
          <w:i/>
          <w:sz w:val="18"/>
          <w:szCs w:val="20"/>
        </w:rPr>
        <w:t>11.5.</w:t>
      </w:r>
      <w:r w:rsidR="00EF7B4B" w:rsidRPr="006070EA">
        <w:rPr>
          <w:rFonts w:asciiTheme="majorHAnsi" w:hAnsiTheme="majorHAnsi" w:cstheme="majorHAnsi"/>
          <w:i/>
          <w:sz w:val="18"/>
          <w:szCs w:val="20"/>
        </w:rPr>
        <w:t xml:space="preserve">6 </w:t>
      </w:r>
      <w:r w:rsidRPr="006070EA">
        <w:rPr>
          <w:rFonts w:asciiTheme="majorHAnsi" w:hAnsiTheme="majorHAnsi" w:cstheme="majorHAnsi"/>
          <w:i/>
          <w:sz w:val="18"/>
          <w:szCs w:val="20"/>
        </w:rPr>
        <w:t xml:space="preserve">Odůvodnění </w:t>
      </w:r>
      <w:r w:rsidR="005202E3" w:rsidRPr="006070EA">
        <w:rPr>
          <w:rFonts w:asciiTheme="majorHAnsi" w:hAnsiTheme="majorHAnsi" w:cstheme="majorHAnsi"/>
          <w:i/>
          <w:sz w:val="18"/>
          <w:szCs w:val="20"/>
        </w:rPr>
        <w:t>zásad zajištění</w:t>
      </w:r>
      <w:r w:rsidRPr="006070EA">
        <w:rPr>
          <w:rFonts w:asciiTheme="majorHAnsi" w:hAnsiTheme="majorHAnsi" w:cstheme="majorHAnsi"/>
          <w:i/>
          <w:sz w:val="18"/>
          <w:szCs w:val="20"/>
        </w:rPr>
        <w:t xml:space="preserve"> prostupnosti krajiny.</w:t>
      </w:r>
    </w:p>
    <w:p w14:paraId="25FDE7EC" w14:textId="50AA5948" w:rsidR="005F62AB" w:rsidRPr="006070EA" w:rsidRDefault="005F62AB" w:rsidP="00003BBA">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Systém zemědělských účelových komunikací není územním plánem dotčen. Jako stávající plochy veřejných prostranství jsou vymezeny stabilizované nebo navrhované cesty ve volné krajině nutné k zajištění minimální prostupnosti území. ÚP </w:t>
      </w:r>
      <w:r w:rsidR="00003BBA" w:rsidRPr="006070EA">
        <w:rPr>
          <w:rFonts w:asciiTheme="majorHAnsi" w:hAnsiTheme="majorHAnsi" w:cstheme="majorHAnsi"/>
          <w:sz w:val="18"/>
          <w:szCs w:val="20"/>
        </w:rPr>
        <w:t>Kostomlaty nad Labem</w:t>
      </w:r>
      <w:r w:rsidRPr="006070EA">
        <w:rPr>
          <w:rFonts w:asciiTheme="majorHAnsi" w:hAnsiTheme="majorHAnsi" w:cstheme="majorHAnsi"/>
          <w:sz w:val="18"/>
          <w:szCs w:val="20"/>
        </w:rPr>
        <w:t xml:space="preserve"> vytváří podmínky pro rozvoj cestní sítě ve volné krajině; případná realizace nezbytných přístupových komunikací je územním plánem umožněna v rámci jednotlivých ploch s rozdílným způsobem využití, zejména v plochách </w:t>
      </w:r>
      <w:r w:rsidR="00E512AF" w:rsidRPr="006070EA">
        <w:rPr>
          <w:rFonts w:asciiTheme="majorHAnsi" w:hAnsiTheme="majorHAnsi" w:cstheme="majorHAnsi"/>
          <w:sz w:val="18"/>
          <w:szCs w:val="20"/>
        </w:rPr>
        <w:t>zemědělských</w:t>
      </w:r>
      <w:r w:rsidR="000E2721" w:rsidRPr="006070EA">
        <w:rPr>
          <w:rFonts w:asciiTheme="majorHAnsi" w:hAnsiTheme="majorHAnsi" w:cstheme="majorHAnsi"/>
          <w:sz w:val="18"/>
          <w:szCs w:val="20"/>
        </w:rPr>
        <w:t xml:space="preserve"> všeobecných</w:t>
      </w:r>
      <w:r w:rsidR="00E512AF" w:rsidRPr="006070EA">
        <w:rPr>
          <w:rFonts w:asciiTheme="majorHAnsi" w:hAnsiTheme="majorHAnsi" w:cstheme="majorHAnsi"/>
          <w:sz w:val="18"/>
          <w:szCs w:val="20"/>
        </w:rPr>
        <w:t xml:space="preserve"> (</w:t>
      </w:r>
      <w:r w:rsidR="000E2721" w:rsidRPr="006070EA">
        <w:rPr>
          <w:rFonts w:asciiTheme="majorHAnsi" w:hAnsiTheme="majorHAnsi" w:cstheme="majorHAnsi"/>
          <w:sz w:val="18"/>
          <w:szCs w:val="20"/>
        </w:rPr>
        <w:t>AU</w:t>
      </w:r>
      <w:r w:rsidR="00E512AF" w:rsidRPr="006070EA">
        <w:rPr>
          <w:rFonts w:asciiTheme="majorHAnsi" w:hAnsiTheme="majorHAnsi" w:cstheme="majorHAnsi"/>
          <w:sz w:val="18"/>
          <w:szCs w:val="20"/>
        </w:rPr>
        <w:t xml:space="preserve">) a v plochách </w:t>
      </w:r>
      <w:r w:rsidR="005976F5" w:rsidRPr="006070EA">
        <w:rPr>
          <w:rFonts w:asciiTheme="majorHAnsi" w:hAnsiTheme="majorHAnsi" w:cstheme="majorHAnsi"/>
          <w:sz w:val="18"/>
          <w:szCs w:val="20"/>
        </w:rPr>
        <w:t xml:space="preserve">smíšených nezastavěného území </w:t>
      </w:r>
      <w:r w:rsidRPr="006070EA">
        <w:rPr>
          <w:rFonts w:asciiTheme="majorHAnsi" w:hAnsiTheme="majorHAnsi" w:cstheme="majorHAnsi"/>
          <w:sz w:val="18"/>
          <w:szCs w:val="20"/>
        </w:rPr>
        <w:t>(</w:t>
      </w:r>
      <w:proofErr w:type="gramStart"/>
      <w:r w:rsidR="000E2721" w:rsidRPr="006070EA">
        <w:rPr>
          <w:rFonts w:asciiTheme="majorHAnsi" w:hAnsiTheme="majorHAnsi" w:cstheme="majorHAnsi"/>
          <w:sz w:val="18"/>
          <w:szCs w:val="20"/>
        </w:rPr>
        <w:t>MU.zp</w:t>
      </w:r>
      <w:proofErr w:type="gramEnd"/>
      <w:r w:rsidR="00003BBA" w:rsidRPr="006070EA">
        <w:rPr>
          <w:rFonts w:asciiTheme="majorHAnsi" w:hAnsiTheme="majorHAnsi" w:cstheme="majorHAnsi"/>
          <w:sz w:val="18"/>
          <w:szCs w:val="20"/>
        </w:rPr>
        <w:t xml:space="preserve">, </w:t>
      </w:r>
      <w:proofErr w:type="gramStart"/>
      <w:r w:rsidR="000E2721" w:rsidRPr="006070EA">
        <w:rPr>
          <w:rFonts w:asciiTheme="majorHAnsi" w:hAnsiTheme="majorHAnsi" w:cstheme="majorHAnsi"/>
          <w:sz w:val="18"/>
          <w:szCs w:val="20"/>
        </w:rPr>
        <w:t>MU.s</w:t>
      </w:r>
      <w:proofErr w:type="gramEnd"/>
      <w:r w:rsidR="00003BBA" w:rsidRPr="006070EA">
        <w:rPr>
          <w:rFonts w:asciiTheme="majorHAnsi" w:hAnsiTheme="majorHAnsi" w:cstheme="majorHAnsi"/>
          <w:sz w:val="18"/>
          <w:szCs w:val="20"/>
        </w:rPr>
        <w:t xml:space="preserve">, </w:t>
      </w:r>
      <w:proofErr w:type="gramStart"/>
      <w:r w:rsidR="000E2721" w:rsidRPr="006070EA">
        <w:rPr>
          <w:rFonts w:asciiTheme="majorHAnsi" w:hAnsiTheme="majorHAnsi" w:cstheme="majorHAnsi"/>
          <w:sz w:val="18"/>
          <w:szCs w:val="20"/>
        </w:rPr>
        <w:t>MU.r</w:t>
      </w:r>
      <w:proofErr w:type="gramEnd"/>
      <w:r w:rsidRPr="006070EA">
        <w:rPr>
          <w:rFonts w:asciiTheme="majorHAnsi" w:hAnsiTheme="majorHAnsi" w:cstheme="majorHAnsi"/>
          <w:sz w:val="18"/>
          <w:szCs w:val="20"/>
        </w:rPr>
        <w:t>).</w:t>
      </w:r>
    </w:p>
    <w:p w14:paraId="18B7135E" w14:textId="77777777" w:rsidR="009E33CB" w:rsidRPr="006070EA" w:rsidRDefault="009E33CB" w:rsidP="00003BBA">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Řešením ÚP není narušena celistvost stávajících zemědělských bloků, tedy ani účelové komunikace, nebo cesty užívané (zvykové) ve volné krajině nejsou řešením dotčeny. </w:t>
      </w:r>
    </w:p>
    <w:p w14:paraId="426EAD54"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57" w:name="_Toc424119880"/>
      <w:bookmarkStart w:id="458" w:name="_Toc204678233"/>
      <w:r w:rsidRPr="006070EA">
        <w:rPr>
          <w:rFonts w:asciiTheme="majorHAnsi" w:hAnsiTheme="majorHAnsi" w:cstheme="majorHAnsi"/>
          <w:b/>
        </w:rPr>
        <w:t>Zemědělská prvovýroba</w:t>
      </w:r>
      <w:bookmarkEnd w:id="457"/>
      <w:bookmarkEnd w:id="458"/>
    </w:p>
    <w:p w14:paraId="2A692750" w14:textId="418E1173" w:rsidR="009E33CB" w:rsidRPr="006070EA" w:rsidRDefault="00E512AF" w:rsidP="009E33CB">
      <w:pPr>
        <w:spacing w:after="6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Stávající areály </w:t>
      </w:r>
      <w:r w:rsidR="005976F5" w:rsidRPr="006070EA">
        <w:rPr>
          <w:rFonts w:asciiTheme="majorHAnsi" w:hAnsiTheme="majorHAnsi" w:cstheme="majorHAnsi"/>
          <w:sz w:val="18"/>
          <w:szCs w:val="20"/>
        </w:rPr>
        <w:t xml:space="preserve">koncentrované </w:t>
      </w:r>
      <w:r w:rsidR="009E33CB" w:rsidRPr="006070EA">
        <w:rPr>
          <w:rFonts w:asciiTheme="majorHAnsi" w:hAnsiTheme="majorHAnsi" w:cstheme="majorHAnsi"/>
          <w:sz w:val="18"/>
          <w:szCs w:val="20"/>
        </w:rPr>
        <w:t xml:space="preserve">zemědělské výroby </w:t>
      </w:r>
      <w:r w:rsidRPr="006070EA">
        <w:rPr>
          <w:rFonts w:asciiTheme="majorHAnsi" w:hAnsiTheme="majorHAnsi" w:cstheme="majorHAnsi"/>
          <w:sz w:val="18"/>
          <w:szCs w:val="20"/>
        </w:rPr>
        <w:t xml:space="preserve">na území obce jsou územním plánem stabilizovány jejich vymezením v rámci ploch s rozdílným způsobem využití </w:t>
      </w:r>
      <w:r w:rsidRPr="006070EA">
        <w:rPr>
          <w:rFonts w:asciiTheme="majorHAnsi" w:hAnsiTheme="majorHAnsi" w:cstheme="majorHAnsi"/>
          <w:i/>
          <w:sz w:val="18"/>
          <w:szCs w:val="20"/>
        </w:rPr>
        <w:t xml:space="preserve">výroba zemědělská </w:t>
      </w:r>
      <w:r w:rsidR="000E2721" w:rsidRPr="006070EA">
        <w:rPr>
          <w:rFonts w:asciiTheme="majorHAnsi" w:hAnsiTheme="majorHAnsi" w:cstheme="majorHAnsi"/>
          <w:i/>
          <w:sz w:val="18"/>
          <w:szCs w:val="20"/>
        </w:rPr>
        <w:t xml:space="preserve">a lesnická </w:t>
      </w:r>
      <w:r w:rsidRPr="006070EA">
        <w:rPr>
          <w:rFonts w:asciiTheme="majorHAnsi" w:hAnsiTheme="majorHAnsi" w:cstheme="majorHAnsi"/>
          <w:iCs/>
          <w:sz w:val="18"/>
          <w:szCs w:val="20"/>
        </w:rPr>
        <w:t>(VZ)</w:t>
      </w:r>
      <w:r w:rsidRPr="006070EA">
        <w:rPr>
          <w:rFonts w:asciiTheme="majorHAnsi" w:hAnsiTheme="majorHAnsi" w:cstheme="majorHAnsi"/>
          <w:sz w:val="18"/>
          <w:szCs w:val="20"/>
        </w:rPr>
        <w:t>.</w:t>
      </w:r>
      <w:r w:rsidR="00003BBA" w:rsidRPr="006070EA">
        <w:rPr>
          <w:rFonts w:asciiTheme="majorHAnsi" w:hAnsiTheme="majorHAnsi" w:cstheme="majorHAnsi"/>
          <w:sz w:val="18"/>
          <w:szCs w:val="20"/>
        </w:rPr>
        <w:t xml:space="preserve"> </w:t>
      </w:r>
      <w:r w:rsidR="009E33CB" w:rsidRPr="006070EA">
        <w:rPr>
          <w:rFonts w:asciiTheme="majorHAnsi" w:hAnsiTheme="majorHAnsi" w:cstheme="majorHAnsi"/>
          <w:sz w:val="18"/>
          <w:szCs w:val="20"/>
        </w:rPr>
        <w:t xml:space="preserve">Vzhledem k charakteru </w:t>
      </w:r>
      <w:r w:rsidR="00003BBA" w:rsidRPr="006070EA">
        <w:rPr>
          <w:rFonts w:asciiTheme="majorHAnsi" w:hAnsiTheme="majorHAnsi" w:cstheme="majorHAnsi"/>
          <w:sz w:val="18"/>
          <w:szCs w:val="20"/>
        </w:rPr>
        <w:t xml:space="preserve">řešeného území </w:t>
      </w:r>
      <w:r w:rsidR="009E33CB" w:rsidRPr="006070EA">
        <w:rPr>
          <w:rFonts w:asciiTheme="majorHAnsi" w:hAnsiTheme="majorHAnsi" w:cstheme="majorHAnsi"/>
          <w:sz w:val="18"/>
          <w:szCs w:val="20"/>
        </w:rPr>
        <w:t xml:space="preserve">je drobná zemědělská výroba, která nemá negativní vliv na okolní zástavbu, umožněna </w:t>
      </w:r>
      <w:r w:rsidRPr="006070EA">
        <w:rPr>
          <w:rFonts w:asciiTheme="majorHAnsi" w:hAnsiTheme="majorHAnsi" w:cstheme="majorHAnsi"/>
          <w:sz w:val="18"/>
          <w:szCs w:val="20"/>
        </w:rPr>
        <w:t xml:space="preserve">také </w:t>
      </w:r>
      <w:r w:rsidR="009E33CB" w:rsidRPr="006070EA">
        <w:rPr>
          <w:rFonts w:asciiTheme="majorHAnsi" w:hAnsiTheme="majorHAnsi" w:cstheme="majorHAnsi"/>
          <w:sz w:val="18"/>
          <w:szCs w:val="20"/>
        </w:rPr>
        <w:t xml:space="preserve">v rámci </w:t>
      </w:r>
      <w:r w:rsidR="005976F5" w:rsidRPr="006070EA">
        <w:rPr>
          <w:rFonts w:asciiTheme="majorHAnsi" w:hAnsiTheme="majorHAnsi" w:cstheme="majorHAnsi"/>
          <w:sz w:val="18"/>
          <w:szCs w:val="20"/>
        </w:rPr>
        <w:t xml:space="preserve">daných </w:t>
      </w:r>
      <w:r w:rsidR="009E33CB" w:rsidRPr="006070EA">
        <w:rPr>
          <w:rFonts w:asciiTheme="majorHAnsi" w:hAnsiTheme="majorHAnsi" w:cstheme="majorHAnsi"/>
          <w:sz w:val="18"/>
          <w:szCs w:val="20"/>
        </w:rPr>
        <w:t xml:space="preserve">ploch s rozdílným způsobem využití, zejm. v rámci ploch </w:t>
      </w:r>
      <w:r w:rsidR="005976F5" w:rsidRPr="006070EA">
        <w:rPr>
          <w:rFonts w:asciiTheme="majorHAnsi" w:hAnsiTheme="majorHAnsi" w:cstheme="majorHAnsi"/>
          <w:i/>
          <w:sz w:val="18"/>
          <w:szCs w:val="20"/>
        </w:rPr>
        <w:t>smíšených obytných</w:t>
      </w:r>
      <w:r w:rsidR="005F62AB" w:rsidRPr="006070EA">
        <w:rPr>
          <w:rFonts w:asciiTheme="majorHAnsi" w:hAnsiTheme="majorHAnsi" w:cstheme="majorHAnsi"/>
          <w:i/>
          <w:sz w:val="18"/>
          <w:szCs w:val="20"/>
        </w:rPr>
        <w:t xml:space="preserve"> </w:t>
      </w:r>
      <w:r w:rsidR="005976F5" w:rsidRPr="006070EA">
        <w:rPr>
          <w:rFonts w:asciiTheme="majorHAnsi" w:hAnsiTheme="majorHAnsi" w:cstheme="majorHAnsi"/>
          <w:i/>
          <w:sz w:val="18"/>
          <w:szCs w:val="20"/>
        </w:rPr>
        <w:t xml:space="preserve">venkovských </w:t>
      </w:r>
      <w:r w:rsidR="005976F5" w:rsidRPr="006070EA">
        <w:rPr>
          <w:rFonts w:asciiTheme="majorHAnsi" w:hAnsiTheme="majorHAnsi" w:cstheme="majorHAnsi"/>
          <w:iCs/>
          <w:sz w:val="18"/>
          <w:szCs w:val="20"/>
        </w:rPr>
        <w:t>(S</w:t>
      </w:r>
      <w:r w:rsidR="009E33CB" w:rsidRPr="006070EA">
        <w:rPr>
          <w:rFonts w:asciiTheme="majorHAnsi" w:hAnsiTheme="majorHAnsi" w:cstheme="majorHAnsi"/>
          <w:iCs/>
          <w:sz w:val="18"/>
          <w:szCs w:val="20"/>
        </w:rPr>
        <w:t>V)</w:t>
      </w:r>
      <w:r w:rsidR="009E33CB" w:rsidRPr="006070EA">
        <w:rPr>
          <w:rFonts w:asciiTheme="majorHAnsi" w:hAnsiTheme="majorHAnsi" w:cstheme="majorHAnsi"/>
          <w:sz w:val="18"/>
          <w:szCs w:val="20"/>
        </w:rPr>
        <w:t>.</w:t>
      </w:r>
    </w:p>
    <w:p w14:paraId="1F15E5CE"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59" w:name="_Toc204678234"/>
      <w:r w:rsidRPr="006070EA">
        <w:rPr>
          <w:rFonts w:asciiTheme="majorHAnsi" w:hAnsiTheme="majorHAnsi" w:cstheme="majorHAnsi"/>
          <w:b/>
        </w:rPr>
        <w:t>Vyhodnocení záborů zemědělského půdního fondu</w:t>
      </w:r>
      <w:bookmarkEnd w:id="459"/>
    </w:p>
    <w:p w14:paraId="6F685F06" w14:textId="32F3DFE9" w:rsidR="00BA0668" w:rsidRPr="006070EA" w:rsidRDefault="00BA0668" w:rsidP="00BA0668">
      <w:pPr>
        <w:pStyle w:val="Atext"/>
        <w:rPr>
          <w:rFonts w:asciiTheme="majorHAnsi" w:hAnsiTheme="majorHAnsi" w:cstheme="majorHAnsi"/>
        </w:rPr>
      </w:pPr>
      <w:r w:rsidRPr="006070EA">
        <w:rPr>
          <w:rFonts w:asciiTheme="majorHAnsi" w:hAnsiTheme="majorHAnsi" w:cstheme="majorHAnsi"/>
        </w:rPr>
        <w:t>Vyhodnocení předpokládaných důsledků navrhovaného řešení na ZPF, resp. vyhodnocení záborů ZPF, bylo zpracováno pro všechny zastavitelné plochy, plochy změn v krajině a koridory, vyjma ploch a koridorů bez záboru ZPF (pozemky ZPF vymezením těchto ploch nejsou dotčeny).</w:t>
      </w:r>
    </w:p>
    <w:p w14:paraId="121269D6" w14:textId="77456DB0" w:rsidR="00BA0668" w:rsidRPr="006070EA" w:rsidRDefault="00BA0668" w:rsidP="00BA0668">
      <w:pPr>
        <w:pStyle w:val="Atext"/>
        <w:rPr>
          <w:rFonts w:asciiTheme="majorHAnsi" w:hAnsiTheme="majorHAnsi" w:cstheme="majorHAnsi"/>
        </w:rPr>
      </w:pPr>
      <w:r w:rsidRPr="006070EA">
        <w:rPr>
          <w:rFonts w:asciiTheme="majorHAnsi" w:hAnsiTheme="majorHAnsi" w:cstheme="majorHAnsi"/>
        </w:rPr>
        <w:t xml:space="preserve">Vyhodnocení záborů ZPF je zobrazeno v grafické části Odůvodnění ÚP Kostomlaty nad Labem ve výkrese </w:t>
      </w:r>
      <w:r w:rsidR="000E2721" w:rsidRPr="006070EA">
        <w:rPr>
          <w:rFonts w:asciiTheme="majorHAnsi" w:hAnsiTheme="majorHAnsi" w:cstheme="majorHAnsi"/>
          <w:i/>
          <w:iCs w:val="0"/>
        </w:rPr>
        <w:t>6</w:t>
      </w:r>
      <w:r w:rsidRPr="006070EA">
        <w:rPr>
          <w:rFonts w:asciiTheme="majorHAnsi" w:hAnsiTheme="majorHAnsi" w:cstheme="majorHAnsi"/>
          <w:i/>
          <w:iCs w:val="0"/>
        </w:rPr>
        <w:t xml:space="preserve"> </w:t>
      </w:r>
      <w:r w:rsidRPr="006070EA">
        <w:rPr>
          <w:rFonts w:asciiTheme="majorHAnsi" w:hAnsiTheme="majorHAnsi" w:cstheme="majorHAnsi"/>
          <w:i/>
        </w:rPr>
        <w:t>Výkres předpokládaných záborů půdního fondu</w:t>
      </w:r>
      <w:r w:rsidRPr="006070EA">
        <w:rPr>
          <w:rFonts w:asciiTheme="majorHAnsi" w:hAnsiTheme="majorHAnsi" w:cstheme="majorHAnsi"/>
        </w:rPr>
        <w:t>.</w:t>
      </w:r>
    </w:p>
    <w:p w14:paraId="6772E592" w14:textId="77777777" w:rsidR="00BA0668" w:rsidRPr="006070EA" w:rsidRDefault="00BA0668" w:rsidP="00BA0668">
      <w:pPr>
        <w:pStyle w:val="Anadpistun"/>
        <w:rPr>
          <w:rFonts w:asciiTheme="majorHAnsi" w:hAnsiTheme="majorHAnsi" w:cstheme="majorHAnsi"/>
        </w:rPr>
      </w:pPr>
      <w:r w:rsidRPr="006070EA">
        <w:rPr>
          <w:rFonts w:asciiTheme="majorHAnsi" w:hAnsiTheme="majorHAnsi" w:cstheme="majorHAnsi"/>
        </w:rPr>
        <w:t>Vyhodnocení záborů ZPF v rámci zastavitelných ploch, ploch přestavby a ploch změn v krajině</w:t>
      </w:r>
    </w:p>
    <w:p w14:paraId="3DDE0009" w14:textId="2360825D" w:rsidR="00BA0668" w:rsidRPr="006070EA" w:rsidRDefault="00BA0668" w:rsidP="00BA0668">
      <w:pPr>
        <w:pStyle w:val="Atext"/>
        <w:rPr>
          <w:rFonts w:asciiTheme="majorHAnsi" w:hAnsiTheme="majorHAnsi" w:cstheme="majorHAnsi"/>
        </w:rPr>
      </w:pPr>
      <w:r w:rsidRPr="006070EA">
        <w:rPr>
          <w:rFonts w:asciiTheme="majorHAnsi" w:hAnsiTheme="majorHAnsi" w:cstheme="majorHAnsi"/>
          <w:b/>
          <w:bCs w:val="0"/>
        </w:rPr>
        <w:t xml:space="preserve">Podrobné vyhodnocení záborů ZPF v rámci zastavitelných ploch a ploch změn v krajině </w:t>
      </w:r>
      <w:r w:rsidRPr="006070EA">
        <w:rPr>
          <w:rFonts w:asciiTheme="majorHAnsi" w:hAnsiTheme="majorHAnsi" w:cstheme="majorHAnsi"/>
        </w:rPr>
        <w:t>vymezených ÚP Kostomlaty nad Labem je zpracováno v samostatné tabulce</w:t>
      </w:r>
      <w:r w:rsidRPr="006070EA">
        <w:rPr>
          <w:rFonts w:asciiTheme="majorHAnsi" w:hAnsiTheme="majorHAnsi" w:cstheme="majorHAnsi"/>
          <w:i/>
        </w:rPr>
        <w:t xml:space="preserve"> Vyhodnocení předpokládaných důsledků navrhovaného řešení na zemědělský půdní fond</w:t>
      </w:r>
      <w:r w:rsidRPr="006070EA">
        <w:rPr>
          <w:rFonts w:asciiTheme="majorHAnsi" w:hAnsiTheme="majorHAnsi" w:cstheme="majorHAnsi"/>
        </w:rPr>
        <w:t xml:space="preserve">, která je obsahem Přílohy č. 2 tohoto odůvodnění. </w:t>
      </w:r>
    </w:p>
    <w:p w14:paraId="08B425A0" w14:textId="4875F3E4" w:rsidR="00BA0668" w:rsidRPr="006070EA" w:rsidRDefault="00BA0668" w:rsidP="00BA0668">
      <w:pPr>
        <w:pStyle w:val="Atext"/>
        <w:rPr>
          <w:rFonts w:asciiTheme="majorHAnsi" w:hAnsiTheme="majorHAnsi" w:cstheme="majorHAnsi"/>
        </w:rPr>
      </w:pPr>
      <w:r w:rsidRPr="006070EA">
        <w:rPr>
          <w:rFonts w:asciiTheme="majorHAnsi" w:hAnsiTheme="majorHAnsi" w:cstheme="majorHAnsi"/>
        </w:rPr>
        <w:t xml:space="preserve">Souhrn vyhodnocení předpokládaných důsledků navrhovaného řešení na zemědělský půdní fond v rámci zastavitelných ploch a ploch změn v krajině je uveden v následující tabulce: </w:t>
      </w:r>
    </w:p>
    <w:tbl>
      <w:tblPr>
        <w:tblW w:w="9070" w:type="dxa"/>
        <w:jc w:val="center"/>
        <w:tblLayout w:type="fixed"/>
        <w:tblCellMar>
          <w:left w:w="70" w:type="dxa"/>
          <w:right w:w="70" w:type="dxa"/>
        </w:tblCellMar>
        <w:tblLook w:val="04A0" w:firstRow="1" w:lastRow="0" w:firstColumn="1" w:lastColumn="0" w:noHBand="0" w:noVBand="1"/>
      </w:tblPr>
      <w:tblGrid>
        <w:gridCol w:w="2977"/>
        <w:gridCol w:w="1132"/>
        <w:gridCol w:w="992"/>
        <w:gridCol w:w="993"/>
        <w:gridCol w:w="992"/>
        <w:gridCol w:w="992"/>
        <w:gridCol w:w="992"/>
      </w:tblGrid>
      <w:tr w:rsidR="00BA0668" w:rsidRPr="006070EA" w14:paraId="246AF525" w14:textId="77777777" w:rsidTr="00041EBB">
        <w:trPr>
          <w:trHeight w:val="20"/>
          <w:jc w:val="center"/>
        </w:trPr>
        <w:tc>
          <w:tcPr>
            <w:tcW w:w="2977" w:type="dxa"/>
            <w:vMerge w:val="restart"/>
            <w:tcBorders>
              <w:top w:val="single" w:sz="8" w:space="0" w:color="auto"/>
              <w:left w:val="single" w:sz="8" w:space="0" w:color="auto"/>
              <w:bottom w:val="single" w:sz="8" w:space="0" w:color="000000"/>
              <w:right w:val="single" w:sz="4" w:space="0" w:color="auto"/>
            </w:tcBorders>
            <w:shd w:val="clear" w:color="auto" w:fill="F2F2F2"/>
            <w:vAlign w:val="center"/>
            <w:hideMark/>
          </w:tcPr>
          <w:p w14:paraId="02142220" w14:textId="77777777" w:rsidR="00BA0668" w:rsidRPr="006070EA" w:rsidRDefault="00BA0668" w:rsidP="00ED4388">
            <w:pPr>
              <w:pStyle w:val="Atext"/>
              <w:keepNext/>
              <w:keepLines/>
              <w:spacing w:before="40" w:after="40"/>
              <w:ind w:firstLine="17"/>
              <w:jc w:val="left"/>
              <w:rPr>
                <w:rFonts w:asciiTheme="majorHAnsi" w:eastAsia="Calibri" w:hAnsiTheme="majorHAnsi" w:cstheme="majorHAnsi"/>
                <w:b/>
              </w:rPr>
            </w:pPr>
            <w:r w:rsidRPr="006070EA">
              <w:rPr>
                <w:rFonts w:asciiTheme="majorHAnsi" w:eastAsia="Calibri" w:hAnsiTheme="majorHAnsi" w:cstheme="majorHAnsi"/>
                <w:b/>
              </w:rPr>
              <w:lastRenderedPageBreak/>
              <w:t>Typ využití</w:t>
            </w:r>
          </w:p>
        </w:tc>
        <w:tc>
          <w:tcPr>
            <w:tcW w:w="1132" w:type="dxa"/>
            <w:vMerge w:val="restart"/>
            <w:tcBorders>
              <w:top w:val="single" w:sz="8" w:space="0" w:color="auto"/>
              <w:left w:val="single" w:sz="4" w:space="0" w:color="auto"/>
              <w:bottom w:val="single" w:sz="8" w:space="0" w:color="000000"/>
              <w:right w:val="single" w:sz="4" w:space="0" w:color="auto"/>
            </w:tcBorders>
            <w:shd w:val="clear" w:color="auto" w:fill="F2F2F2"/>
            <w:vAlign w:val="center"/>
            <w:hideMark/>
          </w:tcPr>
          <w:p w14:paraId="596DE58A" w14:textId="77777777" w:rsidR="00BA0668" w:rsidRPr="006070EA" w:rsidRDefault="00BA0668" w:rsidP="00BA0668">
            <w:pPr>
              <w:pStyle w:val="Atext"/>
              <w:keepNext/>
              <w:keepLines/>
              <w:spacing w:before="40" w:after="40"/>
              <w:ind w:firstLine="17"/>
              <w:jc w:val="center"/>
              <w:rPr>
                <w:rFonts w:asciiTheme="majorHAnsi" w:eastAsia="Calibri" w:hAnsiTheme="majorHAnsi" w:cstheme="majorHAnsi"/>
                <w:b/>
              </w:rPr>
            </w:pPr>
            <w:r w:rsidRPr="006070EA">
              <w:rPr>
                <w:rFonts w:asciiTheme="majorHAnsi" w:eastAsia="Calibri" w:hAnsiTheme="majorHAnsi" w:cstheme="majorHAnsi"/>
                <w:b/>
              </w:rPr>
              <w:t>Odhad výměry záboru ZPF (ha)</w:t>
            </w:r>
          </w:p>
        </w:tc>
        <w:tc>
          <w:tcPr>
            <w:tcW w:w="4961" w:type="dxa"/>
            <w:gridSpan w:val="5"/>
            <w:tcBorders>
              <w:top w:val="single" w:sz="8" w:space="0" w:color="auto"/>
              <w:left w:val="nil"/>
              <w:bottom w:val="single" w:sz="4" w:space="0" w:color="auto"/>
              <w:right w:val="single" w:sz="4" w:space="0" w:color="auto"/>
            </w:tcBorders>
            <w:shd w:val="clear" w:color="auto" w:fill="F2F2F2"/>
            <w:vAlign w:val="center"/>
            <w:hideMark/>
          </w:tcPr>
          <w:p w14:paraId="680BB6A6" w14:textId="77777777" w:rsidR="00BA0668" w:rsidRPr="006070EA" w:rsidRDefault="00BA0668" w:rsidP="00ED4388">
            <w:pPr>
              <w:pStyle w:val="Atext"/>
              <w:keepNext/>
              <w:keepLines/>
              <w:spacing w:before="40" w:after="40"/>
              <w:ind w:firstLine="17"/>
              <w:jc w:val="center"/>
              <w:rPr>
                <w:rFonts w:asciiTheme="majorHAnsi" w:eastAsia="Calibri" w:hAnsiTheme="majorHAnsi" w:cstheme="majorHAnsi"/>
                <w:b/>
              </w:rPr>
            </w:pPr>
            <w:r w:rsidRPr="006070EA">
              <w:rPr>
                <w:rFonts w:asciiTheme="majorHAnsi" w:eastAsia="Calibri" w:hAnsiTheme="majorHAnsi" w:cstheme="majorHAnsi"/>
                <w:b/>
              </w:rPr>
              <w:t>Odhad výměry záboru podle tříd ochrany (ha)</w:t>
            </w:r>
          </w:p>
        </w:tc>
      </w:tr>
      <w:tr w:rsidR="00BA0668" w:rsidRPr="006070EA" w14:paraId="576AE046" w14:textId="77777777" w:rsidTr="00041EBB">
        <w:trPr>
          <w:trHeight w:val="20"/>
          <w:jc w:val="center"/>
        </w:trPr>
        <w:tc>
          <w:tcPr>
            <w:tcW w:w="2977" w:type="dxa"/>
            <w:vMerge/>
            <w:tcBorders>
              <w:top w:val="single" w:sz="8" w:space="0" w:color="auto"/>
              <w:left w:val="single" w:sz="8" w:space="0" w:color="auto"/>
              <w:bottom w:val="single" w:sz="8" w:space="0" w:color="000000"/>
              <w:right w:val="single" w:sz="4" w:space="0" w:color="auto"/>
            </w:tcBorders>
            <w:vAlign w:val="center"/>
            <w:hideMark/>
          </w:tcPr>
          <w:p w14:paraId="364B4311" w14:textId="77777777" w:rsidR="00BA0668" w:rsidRPr="006070EA" w:rsidRDefault="00BA0668" w:rsidP="00ED4388">
            <w:pPr>
              <w:pStyle w:val="Atext"/>
              <w:keepNext/>
              <w:keepLines/>
              <w:spacing w:before="40" w:after="40"/>
              <w:ind w:firstLine="17"/>
              <w:rPr>
                <w:rFonts w:asciiTheme="majorHAnsi" w:eastAsia="Calibri" w:hAnsiTheme="majorHAnsi" w:cstheme="majorHAnsi"/>
                <w:b/>
              </w:rPr>
            </w:pPr>
          </w:p>
        </w:tc>
        <w:tc>
          <w:tcPr>
            <w:tcW w:w="1132" w:type="dxa"/>
            <w:vMerge/>
            <w:tcBorders>
              <w:top w:val="single" w:sz="8" w:space="0" w:color="auto"/>
              <w:left w:val="single" w:sz="4" w:space="0" w:color="auto"/>
              <w:bottom w:val="single" w:sz="8" w:space="0" w:color="000000"/>
              <w:right w:val="single" w:sz="4" w:space="0" w:color="auto"/>
            </w:tcBorders>
            <w:vAlign w:val="center"/>
            <w:hideMark/>
          </w:tcPr>
          <w:p w14:paraId="0058A69E" w14:textId="77777777" w:rsidR="00BA0668" w:rsidRPr="006070EA" w:rsidRDefault="00BA0668" w:rsidP="00BA0668">
            <w:pPr>
              <w:pStyle w:val="Atext"/>
              <w:keepNext/>
              <w:keepLines/>
              <w:spacing w:before="40" w:after="40"/>
              <w:ind w:firstLine="17"/>
              <w:jc w:val="center"/>
              <w:rPr>
                <w:rFonts w:asciiTheme="majorHAnsi" w:eastAsia="Calibri" w:hAnsiTheme="majorHAnsi" w:cstheme="majorHAnsi"/>
                <w:b/>
              </w:rPr>
            </w:pPr>
          </w:p>
        </w:tc>
        <w:tc>
          <w:tcPr>
            <w:tcW w:w="992" w:type="dxa"/>
            <w:tcBorders>
              <w:top w:val="nil"/>
              <w:left w:val="nil"/>
              <w:bottom w:val="single" w:sz="8" w:space="0" w:color="auto"/>
              <w:right w:val="single" w:sz="4" w:space="0" w:color="auto"/>
            </w:tcBorders>
            <w:shd w:val="clear" w:color="auto" w:fill="F2F2F2"/>
            <w:noWrap/>
            <w:vAlign w:val="center"/>
            <w:hideMark/>
          </w:tcPr>
          <w:p w14:paraId="63FC9ACB" w14:textId="77777777" w:rsidR="00BA0668" w:rsidRPr="006070EA" w:rsidRDefault="00BA0668" w:rsidP="00ED4388">
            <w:pPr>
              <w:pStyle w:val="Atext"/>
              <w:keepNext/>
              <w:keepLines/>
              <w:spacing w:before="40" w:after="40"/>
              <w:ind w:firstLine="17"/>
              <w:jc w:val="center"/>
              <w:rPr>
                <w:rFonts w:asciiTheme="majorHAnsi" w:eastAsia="Calibri" w:hAnsiTheme="majorHAnsi" w:cstheme="majorHAnsi"/>
                <w:b/>
              </w:rPr>
            </w:pPr>
            <w:r w:rsidRPr="006070EA">
              <w:rPr>
                <w:rFonts w:asciiTheme="majorHAnsi" w:eastAsia="Calibri" w:hAnsiTheme="majorHAnsi" w:cstheme="majorHAnsi"/>
                <w:b/>
              </w:rPr>
              <w:t>I.</w:t>
            </w:r>
          </w:p>
        </w:tc>
        <w:tc>
          <w:tcPr>
            <w:tcW w:w="993" w:type="dxa"/>
            <w:tcBorders>
              <w:top w:val="nil"/>
              <w:left w:val="nil"/>
              <w:bottom w:val="single" w:sz="8" w:space="0" w:color="auto"/>
              <w:right w:val="single" w:sz="4" w:space="0" w:color="auto"/>
            </w:tcBorders>
            <w:shd w:val="clear" w:color="auto" w:fill="F2F2F2"/>
            <w:noWrap/>
            <w:vAlign w:val="center"/>
            <w:hideMark/>
          </w:tcPr>
          <w:p w14:paraId="6CCB3BB5" w14:textId="77777777" w:rsidR="00BA0668" w:rsidRPr="006070EA" w:rsidRDefault="00BA0668" w:rsidP="00ED4388">
            <w:pPr>
              <w:pStyle w:val="Atext"/>
              <w:keepNext/>
              <w:keepLines/>
              <w:spacing w:before="40" w:after="40"/>
              <w:ind w:firstLine="17"/>
              <w:jc w:val="center"/>
              <w:rPr>
                <w:rFonts w:asciiTheme="majorHAnsi" w:eastAsia="Calibri" w:hAnsiTheme="majorHAnsi" w:cstheme="majorHAnsi"/>
                <w:b/>
              </w:rPr>
            </w:pPr>
            <w:r w:rsidRPr="006070EA">
              <w:rPr>
                <w:rFonts w:asciiTheme="majorHAnsi" w:eastAsia="Calibri" w:hAnsiTheme="majorHAnsi" w:cstheme="majorHAnsi"/>
                <w:b/>
              </w:rPr>
              <w:t>II.</w:t>
            </w:r>
          </w:p>
        </w:tc>
        <w:tc>
          <w:tcPr>
            <w:tcW w:w="992" w:type="dxa"/>
            <w:tcBorders>
              <w:top w:val="nil"/>
              <w:left w:val="nil"/>
              <w:bottom w:val="single" w:sz="8" w:space="0" w:color="auto"/>
              <w:right w:val="single" w:sz="4" w:space="0" w:color="auto"/>
            </w:tcBorders>
            <w:shd w:val="clear" w:color="auto" w:fill="F2F2F2"/>
            <w:noWrap/>
            <w:vAlign w:val="center"/>
            <w:hideMark/>
          </w:tcPr>
          <w:p w14:paraId="4BBE6E70" w14:textId="77777777" w:rsidR="00BA0668" w:rsidRPr="006070EA" w:rsidRDefault="00BA0668" w:rsidP="00ED4388">
            <w:pPr>
              <w:pStyle w:val="Atext"/>
              <w:keepNext/>
              <w:keepLines/>
              <w:spacing w:before="40" w:after="40"/>
              <w:ind w:firstLine="17"/>
              <w:jc w:val="center"/>
              <w:rPr>
                <w:rFonts w:asciiTheme="majorHAnsi" w:eastAsia="Calibri" w:hAnsiTheme="majorHAnsi" w:cstheme="majorHAnsi"/>
                <w:b/>
              </w:rPr>
            </w:pPr>
            <w:r w:rsidRPr="006070EA">
              <w:rPr>
                <w:rFonts w:asciiTheme="majorHAnsi" w:eastAsia="Calibri" w:hAnsiTheme="majorHAnsi" w:cstheme="majorHAnsi"/>
                <w:b/>
              </w:rPr>
              <w:t>III.</w:t>
            </w:r>
          </w:p>
        </w:tc>
        <w:tc>
          <w:tcPr>
            <w:tcW w:w="992" w:type="dxa"/>
            <w:tcBorders>
              <w:top w:val="nil"/>
              <w:left w:val="nil"/>
              <w:bottom w:val="single" w:sz="8" w:space="0" w:color="auto"/>
              <w:right w:val="single" w:sz="4" w:space="0" w:color="auto"/>
            </w:tcBorders>
            <w:shd w:val="clear" w:color="auto" w:fill="F2F2F2"/>
            <w:noWrap/>
            <w:vAlign w:val="center"/>
            <w:hideMark/>
          </w:tcPr>
          <w:p w14:paraId="639F96E0" w14:textId="77777777" w:rsidR="00BA0668" w:rsidRPr="006070EA" w:rsidRDefault="00BA0668" w:rsidP="00ED4388">
            <w:pPr>
              <w:pStyle w:val="Atext"/>
              <w:keepNext/>
              <w:keepLines/>
              <w:spacing w:before="40" w:after="40"/>
              <w:ind w:firstLine="17"/>
              <w:jc w:val="center"/>
              <w:rPr>
                <w:rFonts w:asciiTheme="majorHAnsi" w:eastAsia="Calibri" w:hAnsiTheme="majorHAnsi" w:cstheme="majorHAnsi"/>
                <w:b/>
              </w:rPr>
            </w:pPr>
            <w:r w:rsidRPr="006070EA">
              <w:rPr>
                <w:rFonts w:asciiTheme="majorHAnsi" w:eastAsia="Calibri" w:hAnsiTheme="majorHAnsi" w:cstheme="majorHAnsi"/>
                <w:b/>
              </w:rPr>
              <w:t>IV.</w:t>
            </w:r>
          </w:p>
        </w:tc>
        <w:tc>
          <w:tcPr>
            <w:tcW w:w="992" w:type="dxa"/>
            <w:tcBorders>
              <w:top w:val="nil"/>
              <w:left w:val="nil"/>
              <w:bottom w:val="single" w:sz="8" w:space="0" w:color="auto"/>
              <w:right w:val="single" w:sz="4" w:space="0" w:color="auto"/>
            </w:tcBorders>
            <w:shd w:val="clear" w:color="auto" w:fill="F2F2F2"/>
            <w:noWrap/>
            <w:vAlign w:val="center"/>
            <w:hideMark/>
          </w:tcPr>
          <w:p w14:paraId="7C6C078E" w14:textId="77777777" w:rsidR="00BA0668" w:rsidRPr="006070EA" w:rsidRDefault="00BA0668" w:rsidP="00ED4388">
            <w:pPr>
              <w:pStyle w:val="Atext"/>
              <w:keepNext/>
              <w:keepLines/>
              <w:spacing w:before="40" w:after="40"/>
              <w:ind w:firstLine="17"/>
              <w:jc w:val="center"/>
              <w:rPr>
                <w:rFonts w:asciiTheme="majorHAnsi" w:eastAsia="Calibri" w:hAnsiTheme="majorHAnsi" w:cstheme="majorHAnsi"/>
                <w:b/>
              </w:rPr>
            </w:pPr>
            <w:r w:rsidRPr="006070EA">
              <w:rPr>
                <w:rFonts w:asciiTheme="majorHAnsi" w:eastAsia="Calibri" w:hAnsiTheme="majorHAnsi" w:cstheme="majorHAnsi"/>
                <w:b/>
              </w:rPr>
              <w:t>V.</w:t>
            </w:r>
          </w:p>
        </w:tc>
      </w:tr>
      <w:tr w:rsidR="00BA0668" w:rsidRPr="006070EA" w14:paraId="168E83AB" w14:textId="77777777" w:rsidTr="00041EBB">
        <w:trPr>
          <w:trHeight w:val="300"/>
          <w:jc w:val="center"/>
        </w:trPr>
        <w:tc>
          <w:tcPr>
            <w:tcW w:w="9070" w:type="dxa"/>
            <w:gridSpan w:val="7"/>
            <w:tcBorders>
              <w:top w:val="single" w:sz="8" w:space="0" w:color="auto"/>
              <w:left w:val="single" w:sz="8" w:space="0" w:color="auto"/>
              <w:bottom w:val="single" w:sz="4" w:space="0" w:color="auto"/>
              <w:right w:val="single" w:sz="8" w:space="0" w:color="000000"/>
            </w:tcBorders>
            <w:shd w:val="clear" w:color="auto" w:fill="FCE4D6"/>
            <w:noWrap/>
            <w:vAlign w:val="center"/>
            <w:hideMark/>
          </w:tcPr>
          <w:p w14:paraId="3A2AC9DA" w14:textId="77777777" w:rsidR="00BA0668" w:rsidRPr="006070EA" w:rsidRDefault="00BA0668" w:rsidP="00BA0668">
            <w:pPr>
              <w:pStyle w:val="Atext"/>
              <w:keepNext/>
              <w:spacing w:before="40" w:after="40"/>
              <w:ind w:firstLine="17"/>
              <w:jc w:val="center"/>
              <w:rPr>
                <w:rFonts w:asciiTheme="majorHAnsi" w:eastAsia="Calibri" w:hAnsiTheme="majorHAnsi" w:cstheme="majorHAnsi"/>
                <w:b/>
              </w:rPr>
            </w:pPr>
            <w:r w:rsidRPr="006070EA">
              <w:rPr>
                <w:rFonts w:asciiTheme="majorHAnsi" w:eastAsia="Calibri" w:hAnsiTheme="majorHAnsi" w:cstheme="majorHAnsi"/>
                <w:b/>
              </w:rPr>
              <w:t>PLOCHY ZMĚN</w:t>
            </w:r>
          </w:p>
        </w:tc>
      </w:tr>
      <w:tr w:rsidR="007F4A1A" w:rsidRPr="006070EA" w14:paraId="5F6FDF44"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hideMark/>
          </w:tcPr>
          <w:p w14:paraId="745DF7EE" w14:textId="77777777" w:rsidR="007F4A1A" w:rsidRPr="006070EA" w:rsidRDefault="007F4A1A" w:rsidP="007F4A1A">
            <w:pPr>
              <w:pStyle w:val="Atext"/>
              <w:spacing w:before="40" w:after="40"/>
              <w:ind w:firstLine="17"/>
              <w:jc w:val="left"/>
              <w:rPr>
                <w:rFonts w:asciiTheme="majorHAnsi" w:eastAsia="Calibri" w:hAnsiTheme="majorHAnsi" w:cstheme="majorHAnsi"/>
              </w:rPr>
            </w:pPr>
            <w:r w:rsidRPr="006070EA">
              <w:rPr>
                <w:rFonts w:asciiTheme="majorHAnsi" w:eastAsia="Calibri" w:hAnsiTheme="majorHAnsi" w:cstheme="majorHAnsi"/>
              </w:rPr>
              <w:t>plochy bydlení</w:t>
            </w:r>
          </w:p>
        </w:tc>
        <w:tc>
          <w:tcPr>
            <w:tcW w:w="1132" w:type="dxa"/>
            <w:tcBorders>
              <w:top w:val="single" w:sz="4" w:space="0" w:color="auto"/>
              <w:left w:val="nil"/>
              <w:bottom w:val="single" w:sz="4" w:space="0" w:color="auto"/>
              <w:right w:val="single" w:sz="4" w:space="0" w:color="auto"/>
            </w:tcBorders>
            <w:noWrap/>
          </w:tcPr>
          <w:p w14:paraId="53FD6A3C" w14:textId="551336F6"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10,0113</w:t>
            </w:r>
          </w:p>
        </w:tc>
        <w:tc>
          <w:tcPr>
            <w:tcW w:w="992" w:type="dxa"/>
            <w:tcBorders>
              <w:top w:val="single" w:sz="4" w:space="0" w:color="auto"/>
              <w:left w:val="nil"/>
              <w:bottom w:val="single" w:sz="4" w:space="0" w:color="auto"/>
              <w:right w:val="single" w:sz="4" w:space="0" w:color="auto"/>
            </w:tcBorders>
            <w:noWrap/>
          </w:tcPr>
          <w:p w14:paraId="3BE1548B" w14:textId="24CE2692"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8,0091</w:t>
            </w:r>
          </w:p>
        </w:tc>
        <w:tc>
          <w:tcPr>
            <w:tcW w:w="993" w:type="dxa"/>
            <w:tcBorders>
              <w:top w:val="single" w:sz="4" w:space="0" w:color="auto"/>
              <w:left w:val="nil"/>
              <w:bottom w:val="single" w:sz="4" w:space="0" w:color="auto"/>
              <w:right w:val="single" w:sz="4" w:space="0" w:color="auto"/>
            </w:tcBorders>
            <w:noWrap/>
          </w:tcPr>
          <w:p w14:paraId="4E751CAE" w14:textId="0E0A6BAB"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7DDA2449" w14:textId="336116D6"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0,342</w:t>
            </w:r>
          </w:p>
        </w:tc>
        <w:tc>
          <w:tcPr>
            <w:tcW w:w="992" w:type="dxa"/>
            <w:tcBorders>
              <w:top w:val="single" w:sz="4" w:space="0" w:color="auto"/>
              <w:left w:val="nil"/>
              <w:bottom w:val="single" w:sz="4" w:space="0" w:color="auto"/>
              <w:right w:val="single" w:sz="4" w:space="0" w:color="auto"/>
            </w:tcBorders>
            <w:noWrap/>
          </w:tcPr>
          <w:p w14:paraId="34AF05FF" w14:textId="0F98DB4D"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1,6602</w:t>
            </w:r>
          </w:p>
        </w:tc>
        <w:tc>
          <w:tcPr>
            <w:tcW w:w="992" w:type="dxa"/>
            <w:tcBorders>
              <w:top w:val="single" w:sz="4" w:space="0" w:color="auto"/>
              <w:left w:val="nil"/>
              <w:bottom w:val="single" w:sz="4" w:space="0" w:color="auto"/>
              <w:right w:val="single" w:sz="4" w:space="0" w:color="auto"/>
            </w:tcBorders>
            <w:noWrap/>
          </w:tcPr>
          <w:p w14:paraId="3985DCAE" w14:textId="0B3CB77A"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w:t>
            </w:r>
          </w:p>
        </w:tc>
      </w:tr>
      <w:tr w:rsidR="007F4A1A" w:rsidRPr="006070EA" w14:paraId="66641C4F"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tcPr>
          <w:p w14:paraId="3BE461B7" w14:textId="77777777" w:rsidR="007F4A1A" w:rsidRPr="006070EA" w:rsidRDefault="007F4A1A" w:rsidP="007F4A1A">
            <w:pPr>
              <w:pStyle w:val="Atext"/>
              <w:spacing w:before="40" w:after="40"/>
              <w:ind w:firstLine="17"/>
              <w:jc w:val="left"/>
              <w:rPr>
                <w:rFonts w:asciiTheme="majorHAnsi" w:eastAsia="Calibri" w:hAnsiTheme="majorHAnsi" w:cstheme="majorHAnsi"/>
              </w:rPr>
            </w:pPr>
            <w:r w:rsidRPr="006070EA">
              <w:rPr>
                <w:rFonts w:asciiTheme="majorHAnsi" w:eastAsia="Calibri" w:hAnsiTheme="majorHAnsi" w:cstheme="majorHAnsi"/>
              </w:rPr>
              <w:t>plochy veřejných prostranství</w:t>
            </w:r>
          </w:p>
        </w:tc>
        <w:tc>
          <w:tcPr>
            <w:tcW w:w="1132" w:type="dxa"/>
            <w:tcBorders>
              <w:top w:val="single" w:sz="4" w:space="0" w:color="auto"/>
              <w:left w:val="nil"/>
              <w:bottom w:val="single" w:sz="4" w:space="0" w:color="auto"/>
              <w:right w:val="single" w:sz="4" w:space="0" w:color="auto"/>
            </w:tcBorders>
            <w:noWrap/>
          </w:tcPr>
          <w:p w14:paraId="43856F50" w14:textId="73EDE8CA"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0,1827</w:t>
            </w:r>
          </w:p>
        </w:tc>
        <w:tc>
          <w:tcPr>
            <w:tcW w:w="992" w:type="dxa"/>
            <w:tcBorders>
              <w:top w:val="single" w:sz="4" w:space="0" w:color="auto"/>
              <w:left w:val="nil"/>
              <w:bottom w:val="single" w:sz="4" w:space="0" w:color="auto"/>
              <w:right w:val="single" w:sz="4" w:space="0" w:color="auto"/>
            </w:tcBorders>
            <w:noWrap/>
          </w:tcPr>
          <w:p w14:paraId="710C34FD" w14:textId="2754EEDE"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w:t>
            </w:r>
          </w:p>
        </w:tc>
        <w:tc>
          <w:tcPr>
            <w:tcW w:w="993" w:type="dxa"/>
            <w:tcBorders>
              <w:top w:val="single" w:sz="4" w:space="0" w:color="auto"/>
              <w:left w:val="nil"/>
              <w:bottom w:val="single" w:sz="4" w:space="0" w:color="auto"/>
              <w:right w:val="single" w:sz="4" w:space="0" w:color="auto"/>
            </w:tcBorders>
            <w:noWrap/>
          </w:tcPr>
          <w:p w14:paraId="7C59C172" w14:textId="753BB052"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1A5F3637" w14:textId="1E3FA547"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0,164</w:t>
            </w:r>
          </w:p>
        </w:tc>
        <w:tc>
          <w:tcPr>
            <w:tcW w:w="992" w:type="dxa"/>
            <w:tcBorders>
              <w:top w:val="single" w:sz="4" w:space="0" w:color="auto"/>
              <w:left w:val="nil"/>
              <w:bottom w:val="single" w:sz="4" w:space="0" w:color="auto"/>
              <w:right w:val="single" w:sz="4" w:space="0" w:color="auto"/>
            </w:tcBorders>
            <w:noWrap/>
          </w:tcPr>
          <w:p w14:paraId="51AFA2F0" w14:textId="438CD67C"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5A0AAB8D" w14:textId="4E8B261C" w:rsidR="007F4A1A" w:rsidRPr="007F4A1A" w:rsidRDefault="007F4A1A" w:rsidP="007F4A1A">
            <w:pPr>
              <w:pStyle w:val="Atext"/>
              <w:spacing w:before="40" w:after="40"/>
              <w:ind w:firstLine="17"/>
              <w:jc w:val="center"/>
              <w:rPr>
                <w:rFonts w:asciiTheme="majorHAnsi" w:eastAsia="Calibri" w:hAnsiTheme="majorHAnsi" w:cstheme="majorHAnsi"/>
              </w:rPr>
            </w:pPr>
            <w:r w:rsidRPr="007F4A1A">
              <w:rPr>
                <w:rFonts w:asciiTheme="majorHAnsi" w:hAnsiTheme="majorHAnsi" w:cstheme="majorHAnsi"/>
              </w:rPr>
              <w:t>0,0187</w:t>
            </w:r>
          </w:p>
        </w:tc>
      </w:tr>
      <w:tr w:rsidR="007F4A1A" w:rsidRPr="006070EA" w14:paraId="2118998E"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tcPr>
          <w:p w14:paraId="5581EDFD" w14:textId="39A53539" w:rsidR="007F4A1A" w:rsidRPr="006070EA" w:rsidRDefault="007F4A1A" w:rsidP="007F4A1A">
            <w:pPr>
              <w:pStyle w:val="Atext"/>
              <w:spacing w:before="40" w:after="40"/>
              <w:ind w:firstLine="17"/>
              <w:jc w:val="left"/>
              <w:rPr>
                <w:rFonts w:asciiTheme="majorHAnsi" w:eastAsia="Calibri" w:hAnsiTheme="majorHAnsi" w:cstheme="majorHAnsi"/>
              </w:rPr>
            </w:pPr>
            <w:r>
              <w:rPr>
                <w:rFonts w:asciiTheme="majorHAnsi" w:eastAsia="Calibri" w:hAnsiTheme="majorHAnsi" w:cstheme="majorHAnsi"/>
              </w:rPr>
              <w:t>plochy zeleně</w:t>
            </w:r>
          </w:p>
        </w:tc>
        <w:tc>
          <w:tcPr>
            <w:tcW w:w="1132" w:type="dxa"/>
            <w:tcBorders>
              <w:top w:val="single" w:sz="4" w:space="0" w:color="auto"/>
              <w:left w:val="nil"/>
              <w:bottom w:val="single" w:sz="4" w:space="0" w:color="auto"/>
              <w:right w:val="single" w:sz="4" w:space="0" w:color="auto"/>
            </w:tcBorders>
            <w:noWrap/>
          </w:tcPr>
          <w:p w14:paraId="7493F52C" w14:textId="246E24E5" w:rsidR="007F4A1A" w:rsidRPr="007F4A1A" w:rsidRDefault="007F4A1A" w:rsidP="007F4A1A">
            <w:pPr>
              <w:pStyle w:val="Atext"/>
              <w:spacing w:before="40" w:after="40"/>
              <w:ind w:firstLine="17"/>
              <w:jc w:val="center"/>
              <w:rPr>
                <w:rFonts w:asciiTheme="majorHAnsi" w:hAnsiTheme="majorHAnsi" w:cstheme="majorHAnsi"/>
              </w:rPr>
            </w:pPr>
            <w:r w:rsidRPr="007F4A1A">
              <w:rPr>
                <w:rFonts w:asciiTheme="majorHAnsi" w:hAnsiTheme="majorHAnsi" w:cstheme="majorHAnsi"/>
              </w:rPr>
              <w:t>0,6427</w:t>
            </w:r>
          </w:p>
        </w:tc>
        <w:tc>
          <w:tcPr>
            <w:tcW w:w="992" w:type="dxa"/>
            <w:tcBorders>
              <w:top w:val="single" w:sz="4" w:space="0" w:color="auto"/>
              <w:left w:val="nil"/>
              <w:bottom w:val="single" w:sz="4" w:space="0" w:color="auto"/>
              <w:right w:val="single" w:sz="4" w:space="0" w:color="auto"/>
            </w:tcBorders>
            <w:noWrap/>
          </w:tcPr>
          <w:p w14:paraId="6B319942" w14:textId="308A234F" w:rsidR="007F4A1A" w:rsidRPr="007F4A1A" w:rsidRDefault="007F4A1A" w:rsidP="007F4A1A">
            <w:pPr>
              <w:pStyle w:val="Atext"/>
              <w:spacing w:before="40" w:after="40"/>
              <w:ind w:firstLine="17"/>
              <w:jc w:val="center"/>
              <w:rPr>
                <w:rFonts w:asciiTheme="majorHAnsi" w:hAnsiTheme="majorHAnsi" w:cstheme="majorHAnsi"/>
              </w:rPr>
            </w:pPr>
            <w:r w:rsidRPr="007F4A1A">
              <w:rPr>
                <w:rFonts w:asciiTheme="majorHAnsi" w:hAnsiTheme="majorHAnsi" w:cstheme="majorHAnsi"/>
              </w:rPr>
              <w:t>0,2195</w:t>
            </w:r>
          </w:p>
        </w:tc>
        <w:tc>
          <w:tcPr>
            <w:tcW w:w="993" w:type="dxa"/>
            <w:tcBorders>
              <w:top w:val="single" w:sz="4" w:space="0" w:color="auto"/>
              <w:left w:val="nil"/>
              <w:bottom w:val="single" w:sz="4" w:space="0" w:color="auto"/>
              <w:right w:val="single" w:sz="4" w:space="0" w:color="auto"/>
            </w:tcBorders>
            <w:noWrap/>
          </w:tcPr>
          <w:p w14:paraId="68D177FA" w14:textId="3E79576E" w:rsidR="007F4A1A" w:rsidRPr="007F4A1A" w:rsidRDefault="007F4A1A" w:rsidP="007F4A1A">
            <w:pPr>
              <w:pStyle w:val="Atext"/>
              <w:spacing w:before="40" w:after="40"/>
              <w:ind w:firstLine="17"/>
              <w:jc w:val="center"/>
              <w:rPr>
                <w:rFonts w:asciiTheme="majorHAnsi" w:hAnsiTheme="majorHAnsi" w:cstheme="majorHAnsi"/>
              </w:rPr>
            </w:pPr>
            <w:r w:rsidRPr="007F4A1A">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46F4AD87" w14:textId="501BE69C" w:rsidR="007F4A1A" w:rsidRPr="007F4A1A" w:rsidRDefault="007F4A1A" w:rsidP="007F4A1A">
            <w:pPr>
              <w:pStyle w:val="Atext"/>
              <w:spacing w:before="40" w:after="40"/>
              <w:ind w:firstLine="17"/>
              <w:jc w:val="center"/>
              <w:rPr>
                <w:rFonts w:asciiTheme="majorHAnsi" w:hAnsiTheme="majorHAnsi" w:cstheme="majorHAnsi"/>
              </w:rPr>
            </w:pPr>
            <w:r w:rsidRPr="007F4A1A">
              <w:rPr>
                <w:rFonts w:asciiTheme="majorHAnsi" w:hAnsiTheme="majorHAnsi" w:cstheme="majorHAnsi"/>
              </w:rPr>
              <w:t>0,4232</w:t>
            </w:r>
          </w:p>
        </w:tc>
        <w:tc>
          <w:tcPr>
            <w:tcW w:w="992" w:type="dxa"/>
            <w:tcBorders>
              <w:top w:val="single" w:sz="4" w:space="0" w:color="auto"/>
              <w:left w:val="nil"/>
              <w:bottom w:val="single" w:sz="4" w:space="0" w:color="auto"/>
              <w:right w:val="single" w:sz="4" w:space="0" w:color="auto"/>
            </w:tcBorders>
            <w:noWrap/>
          </w:tcPr>
          <w:p w14:paraId="33B1E99D" w14:textId="596ACBBB" w:rsidR="007F4A1A" w:rsidRPr="007F4A1A" w:rsidRDefault="007F4A1A" w:rsidP="007F4A1A">
            <w:pPr>
              <w:pStyle w:val="Atext"/>
              <w:spacing w:before="40" w:after="40"/>
              <w:ind w:firstLine="17"/>
              <w:jc w:val="center"/>
              <w:rPr>
                <w:rFonts w:asciiTheme="majorHAnsi" w:hAnsiTheme="majorHAnsi" w:cstheme="majorHAnsi"/>
              </w:rPr>
            </w:pPr>
            <w:r w:rsidRPr="007F4A1A">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4B5BF025" w14:textId="7116B5B3" w:rsidR="007F4A1A" w:rsidRPr="007F4A1A" w:rsidRDefault="007F4A1A" w:rsidP="007F4A1A">
            <w:pPr>
              <w:pStyle w:val="Atext"/>
              <w:spacing w:before="40" w:after="40"/>
              <w:ind w:firstLine="17"/>
              <w:jc w:val="center"/>
              <w:rPr>
                <w:rFonts w:asciiTheme="majorHAnsi" w:hAnsiTheme="majorHAnsi" w:cstheme="majorHAnsi"/>
              </w:rPr>
            </w:pPr>
            <w:r w:rsidRPr="007F4A1A">
              <w:rPr>
                <w:rFonts w:asciiTheme="majorHAnsi" w:hAnsiTheme="majorHAnsi" w:cstheme="majorHAnsi"/>
              </w:rPr>
              <w:t>0</w:t>
            </w:r>
          </w:p>
        </w:tc>
      </w:tr>
      <w:tr w:rsidR="007F4A1A" w:rsidRPr="00A76411" w14:paraId="2372764B"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tcPr>
          <w:p w14:paraId="299EE59B" w14:textId="77777777" w:rsidR="007F4A1A" w:rsidRPr="00A76411" w:rsidRDefault="007F4A1A" w:rsidP="007F4A1A">
            <w:pPr>
              <w:pStyle w:val="Atext"/>
              <w:spacing w:before="40" w:after="40"/>
              <w:ind w:firstLine="17"/>
              <w:jc w:val="left"/>
              <w:rPr>
                <w:rFonts w:asciiTheme="majorHAnsi" w:eastAsia="Calibri" w:hAnsiTheme="majorHAnsi" w:cstheme="majorHAnsi"/>
              </w:rPr>
            </w:pPr>
            <w:r w:rsidRPr="00A76411">
              <w:rPr>
                <w:rFonts w:asciiTheme="majorHAnsi" w:eastAsia="Calibri" w:hAnsiTheme="majorHAnsi" w:cstheme="majorHAnsi"/>
              </w:rPr>
              <w:t>plochy smíšené obytné</w:t>
            </w:r>
          </w:p>
        </w:tc>
        <w:tc>
          <w:tcPr>
            <w:tcW w:w="1132" w:type="dxa"/>
            <w:tcBorders>
              <w:top w:val="single" w:sz="4" w:space="0" w:color="auto"/>
              <w:left w:val="nil"/>
              <w:bottom w:val="single" w:sz="4" w:space="0" w:color="auto"/>
              <w:right w:val="single" w:sz="4" w:space="0" w:color="auto"/>
            </w:tcBorders>
            <w:noWrap/>
          </w:tcPr>
          <w:p w14:paraId="4FDB3C28" w14:textId="14EC2592" w:rsidR="007F4A1A" w:rsidRPr="00A76411" w:rsidRDefault="005922F8" w:rsidP="007F4A1A">
            <w:pPr>
              <w:pStyle w:val="Atext"/>
              <w:spacing w:before="40" w:after="40"/>
              <w:ind w:firstLine="17"/>
              <w:jc w:val="center"/>
              <w:rPr>
                <w:rFonts w:asciiTheme="majorHAnsi" w:eastAsia="Calibri" w:hAnsiTheme="majorHAnsi" w:cstheme="majorHAnsi"/>
              </w:rPr>
            </w:pPr>
            <w:r>
              <w:rPr>
                <w:rFonts w:asciiTheme="majorHAnsi" w:hAnsiTheme="majorHAnsi" w:cstheme="majorHAnsi"/>
              </w:rPr>
              <w:t>7,4677</w:t>
            </w:r>
          </w:p>
        </w:tc>
        <w:tc>
          <w:tcPr>
            <w:tcW w:w="992" w:type="dxa"/>
            <w:tcBorders>
              <w:top w:val="single" w:sz="4" w:space="0" w:color="auto"/>
              <w:left w:val="nil"/>
              <w:bottom w:val="single" w:sz="4" w:space="0" w:color="auto"/>
              <w:right w:val="single" w:sz="4" w:space="0" w:color="auto"/>
            </w:tcBorders>
            <w:noWrap/>
          </w:tcPr>
          <w:p w14:paraId="289FA3FF" w14:textId="67266697" w:rsidR="007F4A1A" w:rsidRPr="00A76411" w:rsidRDefault="005922F8" w:rsidP="007F4A1A">
            <w:pPr>
              <w:pStyle w:val="Atext"/>
              <w:spacing w:before="40" w:after="40"/>
              <w:ind w:firstLine="17"/>
              <w:jc w:val="center"/>
              <w:rPr>
                <w:rFonts w:asciiTheme="majorHAnsi" w:eastAsia="Calibri" w:hAnsiTheme="majorHAnsi" w:cstheme="majorHAnsi"/>
              </w:rPr>
            </w:pPr>
            <w:r>
              <w:rPr>
                <w:rFonts w:asciiTheme="majorHAnsi" w:hAnsiTheme="majorHAnsi" w:cstheme="majorHAnsi"/>
              </w:rPr>
              <w:t>5,2485</w:t>
            </w:r>
          </w:p>
        </w:tc>
        <w:tc>
          <w:tcPr>
            <w:tcW w:w="993" w:type="dxa"/>
            <w:tcBorders>
              <w:top w:val="single" w:sz="4" w:space="0" w:color="auto"/>
              <w:left w:val="nil"/>
              <w:bottom w:val="single" w:sz="4" w:space="0" w:color="auto"/>
              <w:right w:val="single" w:sz="4" w:space="0" w:color="auto"/>
            </w:tcBorders>
            <w:noWrap/>
          </w:tcPr>
          <w:p w14:paraId="0F6342D5" w14:textId="463E82E3"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0,6455</w:t>
            </w:r>
          </w:p>
        </w:tc>
        <w:tc>
          <w:tcPr>
            <w:tcW w:w="992" w:type="dxa"/>
            <w:tcBorders>
              <w:top w:val="single" w:sz="4" w:space="0" w:color="auto"/>
              <w:left w:val="nil"/>
              <w:bottom w:val="single" w:sz="4" w:space="0" w:color="auto"/>
              <w:right w:val="single" w:sz="4" w:space="0" w:color="auto"/>
            </w:tcBorders>
            <w:noWrap/>
          </w:tcPr>
          <w:p w14:paraId="6E07AD02" w14:textId="39554EB3"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37851871" w14:textId="0DB284AF"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1,5737</w:t>
            </w:r>
          </w:p>
        </w:tc>
        <w:tc>
          <w:tcPr>
            <w:tcW w:w="992" w:type="dxa"/>
            <w:tcBorders>
              <w:top w:val="single" w:sz="4" w:space="0" w:color="auto"/>
              <w:left w:val="nil"/>
              <w:bottom w:val="single" w:sz="4" w:space="0" w:color="auto"/>
              <w:right w:val="single" w:sz="4" w:space="0" w:color="auto"/>
            </w:tcBorders>
            <w:noWrap/>
          </w:tcPr>
          <w:p w14:paraId="0807847D" w14:textId="49D5EC2F"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r>
      <w:tr w:rsidR="007F4A1A" w:rsidRPr="00A76411" w14:paraId="647C7BBD"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tcPr>
          <w:p w14:paraId="241044A6" w14:textId="77777777" w:rsidR="007F4A1A" w:rsidRPr="00A76411" w:rsidRDefault="007F4A1A" w:rsidP="007F4A1A">
            <w:pPr>
              <w:pStyle w:val="Atext"/>
              <w:spacing w:before="40" w:after="40"/>
              <w:ind w:firstLine="17"/>
              <w:jc w:val="left"/>
              <w:rPr>
                <w:rFonts w:asciiTheme="majorHAnsi" w:eastAsia="Calibri" w:hAnsiTheme="majorHAnsi" w:cstheme="majorHAnsi"/>
              </w:rPr>
            </w:pPr>
            <w:r w:rsidRPr="00A76411">
              <w:rPr>
                <w:rFonts w:asciiTheme="majorHAnsi" w:eastAsia="Calibri" w:hAnsiTheme="majorHAnsi" w:cstheme="majorHAnsi"/>
              </w:rPr>
              <w:t>plochy technické infrastruktury</w:t>
            </w:r>
          </w:p>
        </w:tc>
        <w:tc>
          <w:tcPr>
            <w:tcW w:w="1132" w:type="dxa"/>
            <w:tcBorders>
              <w:top w:val="single" w:sz="4" w:space="0" w:color="auto"/>
              <w:left w:val="nil"/>
              <w:bottom w:val="single" w:sz="4" w:space="0" w:color="auto"/>
              <w:right w:val="single" w:sz="4" w:space="0" w:color="auto"/>
            </w:tcBorders>
            <w:noWrap/>
          </w:tcPr>
          <w:p w14:paraId="1F265F89" w14:textId="0BBD886E"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0,0068</w:t>
            </w:r>
          </w:p>
        </w:tc>
        <w:tc>
          <w:tcPr>
            <w:tcW w:w="992" w:type="dxa"/>
            <w:tcBorders>
              <w:top w:val="single" w:sz="4" w:space="0" w:color="auto"/>
              <w:left w:val="nil"/>
              <w:bottom w:val="single" w:sz="4" w:space="0" w:color="auto"/>
              <w:right w:val="single" w:sz="4" w:space="0" w:color="auto"/>
            </w:tcBorders>
            <w:noWrap/>
          </w:tcPr>
          <w:p w14:paraId="1E2BCC56" w14:textId="6936BAD8"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c>
          <w:tcPr>
            <w:tcW w:w="993" w:type="dxa"/>
            <w:tcBorders>
              <w:top w:val="single" w:sz="4" w:space="0" w:color="auto"/>
              <w:left w:val="nil"/>
              <w:bottom w:val="single" w:sz="4" w:space="0" w:color="auto"/>
              <w:right w:val="single" w:sz="4" w:space="0" w:color="auto"/>
            </w:tcBorders>
            <w:noWrap/>
          </w:tcPr>
          <w:p w14:paraId="114AB040" w14:textId="7FAEF5D1"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795832C8" w14:textId="4258049A"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47A110F3" w14:textId="587B4474"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0,0068</w:t>
            </w:r>
          </w:p>
        </w:tc>
        <w:tc>
          <w:tcPr>
            <w:tcW w:w="992" w:type="dxa"/>
            <w:tcBorders>
              <w:top w:val="single" w:sz="4" w:space="0" w:color="auto"/>
              <w:left w:val="nil"/>
              <w:bottom w:val="single" w:sz="4" w:space="0" w:color="auto"/>
              <w:right w:val="single" w:sz="4" w:space="0" w:color="auto"/>
            </w:tcBorders>
            <w:noWrap/>
          </w:tcPr>
          <w:p w14:paraId="09142282" w14:textId="275108D7"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r>
      <w:tr w:rsidR="007F4A1A" w:rsidRPr="00A76411" w14:paraId="1619F316"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tcPr>
          <w:p w14:paraId="16A3E970" w14:textId="77777777" w:rsidR="007F4A1A" w:rsidRPr="00A76411" w:rsidRDefault="007F4A1A" w:rsidP="007F4A1A">
            <w:pPr>
              <w:pStyle w:val="Atext"/>
              <w:spacing w:before="40" w:after="40"/>
              <w:ind w:firstLine="17"/>
              <w:jc w:val="left"/>
              <w:rPr>
                <w:rFonts w:asciiTheme="majorHAnsi" w:eastAsia="Calibri" w:hAnsiTheme="majorHAnsi" w:cstheme="majorHAnsi"/>
              </w:rPr>
            </w:pPr>
            <w:r w:rsidRPr="00A76411">
              <w:rPr>
                <w:rFonts w:asciiTheme="majorHAnsi" w:eastAsia="Calibri" w:hAnsiTheme="majorHAnsi" w:cstheme="majorHAnsi"/>
              </w:rPr>
              <w:t>plochy výroby a skladování</w:t>
            </w:r>
          </w:p>
        </w:tc>
        <w:tc>
          <w:tcPr>
            <w:tcW w:w="1132" w:type="dxa"/>
            <w:tcBorders>
              <w:top w:val="single" w:sz="4" w:space="0" w:color="auto"/>
              <w:left w:val="nil"/>
              <w:bottom w:val="single" w:sz="4" w:space="0" w:color="auto"/>
              <w:right w:val="single" w:sz="4" w:space="0" w:color="auto"/>
            </w:tcBorders>
            <w:noWrap/>
          </w:tcPr>
          <w:p w14:paraId="293F371E" w14:textId="359550B6" w:rsidR="007F4A1A" w:rsidRPr="00A76411" w:rsidRDefault="005922F8" w:rsidP="007F4A1A">
            <w:pPr>
              <w:pStyle w:val="Atext"/>
              <w:spacing w:before="40" w:after="40"/>
              <w:ind w:firstLine="17"/>
              <w:jc w:val="center"/>
              <w:rPr>
                <w:rFonts w:asciiTheme="majorHAnsi" w:eastAsia="Calibri" w:hAnsiTheme="majorHAnsi" w:cstheme="majorHAnsi"/>
              </w:rPr>
            </w:pPr>
            <w:r>
              <w:rPr>
                <w:rFonts w:asciiTheme="majorHAnsi" w:hAnsiTheme="majorHAnsi" w:cstheme="majorHAnsi"/>
              </w:rPr>
              <w:t>2,1064</w:t>
            </w:r>
          </w:p>
        </w:tc>
        <w:tc>
          <w:tcPr>
            <w:tcW w:w="992" w:type="dxa"/>
            <w:tcBorders>
              <w:top w:val="single" w:sz="4" w:space="0" w:color="auto"/>
              <w:left w:val="nil"/>
              <w:bottom w:val="single" w:sz="4" w:space="0" w:color="auto"/>
              <w:right w:val="single" w:sz="4" w:space="0" w:color="auto"/>
            </w:tcBorders>
            <w:noWrap/>
          </w:tcPr>
          <w:p w14:paraId="79325409" w14:textId="0E0E6660" w:rsidR="007F4A1A" w:rsidRPr="00A76411" w:rsidRDefault="005922F8" w:rsidP="007F4A1A">
            <w:pPr>
              <w:pStyle w:val="Atext"/>
              <w:spacing w:before="40" w:after="40"/>
              <w:ind w:firstLine="17"/>
              <w:jc w:val="center"/>
              <w:rPr>
                <w:rFonts w:asciiTheme="majorHAnsi" w:eastAsia="Calibri" w:hAnsiTheme="majorHAnsi" w:cstheme="majorHAnsi"/>
              </w:rPr>
            </w:pPr>
            <w:r>
              <w:rPr>
                <w:rFonts w:asciiTheme="majorHAnsi" w:hAnsiTheme="majorHAnsi" w:cstheme="majorHAnsi"/>
              </w:rPr>
              <w:t>0,5943</w:t>
            </w:r>
          </w:p>
        </w:tc>
        <w:tc>
          <w:tcPr>
            <w:tcW w:w="993" w:type="dxa"/>
            <w:tcBorders>
              <w:top w:val="single" w:sz="4" w:space="0" w:color="auto"/>
              <w:left w:val="nil"/>
              <w:bottom w:val="single" w:sz="4" w:space="0" w:color="auto"/>
              <w:right w:val="single" w:sz="4" w:space="0" w:color="auto"/>
            </w:tcBorders>
            <w:noWrap/>
          </w:tcPr>
          <w:p w14:paraId="1ACECAD1" w14:textId="3A2CBF45"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0A477CFC" w14:textId="1A044252" w:rsidR="007F4A1A" w:rsidRPr="00A76411" w:rsidRDefault="005922F8" w:rsidP="007F4A1A">
            <w:pPr>
              <w:pStyle w:val="Atext"/>
              <w:spacing w:before="40" w:after="40"/>
              <w:ind w:firstLine="17"/>
              <w:jc w:val="center"/>
              <w:rPr>
                <w:rFonts w:asciiTheme="majorHAnsi" w:eastAsia="Calibri" w:hAnsiTheme="majorHAnsi" w:cstheme="majorHAnsi"/>
              </w:rPr>
            </w:pPr>
            <w:r>
              <w:rPr>
                <w:rFonts w:asciiTheme="majorHAnsi" w:hAnsiTheme="majorHAnsi" w:cstheme="majorHAnsi"/>
              </w:rPr>
              <w:t>0,9231</w:t>
            </w:r>
          </w:p>
        </w:tc>
        <w:tc>
          <w:tcPr>
            <w:tcW w:w="992" w:type="dxa"/>
            <w:tcBorders>
              <w:top w:val="single" w:sz="4" w:space="0" w:color="auto"/>
              <w:left w:val="nil"/>
              <w:bottom w:val="single" w:sz="4" w:space="0" w:color="auto"/>
              <w:right w:val="single" w:sz="4" w:space="0" w:color="auto"/>
            </w:tcBorders>
            <w:noWrap/>
          </w:tcPr>
          <w:p w14:paraId="739286D7" w14:textId="2CAAF0FA"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0,589</w:t>
            </w:r>
          </w:p>
        </w:tc>
        <w:tc>
          <w:tcPr>
            <w:tcW w:w="992" w:type="dxa"/>
            <w:tcBorders>
              <w:top w:val="single" w:sz="4" w:space="0" w:color="auto"/>
              <w:left w:val="nil"/>
              <w:bottom w:val="single" w:sz="4" w:space="0" w:color="auto"/>
              <w:right w:val="single" w:sz="4" w:space="0" w:color="auto"/>
            </w:tcBorders>
            <w:noWrap/>
          </w:tcPr>
          <w:p w14:paraId="574BE841" w14:textId="4724428D"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r>
      <w:tr w:rsidR="007F4A1A" w:rsidRPr="00A76411" w14:paraId="12F8193B"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tcPr>
          <w:p w14:paraId="15B303C5" w14:textId="77777777" w:rsidR="007F4A1A" w:rsidRPr="00A76411" w:rsidRDefault="007F4A1A" w:rsidP="007F4A1A">
            <w:pPr>
              <w:pStyle w:val="Atext"/>
              <w:spacing w:before="40" w:after="40"/>
              <w:ind w:firstLine="17"/>
              <w:jc w:val="left"/>
              <w:rPr>
                <w:rFonts w:asciiTheme="majorHAnsi" w:eastAsia="Calibri" w:hAnsiTheme="majorHAnsi" w:cstheme="majorHAnsi"/>
              </w:rPr>
            </w:pPr>
            <w:r w:rsidRPr="00A76411">
              <w:rPr>
                <w:rFonts w:asciiTheme="majorHAnsi" w:eastAsia="Calibri" w:hAnsiTheme="majorHAnsi" w:cstheme="majorHAnsi"/>
              </w:rPr>
              <w:t>plochy smíšené nezastavěného území</w:t>
            </w:r>
          </w:p>
        </w:tc>
        <w:tc>
          <w:tcPr>
            <w:tcW w:w="1132" w:type="dxa"/>
            <w:tcBorders>
              <w:top w:val="single" w:sz="4" w:space="0" w:color="auto"/>
              <w:left w:val="nil"/>
              <w:bottom w:val="single" w:sz="4" w:space="0" w:color="auto"/>
              <w:right w:val="single" w:sz="4" w:space="0" w:color="auto"/>
            </w:tcBorders>
            <w:noWrap/>
          </w:tcPr>
          <w:p w14:paraId="0FA457C3" w14:textId="6D91BB0A"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0,3703</w:t>
            </w:r>
          </w:p>
        </w:tc>
        <w:tc>
          <w:tcPr>
            <w:tcW w:w="992" w:type="dxa"/>
            <w:tcBorders>
              <w:top w:val="single" w:sz="4" w:space="0" w:color="auto"/>
              <w:left w:val="nil"/>
              <w:bottom w:val="single" w:sz="4" w:space="0" w:color="auto"/>
              <w:right w:val="single" w:sz="4" w:space="0" w:color="auto"/>
            </w:tcBorders>
            <w:noWrap/>
          </w:tcPr>
          <w:p w14:paraId="2EC79A59" w14:textId="3858D561"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c>
          <w:tcPr>
            <w:tcW w:w="993" w:type="dxa"/>
            <w:tcBorders>
              <w:top w:val="single" w:sz="4" w:space="0" w:color="auto"/>
              <w:left w:val="nil"/>
              <w:bottom w:val="single" w:sz="4" w:space="0" w:color="auto"/>
              <w:right w:val="single" w:sz="4" w:space="0" w:color="auto"/>
            </w:tcBorders>
            <w:noWrap/>
          </w:tcPr>
          <w:p w14:paraId="3A791F40" w14:textId="406D7F31"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53B0A8B3" w14:textId="1D4F16D5"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3B44BBAF" w14:textId="6BB71D83"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0,3703</w:t>
            </w:r>
          </w:p>
        </w:tc>
        <w:tc>
          <w:tcPr>
            <w:tcW w:w="992" w:type="dxa"/>
            <w:tcBorders>
              <w:top w:val="single" w:sz="4" w:space="0" w:color="auto"/>
              <w:left w:val="nil"/>
              <w:bottom w:val="single" w:sz="4" w:space="0" w:color="auto"/>
              <w:right w:val="single" w:sz="4" w:space="0" w:color="auto"/>
            </w:tcBorders>
            <w:noWrap/>
          </w:tcPr>
          <w:p w14:paraId="56E10E8D" w14:textId="2FED2F9A" w:rsidR="007F4A1A" w:rsidRPr="00A76411" w:rsidRDefault="007F4A1A" w:rsidP="007F4A1A">
            <w:pPr>
              <w:pStyle w:val="Atext"/>
              <w:spacing w:before="40" w:after="40"/>
              <w:ind w:firstLine="17"/>
              <w:jc w:val="center"/>
              <w:rPr>
                <w:rFonts w:asciiTheme="majorHAnsi" w:eastAsia="Calibri" w:hAnsiTheme="majorHAnsi" w:cstheme="majorHAnsi"/>
              </w:rPr>
            </w:pPr>
            <w:r w:rsidRPr="00A76411">
              <w:rPr>
                <w:rFonts w:asciiTheme="majorHAnsi" w:hAnsiTheme="majorHAnsi" w:cstheme="majorHAnsi"/>
              </w:rPr>
              <w:t>0</w:t>
            </w:r>
          </w:p>
        </w:tc>
      </w:tr>
      <w:tr w:rsidR="007F4A1A" w:rsidRPr="00A76411" w14:paraId="5FA6B4B4"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tcPr>
          <w:p w14:paraId="61C41127" w14:textId="105C7999" w:rsidR="007F4A1A" w:rsidRPr="00A76411" w:rsidRDefault="007F4A1A" w:rsidP="007F4A1A">
            <w:pPr>
              <w:pStyle w:val="Atext"/>
              <w:spacing w:before="40" w:after="40"/>
              <w:ind w:firstLine="17"/>
              <w:jc w:val="left"/>
              <w:rPr>
                <w:rFonts w:asciiTheme="majorHAnsi" w:eastAsia="Calibri" w:hAnsiTheme="majorHAnsi" w:cstheme="majorHAnsi"/>
              </w:rPr>
            </w:pPr>
            <w:r w:rsidRPr="00A76411">
              <w:rPr>
                <w:rFonts w:asciiTheme="majorHAnsi" w:eastAsia="Calibri" w:hAnsiTheme="majorHAnsi" w:cstheme="majorHAnsi"/>
              </w:rPr>
              <w:t>plochy přírodní</w:t>
            </w:r>
          </w:p>
        </w:tc>
        <w:tc>
          <w:tcPr>
            <w:tcW w:w="1132" w:type="dxa"/>
            <w:tcBorders>
              <w:top w:val="single" w:sz="4" w:space="0" w:color="auto"/>
              <w:left w:val="nil"/>
              <w:bottom w:val="single" w:sz="4" w:space="0" w:color="auto"/>
              <w:right w:val="single" w:sz="4" w:space="0" w:color="auto"/>
            </w:tcBorders>
            <w:noWrap/>
          </w:tcPr>
          <w:p w14:paraId="39D2FA5C" w14:textId="586AA617" w:rsidR="007F4A1A" w:rsidRPr="00A76411" w:rsidRDefault="007F4A1A" w:rsidP="007F4A1A">
            <w:pPr>
              <w:pStyle w:val="Atext"/>
              <w:spacing w:before="40" w:after="40"/>
              <w:ind w:firstLine="17"/>
              <w:jc w:val="center"/>
              <w:rPr>
                <w:rFonts w:asciiTheme="majorHAnsi" w:hAnsiTheme="majorHAnsi" w:cstheme="majorHAnsi"/>
              </w:rPr>
            </w:pPr>
            <w:r w:rsidRPr="00A76411">
              <w:rPr>
                <w:rFonts w:asciiTheme="majorHAnsi" w:hAnsiTheme="majorHAnsi" w:cstheme="majorHAnsi"/>
              </w:rPr>
              <w:t>6,1257</w:t>
            </w:r>
          </w:p>
        </w:tc>
        <w:tc>
          <w:tcPr>
            <w:tcW w:w="992" w:type="dxa"/>
            <w:tcBorders>
              <w:top w:val="single" w:sz="4" w:space="0" w:color="auto"/>
              <w:left w:val="nil"/>
              <w:bottom w:val="single" w:sz="4" w:space="0" w:color="auto"/>
              <w:right w:val="single" w:sz="4" w:space="0" w:color="auto"/>
            </w:tcBorders>
            <w:noWrap/>
          </w:tcPr>
          <w:p w14:paraId="6DDB5DA8" w14:textId="5DC5FF82" w:rsidR="007F4A1A" w:rsidRPr="00A76411" w:rsidRDefault="007F4A1A" w:rsidP="007F4A1A">
            <w:pPr>
              <w:pStyle w:val="Atext"/>
              <w:spacing w:before="40" w:after="40"/>
              <w:ind w:firstLine="17"/>
              <w:jc w:val="center"/>
              <w:rPr>
                <w:rFonts w:asciiTheme="majorHAnsi" w:hAnsiTheme="majorHAnsi" w:cstheme="majorHAnsi"/>
              </w:rPr>
            </w:pPr>
            <w:r w:rsidRPr="00A76411">
              <w:rPr>
                <w:rFonts w:asciiTheme="majorHAnsi" w:hAnsiTheme="majorHAnsi" w:cstheme="majorHAnsi"/>
              </w:rPr>
              <w:t>6,1257</w:t>
            </w:r>
          </w:p>
        </w:tc>
        <w:tc>
          <w:tcPr>
            <w:tcW w:w="993" w:type="dxa"/>
            <w:tcBorders>
              <w:top w:val="single" w:sz="4" w:space="0" w:color="auto"/>
              <w:left w:val="nil"/>
              <w:bottom w:val="single" w:sz="4" w:space="0" w:color="auto"/>
              <w:right w:val="single" w:sz="4" w:space="0" w:color="auto"/>
            </w:tcBorders>
            <w:noWrap/>
          </w:tcPr>
          <w:p w14:paraId="13A4E5C1" w14:textId="5174F23A" w:rsidR="007F4A1A" w:rsidRPr="00A76411" w:rsidRDefault="007F4A1A" w:rsidP="007F4A1A">
            <w:pPr>
              <w:pStyle w:val="Atext"/>
              <w:spacing w:before="40" w:after="40"/>
              <w:ind w:firstLine="17"/>
              <w:jc w:val="center"/>
              <w:rPr>
                <w:rFonts w:asciiTheme="majorHAns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380EC9FF" w14:textId="7DDE219B" w:rsidR="007F4A1A" w:rsidRPr="00A76411" w:rsidRDefault="007F4A1A" w:rsidP="007F4A1A">
            <w:pPr>
              <w:pStyle w:val="Atext"/>
              <w:spacing w:before="40" w:after="40"/>
              <w:ind w:firstLine="17"/>
              <w:jc w:val="center"/>
              <w:rPr>
                <w:rFonts w:asciiTheme="majorHAns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2A680DE9" w14:textId="49066A33" w:rsidR="007F4A1A" w:rsidRPr="00A76411" w:rsidRDefault="007F4A1A" w:rsidP="007F4A1A">
            <w:pPr>
              <w:pStyle w:val="Atext"/>
              <w:spacing w:before="40" w:after="40"/>
              <w:ind w:firstLine="17"/>
              <w:jc w:val="center"/>
              <w:rPr>
                <w:rFonts w:asciiTheme="majorHAnsi" w:hAnsiTheme="majorHAnsi" w:cstheme="majorHAnsi"/>
              </w:rPr>
            </w:pPr>
            <w:r w:rsidRPr="00A76411">
              <w:rPr>
                <w:rFonts w:asciiTheme="majorHAnsi" w:hAnsiTheme="majorHAnsi" w:cstheme="majorHAnsi"/>
              </w:rPr>
              <w:t>0</w:t>
            </w:r>
          </w:p>
        </w:tc>
        <w:tc>
          <w:tcPr>
            <w:tcW w:w="992" w:type="dxa"/>
            <w:tcBorders>
              <w:top w:val="single" w:sz="4" w:space="0" w:color="auto"/>
              <w:left w:val="nil"/>
              <w:bottom w:val="single" w:sz="4" w:space="0" w:color="auto"/>
              <w:right w:val="single" w:sz="4" w:space="0" w:color="auto"/>
            </w:tcBorders>
            <w:noWrap/>
          </w:tcPr>
          <w:p w14:paraId="74EA680D" w14:textId="2302198A" w:rsidR="007F4A1A" w:rsidRPr="00A76411" w:rsidRDefault="007F4A1A" w:rsidP="007F4A1A">
            <w:pPr>
              <w:pStyle w:val="Atext"/>
              <w:spacing w:before="40" w:after="40"/>
              <w:ind w:firstLine="17"/>
              <w:jc w:val="center"/>
              <w:rPr>
                <w:rFonts w:asciiTheme="majorHAnsi" w:hAnsiTheme="majorHAnsi" w:cstheme="majorHAnsi"/>
              </w:rPr>
            </w:pPr>
            <w:r w:rsidRPr="00A76411">
              <w:rPr>
                <w:rFonts w:asciiTheme="majorHAnsi" w:hAnsiTheme="majorHAnsi" w:cstheme="majorHAnsi"/>
              </w:rPr>
              <w:t>0</w:t>
            </w:r>
          </w:p>
        </w:tc>
      </w:tr>
      <w:tr w:rsidR="007F4A1A" w:rsidRPr="00A76411" w14:paraId="6890D773" w14:textId="77777777" w:rsidTr="00041EBB">
        <w:trPr>
          <w:trHeight w:val="300"/>
          <w:jc w:val="center"/>
        </w:trPr>
        <w:tc>
          <w:tcPr>
            <w:tcW w:w="2977" w:type="dxa"/>
            <w:tcBorders>
              <w:top w:val="single" w:sz="4" w:space="0" w:color="auto"/>
              <w:left w:val="single" w:sz="4" w:space="0" w:color="auto"/>
              <w:bottom w:val="single" w:sz="4" w:space="0" w:color="auto"/>
              <w:right w:val="single" w:sz="4" w:space="0" w:color="auto"/>
            </w:tcBorders>
            <w:noWrap/>
            <w:vAlign w:val="center"/>
            <w:hideMark/>
          </w:tcPr>
          <w:p w14:paraId="52ECB663" w14:textId="39C7A876" w:rsidR="007F4A1A" w:rsidRPr="00A76411" w:rsidRDefault="007F4A1A" w:rsidP="007F4A1A">
            <w:pPr>
              <w:pStyle w:val="Atext"/>
              <w:spacing w:before="40" w:after="40"/>
              <w:ind w:firstLine="17"/>
              <w:jc w:val="left"/>
              <w:rPr>
                <w:rFonts w:asciiTheme="majorHAnsi" w:eastAsia="Calibri" w:hAnsiTheme="majorHAnsi" w:cstheme="majorHAnsi"/>
                <w:b/>
                <w:i/>
                <w:iCs w:val="0"/>
              </w:rPr>
            </w:pPr>
            <w:r w:rsidRPr="00A76411">
              <w:rPr>
                <w:rFonts w:asciiTheme="majorHAnsi" w:eastAsia="Calibri" w:hAnsiTheme="majorHAnsi" w:cstheme="majorHAnsi"/>
                <w:b/>
                <w:i/>
                <w:iCs w:val="0"/>
              </w:rPr>
              <w:t>Celkem</w:t>
            </w:r>
          </w:p>
        </w:tc>
        <w:tc>
          <w:tcPr>
            <w:tcW w:w="1132" w:type="dxa"/>
            <w:tcBorders>
              <w:top w:val="single" w:sz="4" w:space="0" w:color="auto"/>
              <w:left w:val="nil"/>
              <w:bottom w:val="single" w:sz="4" w:space="0" w:color="auto"/>
              <w:right w:val="single" w:sz="4" w:space="0" w:color="auto"/>
            </w:tcBorders>
            <w:noWrap/>
          </w:tcPr>
          <w:p w14:paraId="5E1DD884" w14:textId="7EDF7A7C" w:rsidR="007F4A1A" w:rsidRPr="00A76411" w:rsidRDefault="005922F8" w:rsidP="007F4A1A">
            <w:pPr>
              <w:pStyle w:val="Atext"/>
              <w:spacing w:before="40" w:after="40"/>
              <w:ind w:firstLine="17"/>
              <w:jc w:val="center"/>
              <w:rPr>
                <w:rFonts w:asciiTheme="majorHAnsi" w:eastAsia="Calibri" w:hAnsiTheme="majorHAnsi" w:cstheme="majorHAnsi"/>
                <w:b/>
                <w:i/>
                <w:iCs w:val="0"/>
              </w:rPr>
            </w:pPr>
            <w:r>
              <w:rPr>
                <w:rFonts w:asciiTheme="majorHAnsi" w:hAnsiTheme="majorHAnsi" w:cstheme="majorHAnsi"/>
                <w:b/>
                <w:i/>
                <w:iCs w:val="0"/>
              </w:rPr>
              <w:t>26,9136</w:t>
            </w:r>
          </w:p>
        </w:tc>
        <w:tc>
          <w:tcPr>
            <w:tcW w:w="992" w:type="dxa"/>
            <w:tcBorders>
              <w:top w:val="single" w:sz="4" w:space="0" w:color="auto"/>
              <w:left w:val="nil"/>
              <w:bottom w:val="single" w:sz="4" w:space="0" w:color="auto"/>
              <w:right w:val="single" w:sz="4" w:space="0" w:color="auto"/>
            </w:tcBorders>
            <w:noWrap/>
          </w:tcPr>
          <w:p w14:paraId="3A083704" w14:textId="2B99AABC" w:rsidR="007F4A1A" w:rsidRPr="00A76411" w:rsidRDefault="005922F8" w:rsidP="007F4A1A">
            <w:pPr>
              <w:pStyle w:val="Atext"/>
              <w:spacing w:before="40" w:after="40"/>
              <w:ind w:firstLine="17"/>
              <w:jc w:val="center"/>
              <w:rPr>
                <w:rFonts w:asciiTheme="majorHAnsi" w:eastAsia="Calibri" w:hAnsiTheme="majorHAnsi" w:cstheme="majorHAnsi"/>
                <w:b/>
                <w:i/>
                <w:iCs w:val="0"/>
              </w:rPr>
            </w:pPr>
            <w:r>
              <w:rPr>
                <w:rFonts w:asciiTheme="majorHAnsi" w:hAnsiTheme="majorHAnsi" w:cstheme="majorHAnsi"/>
                <w:b/>
                <w:i/>
                <w:iCs w:val="0"/>
              </w:rPr>
              <w:t>20,1971</w:t>
            </w:r>
          </w:p>
        </w:tc>
        <w:tc>
          <w:tcPr>
            <w:tcW w:w="993" w:type="dxa"/>
            <w:tcBorders>
              <w:top w:val="single" w:sz="4" w:space="0" w:color="auto"/>
              <w:left w:val="nil"/>
              <w:bottom w:val="single" w:sz="4" w:space="0" w:color="auto"/>
              <w:right w:val="single" w:sz="4" w:space="0" w:color="auto"/>
            </w:tcBorders>
            <w:noWrap/>
          </w:tcPr>
          <w:p w14:paraId="68335FFB" w14:textId="2278C470" w:rsidR="007F4A1A" w:rsidRPr="00A76411" w:rsidRDefault="005922F8" w:rsidP="007F4A1A">
            <w:pPr>
              <w:pStyle w:val="Atext"/>
              <w:spacing w:before="40" w:after="40"/>
              <w:ind w:firstLine="17"/>
              <w:jc w:val="center"/>
              <w:rPr>
                <w:rFonts w:asciiTheme="majorHAnsi" w:eastAsia="Calibri" w:hAnsiTheme="majorHAnsi" w:cstheme="majorHAnsi"/>
                <w:b/>
                <w:i/>
                <w:iCs w:val="0"/>
              </w:rPr>
            </w:pPr>
            <w:r>
              <w:rPr>
                <w:rFonts w:asciiTheme="majorHAnsi" w:hAnsiTheme="majorHAnsi" w:cstheme="majorHAnsi"/>
                <w:b/>
                <w:i/>
                <w:iCs w:val="0"/>
              </w:rPr>
              <w:t>0,6455</w:t>
            </w:r>
          </w:p>
        </w:tc>
        <w:tc>
          <w:tcPr>
            <w:tcW w:w="992" w:type="dxa"/>
            <w:tcBorders>
              <w:top w:val="single" w:sz="4" w:space="0" w:color="auto"/>
              <w:left w:val="nil"/>
              <w:bottom w:val="single" w:sz="4" w:space="0" w:color="auto"/>
              <w:right w:val="single" w:sz="4" w:space="0" w:color="auto"/>
            </w:tcBorders>
            <w:noWrap/>
          </w:tcPr>
          <w:p w14:paraId="15F5FD9F" w14:textId="464E0924" w:rsidR="007F4A1A" w:rsidRPr="00A76411" w:rsidRDefault="005922F8" w:rsidP="007F4A1A">
            <w:pPr>
              <w:pStyle w:val="Atext"/>
              <w:spacing w:before="40" w:after="40"/>
              <w:ind w:firstLine="17"/>
              <w:jc w:val="center"/>
              <w:rPr>
                <w:rFonts w:asciiTheme="majorHAnsi" w:eastAsia="Calibri" w:hAnsiTheme="majorHAnsi" w:cstheme="majorHAnsi"/>
                <w:b/>
                <w:i/>
                <w:iCs w:val="0"/>
              </w:rPr>
            </w:pPr>
            <w:r>
              <w:rPr>
                <w:rFonts w:asciiTheme="majorHAnsi" w:hAnsiTheme="majorHAnsi" w:cstheme="majorHAnsi"/>
                <w:b/>
                <w:i/>
                <w:iCs w:val="0"/>
              </w:rPr>
              <w:t>1,8523</w:t>
            </w:r>
          </w:p>
        </w:tc>
        <w:tc>
          <w:tcPr>
            <w:tcW w:w="992" w:type="dxa"/>
            <w:tcBorders>
              <w:top w:val="single" w:sz="4" w:space="0" w:color="auto"/>
              <w:left w:val="nil"/>
              <w:bottom w:val="single" w:sz="4" w:space="0" w:color="auto"/>
              <w:right w:val="single" w:sz="4" w:space="0" w:color="auto"/>
            </w:tcBorders>
            <w:noWrap/>
          </w:tcPr>
          <w:p w14:paraId="190F83A6" w14:textId="3384BD61" w:rsidR="007F4A1A" w:rsidRPr="00A76411" w:rsidRDefault="007F4A1A" w:rsidP="007F4A1A">
            <w:pPr>
              <w:pStyle w:val="Atext"/>
              <w:spacing w:before="40" w:after="40"/>
              <w:ind w:firstLine="17"/>
              <w:jc w:val="center"/>
              <w:rPr>
                <w:rFonts w:asciiTheme="majorHAnsi" w:eastAsia="Calibri" w:hAnsiTheme="majorHAnsi" w:cstheme="majorHAnsi"/>
                <w:b/>
                <w:i/>
                <w:iCs w:val="0"/>
              </w:rPr>
            </w:pPr>
            <w:r w:rsidRPr="00A76411">
              <w:rPr>
                <w:rFonts w:asciiTheme="majorHAnsi" w:hAnsiTheme="majorHAnsi" w:cstheme="majorHAnsi"/>
                <w:b/>
                <w:i/>
                <w:iCs w:val="0"/>
              </w:rPr>
              <w:t>4,2</w:t>
            </w:r>
          </w:p>
        </w:tc>
        <w:tc>
          <w:tcPr>
            <w:tcW w:w="992" w:type="dxa"/>
            <w:tcBorders>
              <w:top w:val="single" w:sz="4" w:space="0" w:color="auto"/>
              <w:left w:val="nil"/>
              <w:bottom w:val="single" w:sz="4" w:space="0" w:color="auto"/>
              <w:right w:val="single" w:sz="4" w:space="0" w:color="auto"/>
            </w:tcBorders>
            <w:noWrap/>
          </w:tcPr>
          <w:p w14:paraId="033A2457" w14:textId="7673FB1B" w:rsidR="007F4A1A" w:rsidRPr="00A76411" w:rsidRDefault="007F4A1A" w:rsidP="007F4A1A">
            <w:pPr>
              <w:pStyle w:val="Atext"/>
              <w:spacing w:before="40" w:after="40"/>
              <w:ind w:firstLine="17"/>
              <w:jc w:val="center"/>
              <w:rPr>
                <w:rFonts w:asciiTheme="majorHAnsi" w:eastAsia="Calibri" w:hAnsiTheme="majorHAnsi" w:cstheme="majorHAnsi"/>
                <w:b/>
                <w:i/>
                <w:iCs w:val="0"/>
              </w:rPr>
            </w:pPr>
            <w:r w:rsidRPr="00A76411">
              <w:rPr>
                <w:rFonts w:asciiTheme="majorHAnsi" w:hAnsiTheme="majorHAnsi" w:cstheme="majorHAnsi"/>
                <w:b/>
                <w:i/>
                <w:iCs w:val="0"/>
              </w:rPr>
              <w:t>0,0187</w:t>
            </w:r>
          </w:p>
        </w:tc>
      </w:tr>
    </w:tbl>
    <w:p w14:paraId="6A5DCA5D" w14:textId="77777777" w:rsidR="00041EBB" w:rsidRPr="00A76411" w:rsidRDefault="00041EBB" w:rsidP="00041EBB">
      <w:pPr>
        <w:pStyle w:val="Anadpistun"/>
        <w:rPr>
          <w:rFonts w:asciiTheme="majorHAnsi" w:hAnsiTheme="majorHAnsi" w:cstheme="majorHAnsi"/>
        </w:rPr>
      </w:pPr>
      <w:r w:rsidRPr="00A76411">
        <w:rPr>
          <w:rFonts w:asciiTheme="majorHAnsi" w:hAnsiTheme="majorHAnsi" w:cstheme="majorHAnsi"/>
        </w:rPr>
        <w:t>Vyhodnocení záborů ZPF v rámci koridorů</w:t>
      </w:r>
    </w:p>
    <w:p w14:paraId="786E71AA" w14:textId="2C313B79" w:rsidR="002932D0" w:rsidRPr="006070EA" w:rsidRDefault="00041EBB" w:rsidP="00041EBB">
      <w:pPr>
        <w:pStyle w:val="Atext"/>
        <w:rPr>
          <w:rFonts w:asciiTheme="majorHAnsi" w:eastAsia="Calibri" w:hAnsiTheme="majorHAnsi" w:cstheme="majorHAnsi"/>
        </w:rPr>
      </w:pPr>
      <w:r w:rsidRPr="00A76411">
        <w:rPr>
          <w:rFonts w:asciiTheme="majorHAnsi" w:eastAsia="Calibri" w:hAnsiTheme="majorHAnsi" w:cstheme="majorHAnsi"/>
        </w:rPr>
        <w:t xml:space="preserve">Další zábor ZPF si vyžádá realizace záměrů, pro něž jsou v ÚP Kostomlaty nad Labem vymezeny koridory. Jedná se o koridory nadmístního významu – koridor dopravní infrastruktury </w:t>
      </w:r>
      <w:r w:rsidR="000E2721" w:rsidRPr="00A76411">
        <w:rPr>
          <w:rFonts w:asciiTheme="majorHAnsi" w:eastAsia="Calibri" w:hAnsiTheme="majorHAnsi" w:cstheme="majorHAnsi"/>
        </w:rPr>
        <w:t>CN</w:t>
      </w:r>
      <w:r w:rsidR="007F4A1A" w:rsidRPr="00A76411">
        <w:rPr>
          <w:rFonts w:asciiTheme="majorHAnsi" w:eastAsia="Calibri" w:hAnsiTheme="majorHAnsi" w:cstheme="majorHAnsi"/>
        </w:rPr>
        <w:t>Z</w:t>
      </w:r>
      <w:r w:rsidR="000E2721" w:rsidRPr="00A76411">
        <w:rPr>
          <w:rFonts w:asciiTheme="majorHAnsi" w:eastAsia="Calibri" w:hAnsiTheme="majorHAnsi" w:cstheme="majorHAnsi"/>
        </w:rPr>
        <w:t>.</w:t>
      </w:r>
      <w:r w:rsidR="007F4A1A" w:rsidRPr="00A76411">
        <w:rPr>
          <w:rFonts w:asciiTheme="majorHAnsi" w:eastAsia="Calibri" w:hAnsiTheme="majorHAnsi" w:cstheme="majorHAnsi"/>
        </w:rPr>
        <w:t>D322</w:t>
      </w:r>
      <w:r w:rsidRPr="00A76411">
        <w:rPr>
          <w:rFonts w:asciiTheme="majorHAnsi" w:eastAsia="Calibri" w:hAnsiTheme="majorHAnsi" w:cstheme="majorHAnsi"/>
        </w:rPr>
        <w:t xml:space="preserve"> pro modernizaci železniční trati a </w:t>
      </w:r>
      <w:r w:rsidR="007F4A1A" w:rsidRPr="00A76411">
        <w:rPr>
          <w:rFonts w:asciiTheme="majorHAnsi" w:eastAsia="Calibri" w:hAnsiTheme="majorHAnsi" w:cstheme="majorHAnsi"/>
        </w:rPr>
        <w:t>koridory CNU.KD1</w:t>
      </w:r>
      <w:r w:rsidR="00C208DE" w:rsidRPr="00A76411">
        <w:rPr>
          <w:rFonts w:asciiTheme="majorHAnsi" w:eastAsia="Calibri" w:hAnsiTheme="majorHAnsi" w:cstheme="majorHAnsi"/>
        </w:rPr>
        <w:t>,</w:t>
      </w:r>
      <w:r w:rsidR="007F4A1A" w:rsidRPr="00A76411">
        <w:rPr>
          <w:rFonts w:asciiTheme="majorHAnsi" w:eastAsia="Calibri" w:hAnsiTheme="majorHAnsi" w:cstheme="majorHAnsi"/>
        </w:rPr>
        <w:t xml:space="preserve"> CNU.KD2</w:t>
      </w:r>
      <w:r w:rsidR="00C208DE" w:rsidRPr="00A76411">
        <w:rPr>
          <w:rFonts w:asciiTheme="majorHAnsi" w:eastAsia="Calibri" w:hAnsiTheme="majorHAnsi" w:cstheme="majorHAnsi"/>
        </w:rPr>
        <w:t xml:space="preserve"> a CNU.KD3</w:t>
      </w:r>
      <w:r w:rsidR="007F4A1A" w:rsidRPr="00A76411">
        <w:rPr>
          <w:rFonts w:asciiTheme="majorHAnsi" w:eastAsia="Calibri" w:hAnsiTheme="majorHAnsi" w:cstheme="majorHAnsi"/>
        </w:rPr>
        <w:t xml:space="preserve"> pro </w:t>
      </w:r>
      <w:r w:rsidRPr="00A76411">
        <w:rPr>
          <w:rFonts w:asciiTheme="majorHAnsi" w:eastAsia="Calibri" w:hAnsiTheme="majorHAnsi" w:cstheme="majorHAnsi"/>
        </w:rPr>
        <w:t>související dopravní stavby (včetně přeložky silnice III. třídy)</w:t>
      </w:r>
      <w:r w:rsidR="007F4A1A" w:rsidRPr="00A76411">
        <w:rPr>
          <w:rFonts w:asciiTheme="majorHAnsi" w:eastAsia="Calibri" w:hAnsiTheme="majorHAnsi" w:cstheme="majorHAnsi"/>
        </w:rPr>
        <w:t>, a dále</w:t>
      </w:r>
      <w:r w:rsidRPr="00A76411">
        <w:rPr>
          <w:rFonts w:asciiTheme="majorHAnsi" w:eastAsia="Calibri" w:hAnsiTheme="majorHAnsi" w:cstheme="majorHAnsi"/>
        </w:rPr>
        <w:t xml:space="preserve"> koridor dopravní infrastruktury vodní </w:t>
      </w:r>
      <w:r w:rsidR="000E2721" w:rsidRPr="00A76411">
        <w:rPr>
          <w:rFonts w:asciiTheme="majorHAnsi" w:eastAsia="Calibri" w:hAnsiTheme="majorHAnsi" w:cstheme="majorHAnsi"/>
        </w:rPr>
        <w:t>CNZ.</w:t>
      </w:r>
      <w:r w:rsidR="007F4A1A" w:rsidRPr="00A76411">
        <w:rPr>
          <w:rFonts w:asciiTheme="majorHAnsi" w:eastAsia="Calibri" w:hAnsiTheme="majorHAnsi" w:cstheme="majorHAnsi"/>
        </w:rPr>
        <w:t>VD</w:t>
      </w:r>
      <w:r w:rsidRPr="00A76411">
        <w:rPr>
          <w:rFonts w:asciiTheme="majorHAnsi" w:eastAsia="Calibri" w:hAnsiTheme="majorHAnsi" w:cstheme="majorHAnsi"/>
        </w:rPr>
        <w:t>1 pro Labskou vodní cestu (dle PÚR ČR</w:t>
      </w:r>
      <w:r w:rsidR="007F4A1A" w:rsidRPr="00A76411">
        <w:rPr>
          <w:rFonts w:asciiTheme="majorHAnsi" w:eastAsia="Calibri" w:hAnsiTheme="majorHAnsi" w:cstheme="majorHAnsi"/>
        </w:rPr>
        <w:t xml:space="preserve"> a ZÚR SK</w:t>
      </w:r>
      <w:r w:rsidRPr="00A76411">
        <w:rPr>
          <w:rFonts w:asciiTheme="majorHAnsi" w:eastAsia="Calibri" w:hAnsiTheme="majorHAnsi" w:cstheme="majorHAnsi"/>
        </w:rPr>
        <w:t xml:space="preserve">). </w:t>
      </w:r>
    </w:p>
    <w:p w14:paraId="11B3463E" w14:textId="77777777" w:rsidR="002932D0" w:rsidRPr="006070EA" w:rsidRDefault="00041EBB" w:rsidP="00041EBB">
      <w:pPr>
        <w:pStyle w:val="Atext"/>
        <w:rPr>
          <w:rFonts w:asciiTheme="majorHAnsi" w:eastAsia="Calibri" w:hAnsiTheme="majorHAnsi" w:cstheme="majorHAnsi"/>
        </w:rPr>
      </w:pPr>
      <w:r w:rsidRPr="006070EA">
        <w:rPr>
          <w:rFonts w:asciiTheme="majorHAnsi" w:eastAsia="Calibri" w:hAnsiTheme="majorHAnsi" w:cstheme="majorHAnsi"/>
        </w:rPr>
        <w:t>Dále jsou územním plánem vymezeny koridor</w:t>
      </w:r>
      <w:r w:rsidR="002932D0" w:rsidRPr="006070EA">
        <w:rPr>
          <w:rFonts w:asciiTheme="majorHAnsi" w:eastAsia="Calibri" w:hAnsiTheme="majorHAnsi" w:cstheme="majorHAnsi"/>
        </w:rPr>
        <w:t>y místního významu:</w:t>
      </w:r>
      <w:r w:rsidRPr="006070EA">
        <w:rPr>
          <w:rFonts w:asciiTheme="majorHAnsi" w:eastAsia="Calibri" w:hAnsiTheme="majorHAnsi" w:cstheme="majorHAnsi"/>
        </w:rPr>
        <w:t xml:space="preserve"> </w:t>
      </w:r>
    </w:p>
    <w:p w14:paraId="6D130546" w14:textId="32BFE7CC" w:rsidR="002932D0" w:rsidRPr="006070EA" w:rsidRDefault="002932D0" w:rsidP="00EB05CF">
      <w:pPr>
        <w:pStyle w:val="Atext"/>
        <w:numPr>
          <w:ilvl w:val="1"/>
          <w:numId w:val="33"/>
        </w:numPr>
        <w:rPr>
          <w:rFonts w:asciiTheme="majorHAnsi" w:eastAsia="Calibri" w:hAnsiTheme="majorHAnsi" w:cstheme="majorHAnsi"/>
        </w:rPr>
      </w:pPr>
      <w:r w:rsidRPr="006070EA">
        <w:rPr>
          <w:rFonts w:asciiTheme="majorHAnsi" w:eastAsia="Calibri" w:hAnsiTheme="majorHAnsi" w:cstheme="majorHAnsi"/>
        </w:rPr>
        <w:t xml:space="preserve">Koridor </w:t>
      </w:r>
      <w:r w:rsidR="00041EBB" w:rsidRPr="006070EA">
        <w:rPr>
          <w:rFonts w:asciiTheme="majorHAnsi" w:eastAsia="Calibri" w:hAnsiTheme="majorHAnsi" w:cstheme="majorHAnsi"/>
        </w:rPr>
        <w:t xml:space="preserve">dopravní infrastruktury – nemotorové </w:t>
      </w:r>
      <w:r w:rsidR="000E2721" w:rsidRPr="006070EA">
        <w:rPr>
          <w:rFonts w:asciiTheme="majorHAnsi" w:eastAsia="Calibri" w:hAnsiTheme="majorHAnsi" w:cstheme="majorHAnsi"/>
        </w:rPr>
        <w:t>CNU.</w:t>
      </w:r>
      <w:r w:rsidR="00041EBB" w:rsidRPr="006070EA">
        <w:rPr>
          <w:rFonts w:asciiTheme="majorHAnsi" w:eastAsia="Calibri" w:hAnsiTheme="majorHAnsi" w:cstheme="majorHAnsi"/>
        </w:rPr>
        <w:t>KDN1 pro umístění lávky přes řeku Labe s cyklostezkou / cyklotrasou</w:t>
      </w:r>
    </w:p>
    <w:p w14:paraId="49CBE851" w14:textId="13EB251D" w:rsidR="002932D0" w:rsidRPr="006070EA" w:rsidRDefault="002932D0" w:rsidP="00EB05CF">
      <w:pPr>
        <w:pStyle w:val="Atext"/>
        <w:numPr>
          <w:ilvl w:val="1"/>
          <w:numId w:val="33"/>
        </w:numPr>
        <w:rPr>
          <w:rFonts w:asciiTheme="majorHAnsi" w:eastAsia="Calibri" w:hAnsiTheme="majorHAnsi" w:cstheme="majorHAnsi"/>
        </w:rPr>
      </w:pPr>
      <w:r w:rsidRPr="006070EA">
        <w:rPr>
          <w:rFonts w:asciiTheme="majorHAnsi" w:eastAsia="Calibri" w:hAnsiTheme="majorHAnsi" w:cstheme="majorHAnsi"/>
        </w:rPr>
        <w:t>K</w:t>
      </w:r>
      <w:r w:rsidR="00041EBB" w:rsidRPr="006070EA">
        <w:rPr>
          <w:rFonts w:asciiTheme="majorHAnsi" w:eastAsia="Calibri" w:hAnsiTheme="majorHAnsi" w:cstheme="majorHAnsi"/>
        </w:rPr>
        <w:t xml:space="preserve">oridor technické infrastruktury </w:t>
      </w:r>
      <w:r w:rsidR="000E2721" w:rsidRPr="006070EA">
        <w:rPr>
          <w:rFonts w:asciiTheme="majorHAnsi" w:eastAsia="Calibri" w:hAnsiTheme="majorHAnsi" w:cstheme="majorHAnsi"/>
        </w:rPr>
        <w:t>CNU.</w:t>
      </w:r>
      <w:r w:rsidR="00041EBB" w:rsidRPr="006070EA">
        <w:rPr>
          <w:rFonts w:asciiTheme="majorHAnsi" w:eastAsia="Calibri" w:hAnsiTheme="majorHAnsi" w:cstheme="majorHAnsi"/>
        </w:rPr>
        <w:t xml:space="preserve">KTI1 </w:t>
      </w:r>
      <w:r w:rsidRPr="006070EA">
        <w:rPr>
          <w:rFonts w:asciiTheme="majorHAnsi" w:eastAsia="Calibri" w:hAnsiTheme="majorHAnsi" w:cstheme="majorHAnsi"/>
        </w:rPr>
        <w:t>pro vodovod a kanalizaci</w:t>
      </w:r>
    </w:p>
    <w:p w14:paraId="453F1782" w14:textId="1141D555" w:rsidR="00937B2D" w:rsidRPr="006070EA" w:rsidRDefault="00041EBB" w:rsidP="00041EBB">
      <w:pPr>
        <w:pStyle w:val="Atext"/>
        <w:rPr>
          <w:rFonts w:asciiTheme="majorHAnsi" w:hAnsiTheme="majorHAnsi" w:cstheme="majorHAnsi"/>
        </w:rPr>
      </w:pPr>
      <w:r w:rsidRPr="006070EA">
        <w:rPr>
          <w:rFonts w:asciiTheme="majorHAnsi" w:eastAsia="Calibri" w:hAnsiTheme="majorHAnsi" w:cstheme="majorHAnsi"/>
        </w:rPr>
        <w:t xml:space="preserve">V koridorech nelze v současnosti stanovit konkrétní plošné výměry ani přesné umístění jednotlivých staveb, upřesnění záboru bude provedeno v navazujících projektových pracích. </w:t>
      </w:r>
      <w:r w:rsidRPr="006070EA">
        <w:rPr>
          <w:rFonts w:asciiTheme="majorHAnsi" w:hAnsiTheme="majorHAnsi" w:cstheme="majorHAnsi"/>
        </w:rPr>
        <w:t>Vyhodnocení záborů ZPF v</w:t>
      </w:r>
      <w:r w:rsidR="00A25D55" w:rsidRPr="006070EA">
        <w:rPr>
          <w:rFonts w:asciiTheme="majorHAnsi" w:hAnsiTheme="majorHAnsi" w:cstheme="majorHAnsi"/>
        </w:rPr>
        <w:t> </w:t>
      </w:r>
      <w:r w:rsidRPr="006070EA">
        <w:rPr>
          <w:rFonts w:asciiTheme="majorHAnsi" w:hAnsiTheme="majorHAnsi" w:cstheme="majorHAnsi"/>
        </w:rPr>
        <w:t>koridorech</w:t>
      </w:r>
      <w:r w:rsidR="00A25D55" w:rsidRPr="006070EA">
        <w:rPr>
          <w:rFonts w:asciiTheme="majorHAnsi" w:hAnsiTheme="majorHAnsi" w:cstheme="majorHAnsi"/>
        </w:rPr>
        <w:t xml:space="preserve"> </w:t>
      </w:r>
      <w:r w:rsidR="000E2721" w:rsidRPr="006070EA">
        <w:rPr>
          <w:rFonts w:asciiTheme="majorHAnsi" w:hAnsiTheme="majorHAnsi" w:cstheme="majorHAnsi"/>
        </w:rPr>
        <w:t>CNU.</w:t>
      </w:r>
      <w:r w:rsidR="0097451F">
        <w:rPr>
          <w:rFonts w:asciiTheme="majorHAnsi" w:hAnsiTheme="majorHAnsi" w:cstheme="majorHAnsi"/>
        </w:rPr>
        <w:t>VD</w:t>
      </w:r>
      <w:r w:rsidR="00A25D55" w:rsidRPr="006070EA">
        <w:rPr>
          <w:rFonts w:asciiTheme="majorHAnsi" w:hAnsiTheme="majorHAnsi" w:cstheme="majorHAnsi"/>
        </w:rPr>
        <w:t xml:space="preserve">1, </w:t>
      </w:r>
      <w:r w:rsidR="000E2721" w:rsidRPr="006070EA">
        <w:rPr>
          <w:rFonts w:asciiTheme="majorHAnsi" w:hAnsiTheme="majorHAnsi" w:cstheme="majorHAnsi"/>
        </w:rPr>
        <w:t>CNU.</w:t>
      </w:r>
      <w:r w:rsidR="00A25D55" w:rsidRPr="006070EA">
        <w:rPr>
          <w:rFonts w:asciiTheme="majorHAnsi" w:hAnsiTheme="majorHAnsi" w:cstheme="majorHAnsi"/>
        </w:rPr>
        <w:t xml:space="preserve">KDN1 a </w:t>
      </w:r>
      <w:r w:rsidR="000E2721" w:rsidRPr="006070EA">
        <w:rPr>
          <w:rFonts w:asciiTheme="majorHAnsi" w:hAnsiTheme="majorHAnsi" w:cstheme="majorHAnsi"/>
        </w:rPr>
        <w:t>CNU.</w:t>
      </w:r>
      <w:r w:rsidR="00A25D55" w:rsidRPr="006070EA">
        <w:rPr>
          <w:rFonts w:asciiTheme="majorHAnsi" w:hAnsiTheme="majorHAnsi" w:cstheme="majorHAnsi"/>
        </w:rPr>
        <w:t>KTI1</w:t>
      </w:r>
      <w:r w:rsidRPr="006070EA">
        <w:rPr>
          <w:rFonts w:asciiTheme="majorHAnsi" w:hAnsiTheme="majorHAnsi" w:cstheme="majorHAnsi"/>
        </w:rPr>
        <w:t xml:space="preserve"> je</w:t>
      </w:r>
      <w:r w:rsidR="002932D0" w:rsidRPr="006070EA">
        <w:rPr>
          <w:rFonts w:asciiTheme="majorHAnsi" w:hAnsiTheme="majorHAnsi" w:cstheme="majorHAnsi"/>
        </w:rPr>
        <w:t xml:space="preserve"> uvedeno v plném rozsahu koridorů, přestože </w:t>
      </w:r>
      <w:r w:rsidRPr="006070EA">
        <w:rPr>
          <w:rFonts w:asciiTheme="majorHAnsi" w:hAnsiTheme="majorHAnsi" w:cstheme="majorHAnsi"/>
        </w:rPr>
        <w:t xml:space="preserve">koridory jsou širší než výsledná stavba nebo opatření, pro něž jsou vymezeny. Z toho důvodu je </w:t>
      </w:r>
      <w:r w:rsidR="002932D0" w:rsidRPr="006070EA">
        <w:rPr>
          <w:rFonts w:asciiTheme="majorHAnsi" w:hAnsiTheme="majorHAnsi" w:cstheme="majorHAnsi"/>
        </w:rPr>
        <w:t xml:space="preserve">uvedený </w:t>
      </w:r>
      <w:r w:rsidRPr="006070EA">
        <w:rPr>
          <w:rFonts w:asciiTheme="majorHAnsi" w:hAnsiTheme="majorHAnsi" w:cstheme="majorHAnsi"/>
        </w:rPr>
        <w:t xml:space="preserve">předpokládaný zábor ZPF </w:t>
      </w:r>
      <w:r w:rsidR="002932D0" w:rsidRPr="006070EA">
        <w:rPr>
          <w:rFonts w:asciiTheme="majorHAnsi" w:hAnsiTheme="majorHAnsi" w:cstheme="majorHAnsi"/>
        </w:rPr>
        <w:t>stanoven jako maximální. V reálné situaci bude významně nižší.</w:t>
      </w:r>
    </w:p>
    <w:p w14:paraId="30CF5865" w14:textId="16382CD2" w:rsidR="00A25D55" w:rsidRPr="00A76411" w:rsidRDefault="00A25D55" w:rsidP="00A25D55">
      <w:pPr>
        <w:pStyle w:val="Atext"/>
        <w:rPr>
          <w:rFonts w:asciiTheme="majorHAnsi" w:hAnsiTheme="majorHAnsi" w:cstheme="majorHAnsi"/>
        </w:rPr>
      </w:pPr>
      <w:r w:rsidRPr="00A76411">
        <w:rPr>
          <w:rFonts w:asciiTheme="majorHAnsi" w:hAnsiTheme="majorHAnsi" w:cstheme="majorHAnsi"/>
        </w:rPr>
        <w:t xml:space="preserve">Koridor </w:t>
      </w:r>
      <w:r w:rsidR="000E2721" w:rsidRPr="00A76411">
        <w:rPr>
          <w:rFonts w:asciiTheme="majorHAnsi" w:hAnsiTheme="majorHAnsi" w:cstheme="majorHAnsi"/>
        </w:rPr>
        <w:t>CN</w:t>
      </w:r>
      <w:r w:rsidR="007F4A1A" w:rsidRPr="00A76411">
        <w:rPr>
          <w:rFonts w:asciiTheme="majorHAnsi" w:hAnsiTheme="majorHAnsi" w:cstheme="majorHAnsi"/>
        </w:rPr>
        <w:t>Z</w:t>
      </w:r>
      <w:r w:rsidR="000E2721" w:rsidRPr="00A76411">
        <w:rPr>
          <w:rFonts w:asciiTheme="majorHAnsi" w:hAnsiTheme="majorHAnsi" w:cstheme="majorHAnsi"/>
        </w:rPr>
        <w:t>.</w:t>
      </w:r>
      <w:r w:rsidR="007F4A1A" w:rsidRPr="00A76411">
        <w:rPr>
          <w:rFonts w:asciiTheme="majorHAnsi" w:hAnsiTheme="majorHAnsi" w:cstheme="majorHAnsi"/>
        </w:rPr>
        <w:t>D322</w:t>
      </w:r>
      <w:r w:rsidRPr="00A76411">
        <w:rPr>
          <w:rFonts w:asciiTheme="majorHAnsi" w:hAnsiTheme="majorHAnsi" w:cstheme="majorHAnsi"/>
        </w:rPr>
        <w:t xml:space="preserve"> </w:t>
      </w:r>
      <w:r w:rsidR="007F4A1A" w:rsidRPr="00A76411">
        <w:rPr>
          <w:rFonts w:asciiTheme="majorHAnsi" w:hAnsiTheme="majorHAnsi" w:cstheme="majorHAnsi"/>
        </w:rPr>
        <w:t xml:space="preserve">je vymezen dle ZÚR SK </w:t>
      </w:r>
      <w:r w:rsidRPr="00A76411">
        <w:rPr>
          <w:rFonts w:asciiTheme="majorHAnsi" w:hAnsiTheme="majorHAnsi" w:cstheme="majorHAnsi"/>
        </w:rPr>
        <w:t>pro modernizaci železniční trati</w:t>
      </w:r>
      <w:r w:rsidR="007F4A1A" w:rsidRPr="00A76411">
        <w:rPr>
          <w:rFonts w:asciiTheme="majorHAnsi" w:hAnsiTheme="majorHAnsi" w:cstheme="majorHAnsi"/>
        </w:rPr>
        <w:t>. Koridory CNU.KD1</w:t>
      </w:r>
      <w:r w:rsidR="00C208DE" w:rsidRPr="00A76411">
        <w:rPr>
          <w:rFonts w:asciiTheme="majorHAnsi" w:hAnsiTheme="majorHAnsi" w:cstheme="majorHAnsi"/>
        </w:rPr>
        <w:t>,</w:t>
      </w:r>
      <w:r w:rsidR="007F4A1A" w:rsidRPr="00A76411">
        <w:rPr>
          <w:rFonts w:asciiTheme="majorHAnsi" w:hAnsiTheme="majorHAnsi" w:cstheme="majorHAnsi"/>
        </w:rPr>
        <w:t xml:space="preserve"> CNU.KD2 </w:t>
      </w:r>
      <w:r w:rsidR="00C208DE" w:rsidRPr="00A76411">
        <w:rPr>
          <w:rFonts w:asciiTheme="majorHAnsi" w:hAnsiTheme="majorHAnsi" w:cstheme="majorHAnsi"/>
        </w:rPr>
        <w:t xml:space="preserve">a CNU.KD3 </w:t>
      </w:r>
      <w:r w:rsidR="007F4A1A" w:rsidRPr="00A76411">
        <w:rPr>
          <w:rFonts w:asciiTheme="majorHAnsi" w:hAnsiTheme="majorHAnsi" w:cstheme="majorHAnsi"/>
        </w:rPr>
        <w:t>jsou vymezeny pro související stavby, zahrnující</w:t>
      </w:r>
      <w:r w:rsidRPr="00A76411">
        <w:rPr>
          <w:rFonts w:asciiTheme="majorHAnsi" w:hAnsiTheme="majorHAnsi" w:cstheme="majorHAnsi"/>
        </w:rPr>
        <w:t xml:space="preserve"> variantní řešení přeložky silnice III/3317</w:t>
      </w:r>
      <w:r w:rsidR="00C13078" w:rsidRPr="00A76411">
        <w:rPr>
          <w:rFonts w:asciiTheme="majorHAnsi" w:hAnsiTheme="majorHAnsi" w:cstheme="majorHAnsi"/>
        </w:rPr>
        <w:t>. P</w:t>
      </w:r>
      <w:r w:rsidRPr="00A76411">
        <w:rPr>
          <w:rFonts w:asciiTheme="majorHAnsi" w:hAnsiTheme="majorHAnsi" w:cstheme="majorHAnsi"/>
        </w:rPr>
        <w:t xml:space="preserve">ři realizaci záměru ve výsledné zvolené variantě pozbývají </w:t>
      </w:r>
      <w:r w:rsidR="00C13078" w:rsidRPr="00A76411">
        <w:rPr>
          <w:rFonts w:asciiTheme="majorHAnsi" w:hAnsiTheme="majorHAnsi" w:cstheme="majorHAnsi"/>
        </w:rPr>
        <w:t xml:space="preserve">dle ustanovení územního plánu </w:t>
      </w:r>
      <w:r w:rsidRPr="00A76411">
        <w:rPr>
          <w:rFonts w:asciiTheme="majorHAnsi" w:hAnsiTheme="majorHAnsi" w:cstheme="majorHAnsi"/>
        </w:rPr>
        <w:t xml:space="preserve">podmínky pro rozhodování v koridoru </w:t>
      </w:r>
      <w:r w:rsidR="000E2721" w:rsidRPr="00A76411">
        <w:rPr>
          <w:rFonts w:asciiTheme="majorHAnsi" w:hAnsiTheme="majorHAnsi" w:cstheme="majorHAnsi"/>
        </w:rPr>
        <w:t>CNU.</w:t>
      </w:r>
      <w:r w:rsidRPr="00A76411">
        <w:rPr>
          <w:rFonts w:asciiTheme="majorHAnsi" w:hAnsiTheme="majorHAnsi" w:cstheme="majorHAnsi"/>
        </w:rPr>
        <w:t xml:space="preserve">KD1 platnosti, tzn. že po modernizaci železniční trati a po realizaci přeložky silnice III/3317 nebude možné </w:t>
      </w:r>
      <w:r w:rsidR="007F4A1A" w:rsidRPr="00A76411">
        <w:rPr>
          <w:rFonts w:asciiTheme="majorHAnsi" w:hAnsiTheme="majorHAnsi" w:cstheme="majorHAnsi"/>
        </w:rPr>
        <w:t xml:space="preserve">zbylé části vymezených </w:t>
      </w:r>
      <w:r w:rsidRPr="00A76411">
        <w:rPr>
          <w:rFonts w:asciiTheme="majorHAnsi" w:hAnsiTheme="majorHAnsi" w:cstheme="majorHAnsi"/>
        </w:rPr>
        <w:t>koridor</w:t>
      </w:r>
      <w:r w:rsidR="007F4A1A" w:rsidRPr="00A76411">
        <w:rPr>
          <w:rFonts w:asciiTheme="majorHAnsi" w:hAnsiTheme="majorHAnsi" w:cstheme="majorHAnsi"/>
        </w:rPr>
        <w:t>ů</w:t>
      </w:r>
      <w:r w:rsidRPr="00A76411">
        <w:rPr>
          <w:rFonts w:asciiTheme="majorHAnsi" w:hAnsiTheme="majorHAnsi" w:cstheme="majorHAnsi"/>
        </w:rPr>
        <w:t xml:space="preserve"> využít pro další záměr a nový zábor ZPF. Potenciální zábor</w:t>
      </w:r>
      <w:r w:rsidR="007F4A1A" w:rsidRPr="00A76411">
        <w:rPr>
          <w:rFonts w:asciiTheme="majorHAnsi" w:hAnsiTheme="majorHAnsi" w:cstheme="majorHAnsi"/>
        </w:rPr>
        <w:t>y</w:t>
      </w:r>
      <w:r w:rsidRPr="00A76411">
        <w:rPr>
          <w:rFonts w:asciiTheme="majorHAnsi" w:hAnsiTheme="majorHAnsi" w:cstheme="majorHAnsi"/>
        </w:rPr>
        <w:t xml:space="preserve"> v koridor</w:t>
      </w:r>
      <w:r w:rsidR="007F4A1A" w:rsidRPr="00A76411">
        <w:rPr>
          <w:rFonts w:asciiTheme="majorHAnsi" w:hAnsiTheme="majorHAnsi" w:cstheme="majorHAnsi"/>
        </w:rPr>
        <w:t>ech</w:t>
      </w:r>
      <w:r w:rsidRPr="00A76411">
        <w:rPr>
          <w:rFonts w:asciiTheme="majorHAnsi" w:hAnsiTheme="majorHAnsi" w:cstheme="majorHAnsi"/>
        </w:rPr>
        <w:t xml:space="preserve"> j</w:t>
      </w:r>
      <w:r w:rsidR="007F4A1A" w:rsidRPr="00A76411">
        <w:rPr>
          <w:rFonts w:asciiTheme="majorHAnsi" w:hAnsiTheme="majorHAnsi" w:cstheme="majorHAnsi"/>
        </w:rPr>
        <w:t>sou</w:t>
      </w:r>
      <w:r w:rsidRPr="00A76411">
        <w:rPr>
          <w:rFonts w:asciiTheme="majorHAnsi" w:hAnsiTheme="majorHAnsi" w:cstheme="majorHAnsi"/>
        </w:rPr>
        <w:t xml:space="preserve"> </w:t>
      </w:r>
      <w:r w:rsidR="00C13078" w:rsidRPr="00A76411">
        <w:rPr>
          <w:rFonts w:asciiTheme="majorHAnsi" w:hAnsiTheme="majorHAnsi" w:cstheme="majorHAnsi"/>
        </w:rPr>
        <w:t xml:space="preserve">pro účely vyhodnocení </w:t>
      </w:r>
      <w:r w:rsidRPr="00A76411">
        <w:rPr>
          <w:rFonts w:asciiTheme="majorHAnsi" w:hAnsiTheme="majorHAnsi" w:cstheme="majorHAnsi"/>
        </w:rPr>
        <w:t>odhadnut</w:t>
      </w:r>
      <w:r w:rsidR="007F4A1A" w:rsidRPr="00A76411">
        <w:rPr>
          <w:rFonts w:asciiTheme="majorHAnsi" w:hAnsiTheme="majorHAnsi" w:cstheme="majorHAnsi"/>
        </w:rPr>
        <w:t>y</w:t>
      </w:r>
      <w:r w:rsidRPr="00A76411">
        <w:rPr>
          <w:rFonts w:asciiTheme="majorHAnsi" w:hAnsiTheme="majorHAnsi" w:cstheme="majorHAnsi"/>
        </w:rPr>
        <w:t xml:space="preserve"> na základě výpočtu pro jednotlivé varianty přeložky silnice, jejichž lokalizace je graficky znázorněna ve výkresech </w:t>
      </w:r>
      <w:r w:rsidR="000E2721" w:rsidRPr="00A76411">
        <w:rPr>
          <w:rFonts w:asciiTheme="majorHAnsi" w:hAnsiTheme="majorHAnsi" w:cstheme="majorHAnsi"/>
        </w:rPr>
        <w:t>4</w:t>
      </w:r>
      <w:r w:rsidRPr="00A76411">
        <w:rPr>
          <w:rFonts w:asciiTheme="majorHAnsi" w:hAnsiTheme="majorHAnsi" w:cstheme="majorHAnsi"/>
        </w:rPr>
        <w:t xml:space="preserve"> (koordinační výkres) a </w:t>
      </w:r>
      <w:r w:rsidR="000E2721" w:rsidRPr="00A76411">
        <w:rPr>
          <w:rFonts w:asciiTheme="majorHAnsi" w:hAnsiTheme="majorHAnsi" w:cstheme="majorHAnsi"/>
        </w:rPr>
        <w:t>6</w:t>
      </w:r>
      <w:r w:rsidRPr="00A76411">
        <w:rPr>
          <w:rFonts w:asciiTheme="majorHAnsi" w:hAnsiTheme="majorHAnsi" w:cstheme="majorHAnsi"/>
        </w:rPr>
        <w:t xml:space="preserve"> (výkres předpokládaných záborů půdního fondu) grafické části odůvodnění územního plánu. </w:t>
      </w:r>
    </w:p>
    <w:p w14:paraId="598D204B" w14:textId="77777777" w:rsidR="00C208DE" w:rsidRPr="00A76411" w:rsidRDefault="00A25D55" w:rsidP="00A25D55">
      <w:pPr>
        <w:pStyle w:val="Atext"/>
        <w:rPr>
          <w:rFonts w:asciiTheme="majorHAnsi" w:hAnsiTheme="majorHAnsi" w:cstheme="majorHAnsi"/>
        </w:rPr>
      </w:pPr>
      <w:r w:rsidRPr="00A76411">
        <w:rPr>
          <w:rFonts w:asciiTheme="majorHAnsi" w:hAnsiTheme="majorHAnsi" w:cstheme="majorHAnsi"/>
        </w:rPr>
        <w:t xml:space="preserve">V souladu s § 9, odst. (3) vyhlášky č. 271/2019 Sb., je vyhodnocení předpokládaného rozsahu záboru pro jednotlivé varianty přeložky silnice III/3317 v koridoru </w:t>
      </w:r>
      <w:r w:rsidR="007F4A1A" w:rsidRPr="00A76411">
        <w:rPr>
          <w:rFonts w:asciiTheme="majorHAnsi" w:hAnsiTheme="majorHAnsi" w:cstheme="majorHAnsi"/>
        </w:rPr>
        <w:t>CNU.</w:t>
      </w:r>
      <w:r w:rsidRPr="00A76411">
        <w:rPr>
          <w:rFonts w:asciiTheme="majorHAnsi" w:hAnsiTheme="majorHAnsi" w:cstheme="majorHAnsi"/>
        </w:rPr>
        <w:t xml:space="preserve">KD1 stanoveno vynásobením délky (osy) koridoru s odhadovanou šířkou tělesa stavby včetně započtení odhadované průměrné šíře náspů, zářezů a příkopů včetně ostatních součástí stavby. V případě přeložky silnice </w:t>
      </w:r>
      <w:r w:rsidR="00C13078" w:rsidRPr="00A76411">
        <w:rPr>
          <w:rFonts w:asciiTheme="majorHAnsi" w:hAnsiTheme="majorHAnsi" w:cstheme="majorHAnsi"/>
        </w:rPr>
        <w:t xml:space="preserve">III/3317 </w:t>
      </w:r>
      <w:r w:rsidRPr="00A76411">
        <w:rPr>
          <w:rFonts w:asciiTheme="majorHAnsi" w:hAnsiTheme="majorHAnsi" w:cstheme="majorHAnsi"/>
        </w:rPr>
        <w:t>je uvažována kategorijní šířka komunikace</w:t>
      </w:r>
      <w:r w:rsidR="00C13078" w:rsidRPr="00A76411">
        <w:rPr>
          <w:rFonts w:asciiTheme="majorHAnsi" w:hAnsiTheme="majorHAnsi" w:cstheme="majorHAnsi"/>
        </w:rPr>
        <w:t xml:space="preserve"> 7</w:t>
      </w:r>
      <w:r w:rsidRPr="00A76411">
        <w:rPr>
          <w:rFonts w:asciiTheme="majorHAnsi" w:hAnsiTheme="majorHAnsi" w:cstheme="majorHAnsi"/>
        </w:rPr>
        <w:t xml:space="preserve">,5 m (1+1 pruh), se započítáním rezervy pro související stavební práce je pro </w:t>
      </w:r>
      <w:r w:rsidR="00C13078" w:rsidRPr="00A76411">
        <w:rPr>
          <w:rFonts w:asciiTheme="majorHAnsi" w:hAnsiTheme="majorHAnsi" w:cstheme="majorHAnsi"/>
        </w:rPr>
        <w:t xml:space="preserve">maximální </w:t>
      </w:r>
      <w:r w:rsidRPr="00A76411">
        <w:rPr>
          <w:rFonts w:asciiTheme="majorHAnsi" w:hAnsiTheme="majorHAnsi" w:cstheme="majorHAnsi"/>
        </w:rPr>
        <w:t>zábor ZPF uvažována šířka tělesa stavby 1</w:t>
      </w:r>
      <w:r w:rsidR="00C13078" w:rsidRPr="00A76411">
        <w:rPr>
          <w:rFonts w:asciiTheme="majorHAnsi" w:hAnsiTheme="majorHAnsi" w:cstheme="majorHAnsi"/>
        </w:rPr>
        <w:t>5</w:t>
      </w:r>
      <w:r w:rsidRPr="00A76411">
        <w:rPr>
          <w:rFonts w:asciiTheme="majorHAnsi" w:hAnsiTheme="majorHAnsi" w:cstheme="majorHAnsi"/>
        </w:rPr>
        <w:t xml:space="preserve"> m</w:t>
      </w:r>
      <w:r w:rsidR="00C13078" w:rsidRPr="00A76411">
        <w:rPr>
          <w:rFonts w:asciiTheme="majorHAnsi" w:hAnsiTheme="majorHAnsi" w:cstheme="majorHAnsi"/>
        </w:rPr>
        <w:t>, přičemž kategorijní šířka S 7,5/70 je pro stanovenou kategorii silnic III. třídy dle příslušné ČSN maximální</w:t>
      </w:r>
      <w:r w:rsidRPr="00A76411">
        <w:rPr>
          <w:rFonts w:asciiTheme="majorHAnsi" w:hAnsiTheme="majorHAnsi" w:cstheme="majorHAnsi"/>
        </w:rPr>
        <w:t xml:space="preserve">. </w:t>
      </w:r>
      <w:r w:rsidR="00C13078" w:rsidRPr="00A76411">
        <w:rPr>
          <w:rFonts w:asciiTheme="majorHAnsi" w:hAnsiTheme="majorHAnsi" w:cstheme="majorHAnsi"/>
        </w:rPr>
        <w:t xml:space="preserve">Na základě uvedeného výpočtu byl odhadnut zábor ZPF pro realizaci přeložky silnice III/3317 </w:t>
      </w:r>
      <w:r w:rsidR="0085631A" w:rsidRPr="00A76411">
        <w:rPr>
          <w:rFonts w:asciiTheme="majorHAnsi" w:hAnsiTheme="majorHAnsi" w:cstheme="majorHAnsi"/>
        </w:rPr>
        <w:t xml:space="preserve">v rozsahu </w:t>
      </w:r>
      <w:r w:rsidR="00C13078" w:rsidRPr="00A76411">
        <w:rPr>
          <w:rFonts w:asciiTheme="majorHAnsi" w:hAnsiTheme="majorHAnsi" w:cstheme="majorHAnsi"/>
        </w:rPr>
        <w:t xml:space="preserve">mezi </w:t>
      </w:r>
      <w:r w:rsidR="0085631A" w:rsidRPr="00A76411">
        <w:rPr>
          <w:rFonts w:asciiTheme="majorHAnsi" w:hAnsiTheme="majorHAnsi" w:cstheme="majorHAnsi"/>
        </w:rPr>
        <w:t>1,78 ha (varianta sever)</w:t>
      </w:r>
      <w:r w:rsidR="00C13078" w:rsidRPr="00A76411">
        <w:rPr>
          <w:rFonts w:asciiTheme="majorHAnsi" w:hAnsiTheme="majorHAnsi" w:cstheme="majorHAnsi"/>
        </w:rPr>
        <w:t xml:space="preserve"> a </w:t>
      </w:r>
      <w:r w:rsidR="0085631A" w:rsidRPr="00A76411">
        <w:rPr>
          <w:rFonts w:asciiTheme="majorHAnsi" w:hAnsiTheme="majorHAnsi" w:cstheme="majorHAnsi"/>
        </w:rPr>
        <w:t>1,96</w:t>
      </w:r>
      <w:r w:rsidR="00C13078" w:rsidRPr="00A76411">
        <w:rPr>
          <w:rFonts w:asciiTheme="majorHAnsi" w:hAnsiTheme="majorHAnsi" w:cstheme="majorHAnsi"/>
        </w:rPr>
        <w:t xml:space="preserve"> ha</w:t>
      </w:r>
      <w:r w:rsidR="0085631A" w:rsidRPr="00A76411">
        <w:rPr>
          <w:rFonts w:asciiTheme="majorHAnsi" w:hAnsiTheme="majorHAnsi" w:cstheme="majorHAnsi"/>
        </w:rPr>
        <w:t xml:space="preserve"> (varianta jih)</w:t>
      </w:r>
      <w:r w:rsidR="00C13078" w:rsidRPr="00A76411">
        <w:rPr>
          <w:rFonts w:asciiTheme="majorHAnsi" w:hAnsiTheme="majorHAnsi" w:cstheme="majorHAnsi"/>
        </w:rPr>
        <w:t>, v závislosti na zvolené variantě (podrobně viz Příloha 2 tohoto odůvodnění).</w:t>
      </w:r>
    </w:p>
    <w:p w14:paraId="33939BE6" w14:textId="1F354462" w:rsidR="00C13078" w:rsidRPr="00A76411" w:rsidRDefault="00C208DE" w:rsidP="00A25D55">
      <w:pPr>
        <w:pStyle w:val="Atext"/>
        <w:rPr>
          <w:rFonts w:asciiTheme="majorHAnsi" w:hAnsiTheme="majorHAnsi" w:cstheme="majorHAnsi"/>
        </w:rPr>
      </w:pPr>
      <w:r w:rsidRPr="00A76411">
        <w:rPr>
          <w:rFonts w:asciiTheme="majorHAnsi" w:eastAsia="Calibri" w:hAnsiTheme="majorHAnsi" w:cstheme="majorHAnsi"/>
        </w:rPr>
        <w:t>V koridoru CNU.KD3 se předpokládá realizace záměru na nezemědělských pozemcích a v překryvu se zastavitelnou plochou Z.13, v </w:t>
      </w:r>
      <w:proofErr w:type="gramStart"/>
      <w:r w:rsidRPr="00A76411">
        <w:rPr>
          <w:rFonts w:asciiTheme="majorHAnsi" w:eastAsia="Calibri" w:hAnsiTheme="majorHAnsi" w:cstheme="majorHAnsi"/>
        </w:rPr>
        <w:t>rámci</w:t>
      </w:r>
      <w:proofErr w:type="gramEnd"/>
      <w:r w:rsidRPr="00A76411">
        <w:rPr>
          <w:rFonts w:asciiTheme="majorHAnsi" w:eastAsia="Calibri" w:hAnsiTheme="majorHAnsi" w:cstheme="majorHAnsi"/>
        </w:rPr>
        <w:t xml:space="preserve"> které je zábor ZPF již vyhodnocen v rámci předpokládaného záboru ZPF v plochách změn.</w:t>
      </w:r>
    </w:p>
    <w:p w14:paraId="41186F40" w14:textId="61816D26" w:rsidR="00A25D55" w:rsidRPr="006070EA" w:rsidRDefault="00A25D55" w:rsidP="00C13078">
      <w:pPr>
        <w:pStyle w:val="Atext"/>
        <w:rPr>
          <w:rFonts w:asciiTheme="majorHAnsi" w:hAnsiTheme="majorHAnsi" w:cstheme="majorHAnsi"/>
        </w:rPr>
      </w:pPr>
      <w:r w:rsidRPr="00A76411">
        <w:rPr>
          <w:rFonts w:asciiTheme="majorHAnsi" w:hAnsiTheme="majorHAnsi" w:cstheme="majorHAnsi"/>
        </w:rPr>
        <w:t xml:space="preserve">Zábor ZPF pro samotnou modernizaci železniční trati </w:t>
      </w:r>
      <w:r w:rsidR="001D44F9" w:rsidRPr="00A76411">
        <w:rPr>
          <w:rFonts w:asciiTheme="majorHAnsi" w:hAnsiTheme="majorHAnsi" w:cstheme="majorHAnsi"/>
        </w:rPr>
        <w:t xml:space="preserve">v koridoru CNZ.D322 </w:t>
      </w:r>
      <w:r w:rsidRPr="00A76411">
        <w:rPr>
          <w:rFonts w:asciiTheme="majorHAnsi" w:hAnsiTheme="majorHAnsi" w:cstheme="majorHAnsi"/>
        </w:rPr>
        <w:t>se nepředpokládá vzhledem ke skutečnosti, že koridor je vymezen převážně v rozsahu stávajících drážních pozemků. Rozsah drážních pozemků dle podkladové studie postačuje pro realizaci záměru.</w:t>
      </w:r>
      <w:r w:rsidRPr="006070EA">
        <w:rPr>
          <w:rFonts w:asciiTheme="majorHAnsi" w:hAnsiTheme="majorHAnsi" w:cstheme="majorHAnsi"/>
        </w:rPr>
        <w:t xml:space="preserve"> </w:t>
      </w:r>
    </w:p>
    <w:p w14:paraId="21ADFEAA" w14:textId="54726ACB" w:rsidR="00041EBB" w:rsidRPr="006070EA" w:rsidRDefault="00041EBB" w:rsidP="00041EBB">
      <w:pPr>
        <w:pStyle w:val="Atext"/>
        <w:rPr>
          <w:rFonts w:asciiTheme="majorHAnsi" w:eastAsia="Calibri" w:hAnsiTheme="majorHAnsi" w:cstheme="majorHAnsi"/>
        </w:rPr>
      </w:pPr>
      <w:r w:rsidRPr="006070EA">
        <w:rPr>
          <w:rFonts w:asciiTheme="majorHAnsi" w:eastAsia="Calibri" w:hAnsiTheme="majorHAnsi" w:cstheme="majorHAnsi"/>
        </w:rPr>
        <w:t xml:space="preserve">Vyhodnocení odhadu </w:t>
      </w:r>
      <w:r w:rsidR="002932D0" w:rsidRPr="006070EA">
        <w:rPr>
          <w:rFonts w:asciiTheme="majorHAnsi" w:eastAsia="Calibri" w:hAnsiTheme="majorHAnsi" w:cstheme="majorHAnsi"/>
        </w:rPr>
        <w:t xml:space="preserve">maximálního </w:t>
      </w:r>
      <w:r w:rsidRPr="006070EA">
        <w:rPr>
          <w:rFonts w:asciiTheme="majorHAnsi" w:eastAsia="Calibri" w:hAnsiTheme="majorHAnsi" w:cstheme="majorHAnsi"/>
        </w:rPr>
        <w:t xml:space="preserve">záboru ZPF </w:t>
      </w:r>
      <w:r w:rsidR="002932D0" w:rsidRPr="006070EA">
        <w:rPr>
          <w:rFonts w:asciiTheme="majorHAnsi" w:eastAsia="Calibri" w:hAnsiTheme="majorHAnsi" w:cstheme="majorHAnsi"/>
        </w:rPr>
        <w:t xml:space="preserve">v </w:t>
      </w:r>
      <w:r w:rsidRPr="006070EA">
        <w:rPr>
          <w:rFonts w:asciiTheme="majorHAnsi" w:eastAsia="Calibri" w:hAnsiTheme="majorHAnsi" w:cstheme="majorHAnsi"/>
        </w:rPr>
        <w:t xml:space="preserve">koridorech </w:t>
      </w:r>
      <w:r w:rsidR="002932D0" w:rsidRPr="006070EA">
        <w:rPr>
          <w:rFonts w:asciiTheme="majorHAnsi" w:eastAsia="Calibri" w:hAnsiTheme="majorHAnsi" w:cstheme="majorHAnsi"/>
        </w:rPr>
        <w:t>vymezených v ÚP Kostomlaty nad Labem</w:t>
      </w:r>
      <w:r w:rsidR="004321A6" w:rsidRPr="006070EA">
        <w:rPr>
          <w:rFonts w:asciiTheme="majorHAnsi" w:eastAsia="Calibri" w:hAnsiTheme="majorHAnsi" w:cstheme="majorHAnsi"/>
        </w:rPr>
        <w:t xml:space="preserve"> je obsahem Přílohy č. 2.</w:t>
      </w:r>
      <w:r w:rsidRPr="006070EA">
        <w:rPr>
          <w:rFonts w:asciiTheme="majorHAnsi" w:eastAsia="Calibri" w:hAnsiTheme="majorHAnsi" w:cstheme="majorHAnsi"/>
        </w:rPr>
        <w:t xml:space="preserve"> </w:t>
      </w:r>
    </w:p>
    <w:p w14:paraId="346CBAE5"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60" w:name="_Toc204678235"/>
      <w:r w:rsidRPr="006070EA">
        <w:rPr>
          <w:rFonts w:asciiTheme="majorHAnsi" w:hAnsiTheme="majorHAnsi" w:cstheme="majorHAnsi"/>
          <w:b/>
        </w:rPr>
        <w:lastRenderedPageBreak/>
        <w:t>Zdůvodnění vhodnosti navrženého řešení oproti jiným variantám</w:t>
      </w:r>
      <w:bookmarkEnd w:id="449"/>
      <w:bookmarkEnd w:id="460"/>
    </w:p>
    <w:p w14:paraId="0A01D441" w14:textId="104359FB" w:rsidR="00041EBB" w:rsidRPr="006070EA" w:rsidRDefault="00041EBB" w:rsidP="00D430EF">
      <w:pPr>
        <w:pStyle w:val="Atext"/>
        <w:keepNext/>
        <w:keepLines/>
        <w:spacing w:before="60" w:after="60"/>
        <w:rPr>
          <w:rFonts w:asciiTheme="majorHAnsi" w:hAnsiTheme="majorHAnsi" w:cstheme="majorHAnsi"/>
        </w:rPr>
      </w:pPr>
      <w:r w:rsidRPr="006070EA">
        <w:rPr>
          <w:rFonts w:asciiTheme="majorHAnsi" w:hAnsiTheme="majorHAnsi" w:cstheme="majorHAnsi"/>
        </w:rPr>
        <w:t xml:space="preserve">Územní plán je koncipován s ohledem na funkční, plošné a prostorové možnosti rozvoje sídel. ÚP </w:t>
      </w:r>
      <w:r w:rsidR="00937B2D" w:rsidRPr="006070EA">
        <w:rPr>
          <w:rFonts w:asciiTheme="majorHAnsi" w:hAnsiTheme="majorHAnsi" w:cstheme="majorHAnsi"/>
        </w:rPr>
        <w:t>Kostomlaty nad Labem</w:t>
      </w:r>
      <w:r w:rsidRPr="006070EA">
        <w:rPr>
          <w:rFonts w:asciiTheme="majorHAnsi" w:hAnsiTheme="majorHAnsi" w:cstheme="majorHAnsi"/>
        </w:rPr>
        <w:t xml:space="preserve"> respektuje stávající sídelní a urbanistickou strukturu, limity využití území, geomorfologické podmínky a zohledňuje výhledové předpoklady </w:t>
      </w:r>
      <w:r w:rsidR="00937B2D" w:rsidRPr="006070EA">
        <w:rPr>
          <w:rFonts w:asciiTheme="majorHAnsi" w:hAnsiTheme="majorHAnsi" w:cstheme="majorHAnsi"/>
        </w:rPr>
        <w:t xml:space="preserve">obce </w:t>
      </w:r>
      <w:r w:rsidRPr="006070EA">
        <w:rPr>
          <w:rFonts w:asciiTheme="majorHAnsi" w:hAnsiTheme="majorHAnsi" w:cstheme="majorHAnsi"/>
        </w:rPr>
        <w:t xml:space="preserve">pro rozvoj. Koncepce rozvoje obce je koordinována s ohledem na aktuální stav a požadavky zejména v oblasti vymezování zastavitelných ploch. Rozsah zastavitelných ploch odpovídá předpokládanému demografickému vývoji území do roku 2035 a potřeb rozvoje území ve vztahu k významu území a v souvislosti s požadavky nadřazených dokumentací a podkladů. </w:t>
      </w:r>
    </w:p>
    <w:p w14:paraId="03388221" w14:textId="4BE4E233" w:rsidR="00041EBB" w:rsidRPr="006070EA" w:rsidRDefault="00041EBB" w:rsidP="00041EBB">
      <w:pPr>
        <w:pStyle w:val="Atext"/>
        <w:spacing w:before="60" w:after="60"/>
        <w:rPr>
          <w:rFonts w:asciiTheme="majorHAnsi" w:hAnsiTheme="majorHAnsi" w:cstheme="majorHAnsi"/>
        </w:rPr>
      </w:pPr>
      <w:r w:rsidRPr="006070EA">
        <w:rPr>
          <w:rFonts w:asciiTheme="majorHAnsi" w:hAnsiTheme="majorHAnsi" w:cstheme="majorHAnsi"/>
        </w:rPr>
        <w:t xml:space="preserve">Podrobně jsou východiska pro stanovení plošného rozsahu pro budoucí rozvoj </w:t>
      </w:r>
      <w:r w:rsidR="003859D5" w:rsidRPr="006070EA">
        <w:rPr>
          <w:rFonts w:asciiTheme="majorHAnsi" w:hAnsiTheme="majorHAnsi" w:cstheme="majorHAnsi"/>
        </w:rPr>
        <w:t>obce</w:t>
      </w:r>
      <w:r w:rsidRPr="006070EA">
        <w:rPr>
          <w:rFonts w:asciiTheme="majorHAnsi" w:hAnsiTheme="majorHAnsi" w:cstheme="majorHAnsi"/>
        </w:rPr>
        <w:t xml:space="preserve"> a s tím související zábory zemědělského půdního fondu uvedena v kapitole </w:t>
      </w:r>
      <w:r w:rsidRPr="006070EA">
        <w:rPr>
          <w:rFonts w:asciiTheme="majorHAnsi" w:hAnsiTheme="majorHAnsi" w:cstheme="majorHAnsi"/>
          <w:i/>
        </w:rPr>
        <w:t>10 Vyhodnocení účelného využití zastavěného území a vyhodnocení potřeby vymezení zastavitelných ploch</w:t>
      </w:r>
      <w:r w:rsidRPr="006070EA">
        <w:rPr>
          <w:rFonts w:asciiTheme="majorHAnsi" w:hAnsiTheme="majorHAnsi" w:cstheme="majorHAnsi"/>
        </w:rPr>
        <w:t xml:space="preserve">. </w:t>
      </w:r>
    </w:p>
    <w:p w14:paraId="29E4EE87" w14:textId="69496314" w:rsidR="00041EBB" w:rsidRPr="006070EA" w:rsidRDefault="00041EBB" w:rsidP="00041EBB">
      <w:pPr>
        <w:pStyle w:val="Atext"/>
        <w:spacing w:before="60" w:after="60"/>
        <w:rPr>
          <w:rFonts w:asciiTheme="majorHAnsi" w:hAnsiTheme="majorHAnsi" w:cstheme="majorHAnsi"/>
        </w:rPr>
      </w:pPr>
      <w:r w:rsidRPr="006070EA">
        <w:rPr>
          <w:rFonts w:asciiTheme="majorHAnsi" w:hAnsiTheme="majorHAnsi" w:cstheme="majorHAnsi"/>
        </w:rPr>
        <w:t xml:space="preserve">Zásady navrženého řešení jsou pak podrobně popsány v kapitole </w:t>
      </w:r>
      <w:r w:rsidRPr="006070EA">
        <w:rPr>
          <w:rFonts w:asciiTheme="majorHAnsi" w:hAnsiTheme="majorHAnsi" w:cstheme="majorHAnsi"/>
          <w:i/>
          <w:iCs w:val="0"/>
        </w:rPr>
        <w:t xml:space="preserve">11.2.2. Odůvodnění koncepce rozvoje území </w:t>
      </w:r>
      <w:r w:rsidR="003859D5" w:rsidRPr="006070EA">
        <w:rPr>
          <w:rFonts w:asciiTheme="majorHAnsi" w:hAnsiTheme="majorHAnsi" w:cstheme="majorHAnsi"/>
          <w:i/>
          <w:iCs w:val="0"/>
        </w:rPr>
        <w:t>obce</w:t>
      </w:r>
      <w:r w:rsidR="00681F86" w:rsidRPr="006070EA">
        <w:rPr>
          <w:rFonts w:asciiTheme="majorHAnsi" w:hAnsiTheme="majorHAnsi" w:cstheme="majorHAnsi"/>
          <w:i/>
          <w:iCs w:val="0"/>
        </w:rPr>
        <w:t xml:space="preserve"> </w:t>
      </w:r>
      <w:r w:rsidRPr="006070EA">
        <w:rPr>
          <w:rFonts w:asciiTheme="majorHAnsi" w:hAnsiTheme="majorHAnsi" w:cstheme="majorHAnsi"/>
        </w:rPr>
        <w:t xml:space="preserve">a </w:t>
      </w:r>
      <w:r w:rsidRPr="006070EA">
        <w:rPr>
          <w:rFonts w:asciiTheme="majorHAnsi" w:hAnsiTheme="majorHAnsi" w:cstheme="majorHAnsi"/>
          <w:i/>
          <w:iCs w:val="0"/>
        </w:rPr>
        <w:t>11.3.1 Odůvodnění urbanistické koncepce a urbanistické kompozice</w:t>
      </w:r>
      <w:r w:rsidRPr="006070EA">
        <w:rPr>
          <w:rFonts w:asciiTheme="majorHAnsi" w:hAnsiTheme="majorHAnsi" w:cstheme="majorHAnsi"/>
        </w:rPr>
        <w:t xml:space="preserve">. </w:t>
      </w:r>
    </w:p>
    <w:p w14:paraId="4E9F6FE9" w14:textId="4C15F1AB" w:rsidR="00041EBB" w:rsidRPr="006070EA" w:rsidRDefault="00041EBB" w:rsidP="00041EBB">
      <w:pPr>
        <w:pStyle w:val="Atext"/>
        <w:spacing w:before="60" w:after="60"/>
        <w:rPr>
          <w:rFonts w:asciiTheme="majorHAnsi" w:hAnsiTheme="majorHAnsi" w:cstheme="majorHAnsi"/>
          <w:szCs w:val="18"/>
        </w:rPr>
      </w:pPr>
      <w:r w:rsidRPr="006070EA">
        <w:rPr>
          <w:rFonts w:asciiTheme="majorHAnsi" w:hAnsiTheme="majorHAnsi" w:cstheme="majorHAnsi"/>
          <w:szCs w:val="18"/>
        </w:rPr>
        <w:t>V souladu s principy udržitelného rozvoje je v územním plánu navržen rozvoj zejména v</w:t>
      </w:r>
      <w:r w:rsidR="003859D5" w:rsidRPr="006070EA">
        <w:rPr>
          <w:rFonts w:asciiTheme="majorHAnsi" w:hAnsiTheme="majorHAnsi" w:cstheme="majorHAnsi"/>
          <w:szCs w:val="18"/>
        </w:rPr>
        <w:t xml:space="preserve"> přímé vazbě na zastavěné území sídel, zejména ve vazbě na hlavní sídlo území – Kostomlaty nad Labem – se </w:t>
      </w:r>
      <w:r w:rsidRPr="006070EA">
        <w:rPr>
          <w:rFonts w:asciiTheme="majorHAnsi" w:hAnsiTheme="majorHAnsi" w:cstheme="majorHAnsi"/>
          <w:szCs w:val="18"/>
        </w:rPr>
        <w:t xml:space="preserve">základní občanskou vybaveností, zajišťující efektivní využití stávající veřejné infrastruktury a eliminující neodůvodněné zastavování volné krajiny. Pro bydlení </w:t>
      </w:r>
      <w:r w:rsidR="003859D5" w:rsidRPr="006070EA">
        <w:rPr>
          <w:rFonts w:asciiTheme="majorHAnsi" w:hAnsiTheme="majorHAnsi" w:cstheme="majorHAnsi"/>
          <w:szCs w:val="18"/>
        </w:rPr>
        <w:t xml:space="preserve">a související využití jsou </w:t>
      </w:r>
      <w:r w:rsidRPr="006070EA">
        <w:rPr>
          <w:rFonts w:asciiTheme="majorHAnsi" w:hAnsiTheme="majorHAnsi" w:cstheme="majorHAnsi"/>
          <w:szCs w:val="18"/>
        </w:rPr>
        <w:t>rovněž rozvíjen</w:t>
      </w:r>
      <w:r w:rsidR="003859D5" w:rsidRPr="006070EA">
        <w:rPr>
          <w:rFonts w:asciiTheme="majorHAnsi" w:hAnsiTheme="majorHAnsi" w:cstheme="majorHAnsi"/>
          <w:szCs w:val="18"/>
        </w:rPr>
        <w:t>a</w:t>
      </w:r>
      <w:r w:rsidRPr="006070EA">
        <w:rPr>
          <w:rFonts w:asciiTheme="majorHAnsi" w:hAnsiTheme="majorHAnsi" w:cstheme="majorHAnsi"/>
          <w:szCs w:val="18"/>
        </w:rPr>
        <w:t xml:space="preserve"> sídl</w:t>
      </w:r>
      <w:r w:rsidR="003859D5" w:rsidRPr="006070EA">
        <w:rPr>
          <w:rFonts w:asciiTheme="majorHAnsi" w:hAnsiTheme="majorHAnsi" w:cstheme="majorHAnsi"/>
          <w:szCs w:val="18"/>
        </w:rPr>
        <w:t>a</w:t>
      </w:r>
      <w:r w:rsidRPr="006070EA">
        <w:rPr>
          <w:rFonts w:asciiTheme="majorHAnsi" w:hAnsiTheme="majorHAnsi" w:cstheme="majorHAnsi"/>
          <w:szCs w:val="18"/>
        </w:rPr>
        <w:t xml:space="preserve"> </w:t>
      </w:r>
      <w:r w:rsidR="003859D5" w:rsidRPr="006070EA">
        <w:rPr>
          <w:rFonts w:asciiTheme="majorHAnsi" w:hAnsiTheme="majorHAnsi" w:cstheme="majorHAnsi"/>
          <w:szCs w:val="18"/>
        </w:rPr>
        <w:t>Hronětice, Lány a Rozkoš</w:t>
      </w:r>
      <w:r w:rsidRPr="006070EA">
        <w:rPr>
          <w:rFonts w:asciiTheme="majorHAnsi" w:hAnsiTheme="majorHAnsi" w:cstheme="majorHAnsi"/>
          <w:szCs w:val="18"/>
        </w:rPr>
        <w:t>.</w:t>
      </w:r>
      <w:r w:rsidR="003859D5" w:rsidRPr="006070EA">
        <w:rPr>
          <w:rFonts w:asciiTheme="majorHAnsi" w:hAnsiTheme="majorHAnsi" w:cstheme="majorHAnsi"/>
          <w:szCs w:val="18"/>
        </w:rPr>
        <w:t xml:space="preserve"> Zachovalá a historicky hodnotná urbanistická struktura sídla Vápenska je chráněna a není narušena novými rozvojovými záměry.</w:t>
      </w:r>
    </w:p>
    <w:p w14:paraId="10CC0D1E" w14:textId="3F6AD640" w:rsidR="00681F86" w:rsidRPr="006070EA" w:rsidRDefault="00041EBB" w:rsidP="00681F86">
      <w:pPr>
        <w:pStyle w:val="Atext"/>
        <w:spacing w:before="60" w:after="60"/>
        <w:rPr>
          <w:rFonts w:asciiTheme="majorHAnsi" w:hAnsiTheme="majorHAnsi" w:cstheme="majorHAnsi"/>
        </w:rPr>
      </w:pPr>
      <w:r w:rsidRPr="006070EA">
        <w:rPr>
          <w:rFonts w:asciiTheme="majorHAnsi" w:hAnsiTheme="majorHAnsi" w:cstheme="majorHAnsi"/>
        </w:rPr>
        <w:t xml:space="preserve">Zastavitelné plochy a plochy přestavby určené pro urbanistický rozvoj </w:t>
      </w:r>
      <w:r w:rsidR="003859D5" w:rsidRPr="006070EA">
        <w:rPr>
          <w:rFonts w:asciiTheme="majorHAnsi" w:hAnsiTheme="majorHAnsi" w:cstheme="majorHAnsi"/>
        </w:rPr>
        <w:t>území</w:t>
      </w:r>
      <w:r w:rsidRPr="006070EA">
        <w:rPr>
          <w:rFonts w:asciiTheme="majorHAnsi" w:hAnsiTheme="majorHAnsi" w:cstheme="majorHAnsi"/>
        </w:rPr>
        <w:t xml:space="preserve"> jsou vymezeny téměř výhradně ve vazbě na zastavěné území a stávající zástavbu s cílem doplnění kompaktního tvaru sídel s ohledem na omezení míry rozrůstání sídel do volné krajiny – doplňují tak existující strukturu zástavby do kompaktního celku, čímž je omezen zásah do celistvosti zemědělských bloků. Zastavitelné plochy respektují charakter sídla a zásadním způsobem nevstupují do volné krajiny.</w:t>
      </w:r>
      <w:r w:rsidR="00681F86" w:rsidRPr="006070EA">
        <w:rPr>
          <w:rFonts w:asciiTheme="majorHAnsi" w:hAnsiTheme="majorHAnsi" w:cstheme="majorHAnsi"/>
        </w:rPr>
        <w:t xml:space="preserve"> Mimo přímý kontakt s existující zástavbou nebo zastavěným územím nejsou vymezovány žádné záměry ve volné krajině na zemědělské půdě.</w:t>
      </w:r>
    </w:p>
    <w:p w14:paraId="654B04CE" w14:textId="6FF3BA2F" w:rsidR="00041EBB" w:rsidRPr="006070EA" w:rsidRDefault="00041EBB" w:rsidP="00041EBB">
      <w:pPr>
        <w:pStyle w:val="Atext"/>
        <w:spacing w:before="60" w:after="60"/>
        <w:rPr>
          <w:rFonts w:asciiTheme="majorHAnsi" w:hAnsiTheme="majorHAnsi" w:cstheme="majorHAnsi"/>
        </w:rPr>
      </w:pPr>
      <w:r w:rsidRPr="006070EA">
        <w:rPr>
          <w:rFonts w:asciiTheme="majorHAnsi" w:hAnsiTheme="majorHAnsi" w:cstheme="majorHAnsi"/>
        </w:rPr>
        <w:t xml:space="preserve">Územní plán je zpracován jako invariantní, a to v souladu se Zadáním ÚP. Z toho důvodu není předloženo porovnání variant řešení ve vztahu k záborům ZPF. Varianty rozvoje města lze posoudit při vzájemném porovnání původního a dosud platného Územního plánu </w:t>
      </w:r>
      <w:r w:rsidR="003859D5" w:rsidRPr="006070EA">
        <w:rPr>
          <w:rFonts w:asciiTheme="majorHAnsi" w:hAnsiTheme="majorHAnsi" w:cstheme="majorHAnsi"/>
        </w:rPr>
        <w:t>obce</w:t>
      </w:r>
      <w:r w:rsidRPr="006070EA">
        <w:rPr>
          <w:rFonts w:asciiTheme="majorHAnsi" w:hAnsiTheme="majorHAnsi" w:cstheme="majorHAnsi"/>
        </w:rPr>
        <w:t xml:space="preserve"> </w:t>
      </w:r>
      <w:r w:rsidR="003859D5" w:rsidRPr="006070EA">
        <w:rPr>
          <w:rFonts w:asciiTheme="majorHAnsi" w:hAnsiTheme="majorHAnsi" w:cstheme="majorHAnsi"/>
        </w:rPr>
        <w:t xml:space="preserve">Kostomlaty nad Labem </w:t>
      </w:r>
      <w:r w:rsidRPr="006070EA">
        <w:rPr>
          <w:rFonts w:asciiTheme="majorHAnsi" w:hAnsiTheme="majorHAnsi" w:cstheme="majorHAnsi"/>
        </w:rPr>
        <w:t>(ÚP</w:t>
      </w:r>
      <w:r w:rsidR="003859D5" w:rsidRPr="006070EA">
        <w:rPr>
          <w:rFonts w:asciiTheme="majorHAnsi" w:hAnsiTheme="majorHAnsi" w:cstheme="majorHAnsi"/>
        </w:rPr>
        <w:t>O</w:t>
      </w:r>
      <w:r w:rsidRPr="006070EA">
        <w:rPr>
          <w:rFonts w:asciiTheme="majorHAnsi" w:hAnsiTheme="majorHAnsi" w:cstheme="majorHAnsi"/>
        </w:rPr>
        <w:t>, 200</w:t>
      </w:r>
      <w:r w:rsidR="003859D5" w:rsidRPr="006070EA">
        <w:rPr>
          <w:rFonts w:asciiTheme="majorHAnsi" w:hAnsiTheme="majorHAnsi" w:cstheme="majorHAnsi"/>
        </w:rPr>
        <w:t>3</w:t>
      </w:r>
      <w:r w:rsidRPr="006070EA">
        <w:rPr>
          <w:rFonts w:asciiTheme="majorHAnsi" w:hAnsiTheme="majorHAnsi" w:cstheme="majorHAnsi"/>
        </w:rPr>
        <w:t xml:space="preserve">) a předkládaného návrhu nového ÚP. </w:t>
      </w:r>
      <w:r w:rsidR="00681F86" w:rsidRPr="006070EA">
        <w:rPr>
          <w:rFonts w:asciiTheme="majorHAnsi" w:hAnsiTheme="majorHAnsi" w:cstheme="majorHAnsi"/>
        </w:rPr>
        <w:t>Návrh řešení nového ÚP vychází ze zevrubného prověření rozsahu zastavitelných ploch ve vztahu k aktuální potřebě vymezení zastavitelných ploch. Územní plán zcela zřejmě respektuje koncepci rozvoje území, stanovenou ve stávající ÚPD, přičemž pro identifikovanou potřebu vymezení zastavitelných ploch primárně využívá dosud nevyužité části rozvojových lokalit z platné ÚPD, které doplňuje především o dostupné pozemky dle aktuální poptávky v území v souvislosti s uplatněnými žádostmi vlastníků pozemků na změny využití území (viz kapitola 10.5).</w:t>
      </w:r>
    </w:p>
    <w:p w14:paraId="728BFE61" w14:textId="77777777" w:rsidR="00AD69B8" w:rsidRPr="006070EA" w:rsidRDefault="00AD69B8" w:rsidP="00AD69B8">
      <w:pPr>
        <w:pStyle w:val="Anadpistun"/>
        <w:rPr>
          <w:rFonts w:asciiTheme="majorHAnsi" w:hAnsiTheme="majorHAnsi" w:cstheme="majorHAnsi"/>
        </w:rPr>
      </w:pPr>
      <w:r w:rsidRPr="006070EA">
        <w:rPr>
          <w:rFonts w:asciiTheme="majorHAnsi" w:hAnsiTheme="majorHAnsi" w:cstheme="majorHAnsi"/>
        </w:rPr>
        <w:t xml:space="preserve">Vyhodnocení souladu se zákonem 334/1992 Sb. </w:t>
      </w:r>
    </w:p>
    <w:p w14:paraId="7FAAB284" w14:textId="77777777" w:rsidR="00AD69B8" w:rsidRPr="006070EA" w:rsidRDefault="00AD69B8" w:rsidP="003D125E">
      <w:pPr>
        <w:pStyle w:val="Atext"/>
        <w:spacing w:before="60" w:after="60"/>
        <w:rPr>
          <w:rFonts w:asciiTheme="majorHAnsi" w:hAnsiTheme="majorHAnsi" w:cstheme="majorHAnsi"/>
        </w:rPr>
      </w:pPr>
      <w:r w:rsidRPr="006070EA">
        <w:rPr>
          <w:rFonts w:asciiTheme="majorHAnsi" w:hAnsiTheme="majorHAnsi" w:cstheme="majorHAnsi"/>
        </w:rPr>
        <w:t>Řešení navrhované územním plánem vychází z maximálního respektování § 4 a 5 zákona č. 334/1992 Sb., o</w:t>
      </w:r>
      <w:r w:rsidR="00650193" w:rsidRPr="006070EA">
        <w:rPr>
          <w:rFonts w:asciiTheme="majorHAnsi" w:hAnsiTheme="majorHAnsi" w:cstheme="majorHAnsi"/>
        </w:rPr>
        <w:t> </w:t>
      </w:r>
      <w:r w:rsidRPr="006070EA">
        <w:rPr>
          <w:rFonts w:asciiTheme="majorHAnsi" w:hAnsiTheme="majorHAnsi" w:cstheme="majorHAnsi"/>
        </w:rPr>
        <w:t>ochraně zemědělského půdního fondu, ve znění pozdějších předpisů (dále též jen „zákon o ochraně</w:t>
      </w:r>
      <w:r w:rsidR="0011181C" w:rsidRPr="006070EA">
        <w:rPr>
          <w:rFonts w:asciiTheme="majorHAnsi" w:hAnsiTheme="majorHAnsi" w:cstheme="majorHAnsi"/>
        </w:rPr>
        <w:t> </w:t>
      </w:r>
      <w:r w:rsidRPr="006070EA">
        <w:rPr>
          <w:rFonts w:asciiTheme="majorHAnsi" w:hAnsiTheme="majorHAnsi" w:cstheme="majorHAnsi"/>
        </w:rPr>
        <w:t xml:space="preserve">ZPF“). </w:t>
      </w:r>
    </w:p>
    <w:p w14:paraId="528F65B7" w14:textId="26FE6931" w:rsidR="00AD69B8" w:rsidRPr="006070EA" w:rsidRDefault="00AD69B8" w:rsidP="003D125E">
      <w:pPr>
        <w:pStyle w:val="Atext"/>
        <w:spacing w:before="60" w:after="60"/>
        <w:rPr>
          <w:rFonts w:asciiTheme="majorHAnsi" w:hAnsiTheme="majorHAnsi" w:cstheme="majorHAnsi"/>
        </w:rPr>
      </w:pPr>
      <w:r w:rsidRPr="006070EA">
        <w:rPr>
          <w:rFonts w:asciiTheme="majorHAnsi" w:hAnsiTheme="majorHAnsi" w:cstheme="majorHAnsi"/>
        </w:rPr>
        <w:t xml:space="preserve">Dle § 4 bodem a) zákona o ochraně ZPF je nutné pro rozvoj využít přednostně zastavitelné plochy vymezené v původní územně plánovací dokumentaci. </w:t>
      </w:r>
      <w:r w:rsidR="00650193" w:rsidRPr="006070EA">
        <w:rPr>
          <w:rFonts w:asciiTheme="majorHAnsi" w:hAnsiTheme="majorHAnsi" w:cstheme="majorHAnsi"/>
        </w:rPr>
        <w:t xml:space="preserve">Tento požadavek ÚP </w:t>
      </w:r>
      <w:r w:rsidR="003E4283" w:rsidRPr="006070EA">
        <w:rPr>
          <w:rFonts w:asciiTheme="majorHAnsi" w:hAnsiTheme="majorHAnsi" w:cstheme="majorHAnsi"/>
        </w:rPr>
        <w:t>Kostomlaty nad Labem</w:t>
      </w:r>
      <w:r w:rsidR="00650193" w:rsidRPr="006070EA">
        <w:rPr>
          <w:rFonts w:asciiTheme="majorHAnsi" w:hAnsiTheme="majorHAnsi" w:cstheme="majorHAnsi"/>
        </w:rPr>
        <w:t xml:space="preserve"> respektuje a vymezuje zejména rozvojové plochy v souladu se stávající ÚPD obce (</w:t>
      </w:r>
      <w:r w:rsidRPr="006070EA">
        <w:rPr>
          <w:rFonts w:asciiTheme="majorHAnsi" w:hAnsiTheme="majorHAnsi" w:cstheme="majorHAnsi"/>
        </w:rPr>
        <w:t xml:space="preserve">viz kapitola </w:t>
      </w:r>
      <w:r w:rsidRPr="006070EA">
        <w:rPr>
          <w:rFonts w:asciiTheme="majorHAnsi" w:hAnsiTheme="majorHAnsi" w:cstheme="majorHAnsi"/>
          <w:i/>
        </w:rPr>
        <w:t>10.</w:t>
      </w:r>
      <w:r w:rsidR="00DF3801" w:rsidRPr="006070EA">
        <w:rPr>
          <w:rFonts w:asciiTheme="majorHAnsi" w:hAnsiTheme="majorHAnsi" w:cstheme="majorHAnsi"/>
          <w:i/>
        </w:rPr>
        <w:t>4</w:t>
      </w:r>
      <w:r w:rsidRPr="006070EA">
        <w:rPr>
          <w:rFonts w:asciiTheme="majorHAnsi" w:hAnsiTheme="majorHAnsi" w:cstheme="majorHAnsi"/>
          <w:i/>
        </w:rPr>
        <w:t xml:space="preserve"> Vyhodnocení využití zastavitelných ploch vymezených ve schválené ÚPD </w:t>
      </w:r>
      <w:r w:rsidR="003E4283" w:rsidRPr="006070EA">
        <w:rPr>
          <w:rFonts w:asciiTheme="majorHAnsi" w:hAnsiTheme="majorHAnsi" w:cstheme="majorHAnsi"/>
          <w:i/>
        </w:rPr>
        <w:t>Kostomlaty nad Labem</w:t>
      </w:r>
      <w:r w:rsidR="00650193" w:rsidRPr="006070EA">
        <w:rPr>
          <w:rFonts w:asciiTheme="majorHAnsi" w:hAnsiTheme="majorHAnsi" w:cstheme="majorHAnsi"/>
        </w:rPr>
        <w:t>)</w:t>
      </w:r>
      <w:r w:rsidRPr="006070EA">
        <w:rPr>
          <w:rFonts w:asciiTheme="majorHAnsi" w:hAnsiTheme="majorHAnsi" w:cstheme="majorHAnsi"/>
        </w:rPr>
        <w:t xml:space="preserve">. </w:t>
      </w:r>
    </w:p>
    <w:p w14:paraId="623E0FBF" w14:textId="20049385" w:rsidR="00DF3801" w:rsidRPr="006070EA" w:rsidRDefault="00A447BF" w:rsidP="00DF3801">
      <w:pPr>
        <w:pStyle w:val="Atext"/>
        <w:spacing w:before="60" w:after="60"/>
        <w:rPr>
          <w:rFonts w:asciiTheme="majorHAnsi" w:hAnsiTheme="majorHAnsi" w:cstheme="majorHAnsi"/>
        </w:rPr>
      </w:pPr>
      <w:r w:rsidRPr="006070EA">
        <w:rPr>
          <w:rFonts w:asciiTheme="majorHAnsi" w:hAnsiTheme="majorHAnsi" w:cstheme="majorHAnsi"/>
        </w:rPr>
        <w:t xml:space="preserve">V řešeném území jsou zastoupeny pozemky ZPF </w:t>
      </w:r>
      <w:r w:rsidR="003E4283" w:rsidRPr="006070EA">
        <w:rPr>
          <w:rFonts w:asciiTheme="majorHAnsi" w:hAnsiTheme="majorHAnsi" w:cstheme="majorHAnsi"/>
        </w:rPr>
        <w:t xml:space="preserve">všech </w:t>
      </w:r>
      <w:r w:rsidRPr="006070EA">
        <w:rPr>
          <w:rFonts w:asciiTheme="majorHAnsi" w:hAnsiTheme="majorHAnsi" w:cstheme="majorHAnsi"/>
        </w:rPr>
        <w:t>tříd ochrany.</w:t>
      </w:r>
      <w:r w:rsidR="00DF3801" w:rsidRPr="006070EA">
        <w:rPr>
          <w:rFonts w:asciiTheme="majorHAnsi" w:hAnsiTheme="majorHAnsi" w:cstheme="majorHAnsi"/>
        </w:rPr>
        <w:t xml:space="preserve"> </w:t>
      </w:r>
      <w:r w:rsidR="003E4283" w:rsidRPr="006070EA">
        <w:rPr>
          <w:rFonts w:asciiTheme="majorHAnsi" w:hAnsiTheme="majorHAnsi" w:cstheme="majorHAnsi"/>
        </w:rPr>
        <w:t xml:space="preserve">Vzhledem k lokalizaci zvláště chráněných zemědělských pozemků v přímé vazbě na zastavěné území nebylo možné vymezit nové zastavitelné plochy bez jejich dotčení. V souladu s principy udržitelného rozvoje je v územním plánu navržen rozvoj zejména v přímé vazbě zejména zastavěné území sídel, čímž je zajištěno efektivní využití stávající veřejné infrastruktury a eliminace neodůvodněného zastavování volné krajiny. </w:t>
      </w:r>
    </w:p>
    <w:p w14:paraId="01EEEC4E" w14:textId="4F40560E" w:rsidR="00AD69B8" w:rsidRPr="006070EA" w:rsidRDefault="00AD69B8" w:rsidP="003D125E">
      <w:pPr>
        <w:pStyle w:val="Atext"/>
        <w:spacing w:before="60" w:after="60"/>
        <w:rPr>
          <w:rFonts w:asciiTheme="majorHAnsi" w:hAnsiTheme="majorHAnsi" w:cstheme="majorHAnsi"/>
        </w:rPr>
      </w:pPr>
      <w:r w:rsidRPr="006070EA">
        <w:rPr>
          <w:rFonts w:asciiTheme="majorHAnsi" w:hAnsiTheme="majorHAnsi" w:cstheme="majorHAnsi"/>
        </w:rPr>
        <w:t xml:space="preserve">V souladu s § 4 bodem c) zákona o ochraně ZPF jsou v ÚP </w:t>
      </w:r>
      <w:r w:rsidR="003E4283" w:rsidRPr="006070EA">
        <w:rPr>
          <w:rFonts w:asciiTheme="majorHAnsi" w:hAnsiTheme="majorHAnsi" w:cstheme="majorHAnsi"/>
        </w:rPr>
        <w:t>Kostomlaty nad Labem</w:t>
      </w:r>
      <w:r w:rsidR="00A447BF" w:rsidRPr="006070EA">
        <w:rPr>
          <w:rFonts w:asciiTheme="majorHAnsi" w:hAnsiTheme="majorHAnsi" w:cstheme="majorHAnsi"/>
        </w:rPr>
        <w:t xml:space="preserve"> </w:t>
      </w:r>
      <w:r w:rsidRPr="006070EA">
        <w:rPr>
          <w:rFonts w:asciiTheme="majorHAnsi" w:hAnsiTheme="majorHAnsi" w:cstheme="majorHAnsi"/>
        </w:rPr>
        <w:t>vymezovány zastavitelné plochy vždy v návaznosti na stabilizovanou zástavbu tak, aby docházelo k postupnému a prostorově kontinuálnímu rozvoji zástavby a</w:t>
      </w:r>
      <w:r w:rsidR="00A447BF" w:rsidRPr="006070EA">
        <w:rPr>
          <w:rFonts w:asciiTheme="majorHAnsi" w:hAnsiTheme="majorHAnsi" w:cstheme="majorHAnsi"/>
        </w:rPr>
        <w:t> </w:t>
      </w:r>
      <w:r w:rsidRPr="006070EA">
        <w:rPr>
          <w:rFonts w:asciiTheme="majorHAnsi" w:hAnsiTheme="majorHAnsi" w:cstheme="majorHAnsi"/>
        </w:rPr>
        <w:t xml:space="preserve">nebyla narušována celistvost bloků a organizace zemědělské půdy, a nebyly narušovány zemědělské účelové komunikace, hydrologické a odtokové poměry. </w:t>
      </w:r>
      <w:r w:rsidR="00A447BF" w:rsidRPr="006070EA">
        <w:rPr>
          <w:rFonts w:asciiTheme="majorHAnsi" w:hAnsiTheme="majorHAnsi" w:cstheme="majorHAnsi"/>
        </w:rPr>
        <w:t>Současně byla při vymezování zastavitelných ploch zohledněna zahájená územní řízení.</w:t>
      </w:r>
    </w:p>
    <w:p w14:paraId="45EC1E9D" w14:textId="77777777" w:rsidR="00AD69B8" w:rsidRPr="006070EA" w:rsidRDefault="00AD69B8" w:rsidP="003D125E">
      <w:pPr>
        <w:pStyle w:val="Atext"/>
        <w:spacing w:before="60" w:after="60"/>
        <w:rPr>
          <w:rFonts w:asciiTheme="majorHAnsi" w:hAnsiTheme="majorHAnsi" w:cstheme="majorHAnsi"/>
        </w:rPr>
      </w:pPr>
      <w:r w:rsidRPr="006070EA">
        <w:rPr>
          <w:rFonts w:asciiTheme="majorHAnsi" w:hAnsiTheme="majorHAnsi" w:cstheme="majorHAnsi"/>
        </w:rPr>
        <w:t xml:space="preserve">V souladu s § 4 bodem d) zákona o ochraně ZPF je odnímána pouze nejnutnější plocha </w:t>
      </w:r>
      <w:proofErr w:type="gramStart"/>
      <w:r w:rsidRPr="006070EA">
        <w:rPr>
          <w:rFonts w:asciiTheme="majorHAnsi" w:hAnsiTheme="majorHAnsi" w:cstheme="majorHAnsi"/>
        </w:rPr>
        <w:t>ZPF - potřebnost</w:t>
      </w:r>
      <w:proofErr w:type="gramEnd"/>
      <w:r w:rsidRPr="006070EA">
        <w:rPr>
          <w:rFonts w:asciiTheme="majorHAnsi" w:hAnsiTheme="majorHAnsi" w:cstheme="majorHAnsi"/>
        </w:rPr>
        <w:t xml:space="preserve"> vymezení zastavitelných ploch je podrobně popsána v kapitole </w:t>
      </w:r>
      <w:r w:rsidRPr="006070EA">
        <w:rPr>
          <w:rFonts w:asciiTheme="majorHAnsi" w:hAnsiTheme="majorHAnsi" w:cstheme="majorHAnsi"/>
          <w:i/>
        </w:rPr>
        <w:t>10 Vyhodnocení účelného využití zastavěného území a vyhodnocení potřeby vymezení zastavitelných ploch</w:t>
      </w:r>
      <w:r w:rsidRPr="006070EA">
        <w:rPr>
          <w:rFonts w:asciiTheme="majorHAnsi" w:hAnsiTheme="majorHAnsi" w:cstheme="majorHAnsi"/>
        </w:rPr>
        <w:t>.</w:t>
      </w:r>
    </w:p>
    <w:p w14:paraId="0E5F424F" w14:textId="77777777" w:rsidR="00A447BF" w:rsidRPr="006070EA" w:rsidRDefault="003D125E" w:rsidP="003D125E">
      <w:pPr>
        <w:pStyle w:val="Atext"/>
        <w:spacing w:before="60" w:after="60"/>
        <w:rPr>
          <w:rFonts w:asciiTheme="majorHAnsi" w:hAnsiTheme="majorHAnsi" w:cstheme="majorHAnsi"/>
        </w:rPr>
      </w:pPr>
      <w:r w:rsidRPr="006070EA">
        <w:rPr>
          <w:rFonts w:asciiTheme="majorHAnsi" w:hAnsiTheme="majorHAnsi" w:cstheme="majorHAnsi"/>
        </w:rPr>
        <w:t xml:space="preserve">Ve vztahu k </w:t>
      </w:r>
      <w:r w:rsidR="00AD69B8" w:rsidRPr="006070EA">
        <w:rPr>
          <w:rFonts w:asciiTheme="majorHAnsi" w:hAnsiTheme="majorHAnsi" w:cstheme="majorHAnsi"/>
        </w:rPr>
        <w:t xml:space="preserve">§ 4 bodem e) zákona o ochraně ZPF jsou jako liniové vymezeny plochy veřejných prostranství (PV) pro </w:t>
      </w:r>
      <w:r w:rsidR="00071E0A" w:rsidRPr="006070EA">
        <w:rPr>
          <w:rFonts w:asciiTheme="majorHAnsi" w:hAnsiTheme="majorHAnsi" w:cstheme="majorHAnsi"/>
        </w:rPr>
        <w:t xml:space="preserve">zachování, </w:t>
      </w:r>
      <w:r w:rsidR="00AD69B8" w:rsidRPr="006070EA">
        <w:rPr>
          <w:rFonts w:asciiTheme="majorHAnsi" w:hAnsiTheme="majorHAnsi" w:cstheme="majorHAnsi"/>
        </w:rPr>
        <w:t xml:space="preserve">obnovu nebo rozvoj cestní sítě. Jejich vymezením nedojde k výraznému narušení celistvosti ZPF, s ohledem na charakter a využití ploch tyto nebudou vytvářet bariéry pro obhospodařování ZPF. </w:t>
      </w:r>
    </w:p>
    <w:p w14:paraId="777F8FF0" w14:textId="77777777" w:rsidR="00AD69B8" w:rsidRPr="006070EA" w:rsidRDefault="00AD69B8" w:rsidP="003D125E">
      <w:pPr>
        <w:pStyle w:val="Atext"/>
        <w:spacing w:before="60" w:after="60"/>
        <w:rPr>
          <w:rFonts w:asciiTheme="majorHAnsi" w:hAnsiTheme="majorHAnsi" w:cstheme="majorHAnsi"/>
        </w:rPr>
      </w:pPr>
      <w:r w:rsidRPr="006070EA">
        <w:rPr>
          <w:rFonts w:asciiTheme="majorHAnsi" w:hAnsiTheme="majorHAnsi" w:cstheme="majorHAnsi"/>
        </w:rPr>
        <w:t xml:space="preserve">Ochrana dle § 4 bodu f) zákona o ochraně ZPF se netýká úrovně územního plánu. </w:t>
      </w:r>
    </w:p>
    <w:p w14:paraId="73C1CFB6" w14:textId="77777777" w:rsidR="00272955" w:rsidRPr="006070EA" w:rsidRDefault="00272955" w:rsidP="00272955">
      <w:pPr>
        <w:pStyle w:val="Anadpistun"/>
        <w:rPr>
          <w:rFonts w:asciiTheme="majorHAnsi" w:hAnsiTheme="majorHAnsi" w:cstheme="majorHAnsi"/>
        </w:rPr>
      </w:pPr>
      <w:r w:rsidRPr="006070EA">
        <w:rPr>
          <w:rFonts w:asciiTheme="majorHAnsi" w:hAnsiTheme="majorHAnsi" w:cstheme="majorHAnsi"/>
        </w:rPr>
        <w:t>Odůvodnění vymezení zastavitelných ploch v nejvyšších třídách ochrany ZPF</w:t>
      </w:r>
    </w:p>
    <w:p w14:paraId="6D4A7E1D" w14:textId="56E062CA" w:rsidR="00272955" w:rsidRPr="006070EA" w:rsidRDefault="00272955" w:rsidP="00272955">
      <w:pPr>
        <w:pStyle w:val="Atext"/>
        <w:spacing w:before="60" w:after="60"/>
        <w:rPr>
          <w:rFonts w:asciiTheme="majorHAnsi" w:hAnsiTheme="majorHAnsi" w:cstheme="majorHAnsi"/>
        </w:rPr>
      </w:pPr>
      <w:r w:rsidRPr="006070EA">
        <w:rPr>
          <w:rFonts w:asciiTheme="majorHAnsi" w:hAnsiTheme="majorHAnsi" w:cstheme="majorHAnsi"/>
        </w:rPr>
        <w:t xml:space="preserve">Územní plán </w:t>
      </w:r>
      <w:r w:rsidR="00225D32" w:rsidRPr="006070EA">
        <w:rPr>
          <w:rFonts w:asciiTheme="majorHAnsi" w:hAnsiTheme="majorHAnsi" w:cstheme="majorHAnsi"/>
        </w:rPr>
        <w:t>Kostomlaty nad Labem</w:t>
      </w:r>
      <w:r w:rsidRPr="006070EA">
        <w:rPr>
          <w:rFonts w:asciiTheme="majorHAnsi" w:hAnsiTheme="majorHAnsi" w:cstheme="majorHAnsi"/>
        </w:rPr>
        <w:t xml:space="preserve"> vymezuje zastavitelné plochy </w:t>
      </w:r>
      <w:r w:rsidR="00225D32" w:rsidRPr="006070EA">
        <w:rPr>
          <w:rFonts w:asciiTheme="majorHAnsi" w:hAnsiTheme="majorHAnsi" w:cstheme="majorHAnsi"/>
        </w:rPr>
        <w:t xml:space="preserve">vzhledem k zastoupení zvláště chráněných zemědělských půd (viz kapitola 12.1.3) </w:t>
      </w:r>
      <w:r w:rsidR="009C2599" w:rsidRPr="006070EA">
        <w:rPr>
          <w:rFonts w:asciiTheme="majorHAnsi" w:hAnsiTheme="majorHAnsi" w:cstheme="majorHAnsi"/>
        </w:rPr>
        <w:t>dominantně</w:t>
      </w:r>
      <w:r w:rsidRPr="006070EA">
        <w:rPr>
          <w:rFonts w:asciiTheme="majorHAnsi" w:hAnsiTheme="majorHAnsi" w:cstheme="majorHAnsi"/>
        </w:rPr>
        <w:t xml:space="preserve"> na </w:t>
      </w:r>
      <w:r w:rsidR="00225D32" w:rsidRPr="006070EA">
        <w:rPr>
          <w:rFonts w:asciiTheme="majorHAnsi" w:hAnsiTheme="majorHAnsi" w:cstheme="majorHAnsi"/>
        </w:rPr>
        <w:t>I. třídy ochrany</w:t>
      </w:r>
      <w:r w:rsidRPr="006070EA">
        <w:rPr>
          <w:rFonts w:asciiTheme="majorHAnsi" w:hAnsiTheme="majorHAnsi" w:cstheme="majorHAnsi"/>
        </w:rPr>
        <w:t xml:space="preserve">. </w:t>
      </w:r>
      <w:r w:rsidR="00225D32" w:rsidRPr="006070EA">
        <w:rPr>
          <w:rFonts w:asciiTheme="majorHAnsi" w:hAnsiTheme="majorHAnsi" w:cstheme="majorHAnsi"/>
        </w:rPr>
        <w:t xml:space="preserve">Dále jsou ve větší míře zabírány také pozemky, zařazené ve IV. třídě ochrany ZPF. </w:t>
      </w:r>
    </w:p>
    <w:p w14:paraId="3F5D00F1" w14:textId="35654BDB" w:rsidR="00272955" w:rsidRPr="006070EA" w:rsidRDefault="00272955" w:rsidP="00225D32">
      <w:pPr>
        <w:pStyle w:val="Atext"/>
        <w:spacing w:before="60" w:after="60"/>
        <w:rPr>
          <w:rFonts w:asciiTheme="majorHAnsi" w:hAnsiTheme="majorHAnsi" w:cstheme="majorHAnsi"/>
        </w:rPr>
      </w:pPr>
      <w:r w:rsidRPr="006070EA">
        <w:rPr>
          <w:rFonts w:asciiTheme="majorHAnsi" w:hAnsiTheme="majorHAnsi" w:cstheme="majorHAnsi"/>
        </w:rPr>
        <w:lastRenderedPageBreak/>
        <w:t>Vzhledem k významnému zastoupení zemědělského půdního fondu nejvyšších tříd ochrany (I. a II.) v</w:t>
      </w:r>
      <w:r w:rsidR="009C2599" w:rsidRPr="006070EA">
        <w:rPr>
          <w:rFonts w:asciiTheme="majorHAnsi" w:hAnsiTheme="majorHAnsi" w:cstheme="majorHAnsi"/>
        </w:rPr>
        <w:t> </w:t>
      </w:r>
      <w:r w:rsidRPr="006070EA">
        <w:rPr>
          <w:rFonts w:asciiTheme="majorHAnsi" w:hAnsiTheme="majorHAnsi" w:cstheme="majorHAnsi"/>
        </w:rPr>
        <w:t>území</w:t>
      </w:r>
      <w:r w:rsidR="009C2599" w:rsidRPr="006070EA">
        <w:rPr>
          <w:rFonts w:asciiTheme="majorHAnsi" w:hAnsiTheme="majorHAnsi" w:cstheme="majorHAnsi"/>
        </w:rPr>
        <w:t xml:space="preserve"> a</w:t>
      </w:r>
      <w:r w:rsidR="00225D32" w:rsidRPr="006070EA">
        <w:rPr>
          <w:rFonts w:asciiTheme="majorHAnsi" w:hAnsiTheme="majorHAnsi" w:cstheme="majorHAnsi"/>
        </w:rPr>
        <w:t> </w:t>
      </w:r>
      <w:r w:rsidR="009C2599" w:rsidRPr="006070EA">
        <w:rPr>
          <w:rFonts w:asciiTheme="majorHAnsi" w:hAnsiTheme="majorHAnsi" w:cstheme="majorHAnsi"/>
        </w:rPr>
        <w:t>s ohledem na jejich zastoupení v přímé vazbě na urbanizované území,</w:t>
      </w:r>
      <w:r w:rsidRPr="006070EA">
        <w:rPr>
          <w:rFonts w:asciiTheme="majorHAnsi" w:hAnsiTheme="majorHAnsi" w:cstheme="majorHAnsi"/>
        </w:rPr>
        <w:t xml:space="preserve"> byla část rozvojových ploch vymezena na pozemcích </w:t>
      </w:r>
      <w:r w:rsidR="009C2599" w:rsidRPr="006070EA">
        <w:rPr>
          <w:rFonts w:asciiTheme="majorHAnsi" w:hAnsiTheme="majorHAnsi" w:cstheme="majorHAnsi"/>
        </w:rPr>
        <w:t xml:space="preserve">vysoké bonity, konkrétně náležících do </w:t>
      </w:r>
      <w:r w:rsidR="00225D32" w:rsidRPr="006070EA">
        <w:rPr>
          <w:rFonts w:asciiTheme="majorHAnsi" w:hAnsiTheme="majorHAnsi" w:cstheme="majorHAnsi"/>
        </w:rPr>
        <w:t xml:space="preserve">I. a </w:t>
      </w:r>
      <w:r w:rsidR="009C2599" w:rsidRPr="006070EA">
        <w:rPr>
          <w:rFonts w:asciiTheme="majorHAnsi" w:hAnsiTheme="majorHAnsi" w:cstheme="majorHAnsi"/>
        </w:rPr>
        <w:t xml:space="preserve">II. třídy ochrany ZPF, </w:t>
      </w:r>
      <w:r w:rsidRPr="006070EA">
        <w:rPr>
          <w:rFonts w:asciiTheme="majorHAnsi" w:hAnsiTheme="majorHAnsi" w:cstheme="majorHAnsi"/>
        </w:rPr>
        <w:t xml:space="preserve">z důvodu nutnosti vytvoření podmínek pro optimální </w:t>
      </w:r>
      <w:r w:rsidR="009C2599" w:rsidRPr="006070EA">
        <w:rPr>
          <w:rFonts w:asciiTheme="majorHAnsi" w:hAnsiTheme="majorHAnsi" w:cstheme="majorHAnsi"/>
        </w:rPr>
        <w:t>a</w:t>
      </w:r>
      <w:r w:rsidR="00225D32" w:rsidRPr="006070EA">
        <w:rPr>
          <w:rFonts w:asciiTheme="majorHAnsi" w:hAnsiTheme="majorHAnsi" w:cstheme="majorHAnsi"/>
        </w:rPr>
        <w:t> </w:t>
      </w:r>
      <w:r w:rsidR="009C2599" w:rsidRPr="006070EA">
        <w:rPr>
          <w:rFonts w:asciiTheme="majorHAnsi" w:hAnsiTheme="majorHAnsi" w:cstheme="majorHAnsi"/>
        </w:rPr>
        <w:t xml:space="preserve">koordinovaný </w:t>
      </w:r>
      <w:r w:rsidRPr="006070EA">
        <w:rPr>
          <w:rFonts w:asciiTheme="majorHAnsi" w:hAnsiTheme="majorHAnsi" w:cstheme="majorHAnsi"/>
        </w:rPr>
        <w:t xml:space="preserve">rozvoj obce, resp. naplnění potřeby vymezení zastavitelných ploch, identifikované v kapitole 10 </w:t>
      </w:r>
      <w:r w:rsidRPr="006070EA">
        <w:rPr>
          <w:rFonts w:asciiTheme="majorHAnsi" w:hAnsiTheme="majorHAnsi" w:cstheme="majorHAnsi"/>
          <w:i/>
        </w:rPr>
        <w:t>Vyhodnocení účelného využití zastavěného území a vyhodnocení potřeby vymezení zastavitelných ploch</w:t>
      </w:r>
      <w:r w:rsidRPr="006070EA">
        <w:rPr>
          <w:rFonts w:asciiTheme="majorHAnsi" w:hAnsiTheme="majorHAnsi" w:cstheme="majorHAnsi"/>
        </w:rPr>
        <w:t>. Plochy, vymezené na nejkvalitnější zemědělské půdě jsou dominantně převzaty ze stávající platné ÚPD obce (ÚPO </w:t>
      </w:r>
      <w:r w:rsidR="00225D32" w:rsidRPr="006070EA">
        <w:rPr>
          <w:rFonts w:asciiTheme="majorHAnsi" w:hAnsiTheme="majorHAnsi" w:cstheme="majorHAnsi"/>
        </w:rPr>
        <w:t>Kostomlaty nad Labem</w:t>
      </w:r>
      <w:r w:rsidRPr="006070EA">
        <w:rPr>
          <w:rFonts w:asciiTheme="majorHAnsi" w:hAnsiTheme="majorHAnsi" w:cstheme="majorHAnsi"/>
        </w:rPr>
        <w:t xml:space="preserve">). </w:t>
      </w:r>
    </w:p>
    <w:p w14:paraId="6DF9EA5A" w14:textId="06E6EB5F" w:rsidR="004307A4" w:rsidRPr="006070EA" w:rsidRDefault="004307A4" w:rsidP="00272955">
      <w:pPr>
        <w:pStyle w:val="Atext"/>
        <w:ind w:firstLine="0"/>
        <w:rPr>
          <w:rFonts w:asciiTheme="majorHAnsi" w:hAnsiTheme="majorHAnsi" w:cstheme="majorHAnsi"/>
        </w:rPr>
      </w:pPr>
      <w:r w:rsidRPr="006070EA">
        <w:rPr>
          <w:rFonts w:asciiTheme="majorHAnsi" w:hAnsiTheme="majorHAnsi" w:cstheme="majorHAnsi"/>
        </w:rPr>
        <w:tab/>
      </w:r>
      <w:r w:rsidR="000255BB" w:rsidRPr="006070EA">
        <w:rPr>
          <w:rFonts w:asciiTheme="majorHAnsi" w:hAnsiTheme="majorHAnsi" w:cstheme="majorHAnsi"/>
        </w:rPr>
        <w:t>Dále</w:t>
      </w:r>
      <w:r w:rsidRPr="006070EA">
        <w:rPr>
          <w:rFonts w:asciiTheme="majorHAnsi" w:hAnsiTheme="majorHAnsi" w:cstheme="majorHAnsi"/>
        </w:rPr>
        <w:t xml:space="preserve"> uvedené odůvodnění dotčení pozemků </w:t>
      </w:r>
      <w:r w:rsidR="00A24201" w:rsidRPr="006070EA">
        <w:rPr>
          <w:rFonts w:asciiTheme="majorHAnsi" w:hAnsiTheme="majorHAnsi" w:cstheme="majorHAnsi"/>
        </w:rPr>
        <w:t xml:space="preserve">I. a </w:t>
      </w:r>
      <w:r w:rsidRPr="006070EA">
        <w:rPr>
          <w:rFonts w:asciiTheme="majorHAnsi" w:hAnsiTheme="majorHAnsi" w:cstheme="majorHAnsi"/>
        </w:rPr>
        <w:t xml:space="preserve">II. třídy ochrany ZPF uvádí důvody pro vymezených zastavitelných ploch, u kterých </w:t>
      </w:r>
      <w:r w:rsidRPr="006070EA">
        <w:rPr>
          <w:rFonts w:asciiTheme="majorHAnsi" w:hAnsiTheme="majorHAnsi" w:cstheme="majorHAnsi"/>
          <w:bCs w:val="0"/>
        </w:rPr>
        <w:t>výrazně převažuje jiný veřejný zájem nad veřejným zájmem ochrany zemědělského půdního fondu.</w:t>
      </w:r>
      <w:r w:rsidR="000255BB" w:rsidRPr="006070EA">
        <w:rPr>
          <w:rFonts w:asciiTheme="majorHAnsi" w:hAnsiTheme="majorHAnsi" w:cstheme="majorHAnsi"/>
        </w:rPr>
        <w:t xml:space="preserve"> </w:t>
      </w:r>
    </w:p>
    <w:p w14:paraId="27A05F81" w14:textId="279F67A0" w:rsidR="00272955" w:rsidRPr="006070EA" w:rsidRDefault="00272955" w:rsidP="000255BB">
      <w:pPr>
        <w:pStyle w:val="Atext"/>
        <w:keepNext/>
        <w:ind w:firstLine="0"/>
        <w:rPr>
          <w:rFonts w:asciiTheme="majorHAnsi" w:hAnsiTheme="majorHAnsi" w:cstheme="majorHAnsi"/>
        </w:rPr>
      </w:pPr>
      <w:r w:rsidRPr="006070EA">
        <w:rPr>
          <w:rFonts w:asciiTheme="majorHAnsi" w:hAnsiTheme="majorHAnsi" w:cstheme="majorHAnsi"/>
          <w:u w:val="single"/>
        </w:rPr>
        <w:t xml:space="preserve">Odůvodnění dotčení </w:t>
      </w:r>
      <w:r w:rsidR="00CB0FD4" w:rsidRPr="006070EA">
        <w:rPr>
          <w:rFonts w:asciiTheme="majorHAnsi" w:hAnsiTheme="majorHAnsi" w:cstheme="majorHAnsi"/>
          <w:u w:val="single"/>
        </w:rPr>
        <w:t xml:space="preserve">I a </w:t>
      </w:r>
      <w:r w:rsidRPr="006070EA">
        <w:rPr>
          <w:rFonts w:asciiTheme="majorHAnsi" w:hAnsiTheme="majorHAnsi" w:cstheme="majorHAnsi"/>
          <w:u w:val="single"/>
        </w:rPr>
        <w:t xml:space="preserve">II. třídy ochrany ZPF zastavitelnými plochami ÚP </w:t>
      </w:r>
      <w:r w:rsidR="00CB0FD4" w:rsidRPr="006070EA">
        <w:rPr>
          <w:rFonts w:asciiTheme="majorHAnsi" w:hAnsiTheme="majorHAnsi" w:cstheme="majorHAnsi"/>
          <w:u w:val="single"/>
        </w:rPr>
        <w:t>Kostomlaty nad Labem</w:t>
      </w:r>
      <w:r w:rsidR="004307A4" w:rsidRPr="006070EA">
        <w:rPr>
          <w:rFonts w:asciiTheme="majorHAnsi" w:hAnsiTheme="majorHAnsi" w:cstheme="majorHAnsi"/>
        </w:rPr>
        <w:t xml:space="preserve">: </w:t>
      </w:r>
    </w:p>
    <w:p w14:paraId="32CBCDD6" w14:textId="05E2A0FA" w:rsidR="00CB0FD4" w:rsidRPr="006070EA" w:rsidRDefault="00CB0FD4" w:rsidP="003A4B1E">
      <w:pPr>
        <w:pStyle w:val="Atext"/>
        <w:numPr>
          <w:ilvl w:val="0"/>
          <w:numId w:val="32"/>
        </w:numPr>
        <w:spacing w:before="0" w:after="0"/>
        <w:rPr>
          <w:rFonts w:asciiTheme="majorHAnsi" w:hAnsiTheme="majorHAnsi" w:cstheme="majorHAnsi"/>
        </w:rPr>
      </w:pPr>
      <w:r w:rsidRPr="006070EA">
        <w:rPr>
          <w:rFonts w:asciiTheme="majorHAnsi" w:hAnsiTheme="majorHAnsi" w:cstheme="majorHAnsi"/>
        </w:rPr>
        <w:t>Koncepce stanovená v platné ÚPD obce – plochy převzaté z ÚPO Kostomlaty nad Labem</w:t>
      </w:r>
    </w:p>
    <w:p w14:paraId="2018F73C" w14:textId="2218E170" w:rsidR="00CB0FD4" w:rsidRPr="006070EA" w:rsidRDefault="00CB0FD4" w:rsidP="00CB0FD4">
      <w:pPr>
        <w:pStyle w:val="Atext"/>
        <w:numPr>
          <w:ilvl w:val="1"/>
          <w:numId w:val="32"/>
        </w:numPr>
        <w:spacing w:before="0" w:after="0"/>
        <w:rPr>
          <w:rFonts w:asciiTheme="majorHAnsi" w:hAnsiTheme="majorHAnsi" w:cstheme="majorHAnsi"/>
        </w:rPr>
      </w:pPr>
      <w:r w:rsidRPr="006070EA">
        <w:rPr>
          <w:rFonts w:asciiTheme="majorHAnsi" w:hAnsiTheme="majorHAnsi" w:cstheme="majorHAnsi"/>
        </w:rPr>
        <w:t>Zastavitelné plochy Z</w:t>
      </w:r>
      <w:r w:rsidR="000E2721" w:rsidRPr="006070EA">
        <w:rPr>
          <w:rFonts w:asciiTheme="majorHAnsi" w:hAnsiTheme="majorHAnsi" w:cstheme="majorHAnsi"/>
        </w:rPr>
        <w:t>.</w:t>
      </w:r>
      <w:r w:rsidRPr="006070EA">
        <w:rPr>
          <w:rFonts w:asciiTheme="majorHAnsi" w:hAnsiTheme="majorHAnsi" w:cstheme="majorHAnsi"/>
        </w:rPr>
        <w:t>14, Z</w:t>
      </w:r>
      <w:r w:rsidR="000E2721" w:rsidRPr="006070EA">
        <w:rPr>
          <w:rFonts w:asciiTheme="majorHAnsi" w:hAnsiTheme="majorHAnsi" w:cstheme="majorHAnsi"/>
        </w:rPr>
        <w:t>.</w:t>
      </w:r>
      <w:r w:rsidRPr="006070EA">
        <w:rPr>
          <w:rFonts w:asciiTheme="majorHAnsi" w:hAnsiTheme="majorHAnsi" w:cstheme="majorHAnsi"/>
        </w:rPr>
        <w:t>16, Z</w:t>
      </w:r>
      <w:r w:rsidR="000E2721" w:rsidRPr="006070EA">
        <w:rPr>
          <w:rFonts w:asciiTheme="majorHAnsi" w:hAnsiTheme="majorHAnsi" w:cstheme="majorHAnsi"/>
        </w:rPr>
        <w:t>.</w:t>
      </w:r>
      <w:r w:rsidRPr="006070EA">
        <w:rPr>
          <w:rFonts w:asciiTheme="majorHAnsi" w:hAnsiTheme="majorHAnsi" w:cstheme="majorHAnsi"/>
        </w:rPr>
        <w:t>18 (částečně), Z</w:t>
      </w:r>
      <w:r w:rsidR="000E2721" w:rsidRPr="006070EA">
        <w:rPr>
          <w:rFonts w:asciiTheme="majorHAnsi" w:hAnsiTheme="majorHAnsi" w:cstheme="majorHAnsi"/>
        </w:rPr>
        <w:t>.</w:t>
      </w:r>
      <w:r w:rsidRPr="006070EA">
        <w:rPr>
          <w:rFonts w:asciiTheme="majorHAnsi" w:hAnsiTheme="majorHAnsi" w:cstheme="majorHAnsi"/>
        </w:rPr>
        <w:t>19 (částečně), Z</w:t>
      </w:r>
      <w:r w:rsidR="000E2721" w:rsidRPr="006070EA">
        <w:rPr>
          <w:rFonts w:asciiTheme="majorHAnsi" w:hAnsiTheme="majorHAnsi" w:cstheme="majorHAnsi"/>
        </w:rPr>
        <w:t>.</w:t>
      </w:r>
      <w:r w:rsidRPr="006070EA">
        <w:rPr>
          <w:rFonts w:asciiTheme="majorHAnsi" w:hAnsiTheme="majorHAnsi" w:cstheme="majorHAnsi"/>
        </w:rPr>
        <w:t>13</w:t>
      </w:r>
    </w:p>
    <w:p w14:paraId="126336CD" w14:textId="39DE11B5" w:rsidR="00CB0FD4" w:rsidRPr="006070EA" w:rsidRDefault="00CB0FD4" w:rsidP="00CB0FD4">
      <w:pPr>
        <w:pStyle w:val="Atext"/>
        <w:numPr>
          <w:ilvl w:val="0"/>
          <w:numId w:val="32"/>
        </w:numPr>
        <w:spacing w:before="0" w:after="0"/>
        <w:rPr>
          <w:rFonts w:asciiTheme="majorHAnsi" w:hAnsiTheme="majorHAnsi" w:cstheme="majorHAnsi"/>
        </w:rPr>
      </w:pPr>
      <w:r w:rsidRPr="006070EA">
        <w:rPr>
          <w:rFonts w:asciiTheme="majorHAnsi" w:hAnsiTheme="majorHAnsi" w:cstheme="majorHAnsi"/>
        </w:rPr>
        <w:t>Koncepce stanovená v platné ÚPD obce – plochy územních rezerv z ÚPO Kostomlaty nad Labem prověřené v rámci zpracování návrhu ÚP Kostomlaty nad Labem a vymezeny jako zastavitelné plochy</w:t>
      </w:r>
    </w:p>
    <w:p w14:paraId="175A2C71" w14:textId="2F8D551D" w:rsidR="00CB0FD4" w:rsidRPr="006070EA" w:rsidRDefault="00CB0FD4" w:rsidP="00CB0FD4">
      <w:pPr>
        <w:pStyle w:val="Atext"/>
        <w:numPr>
          <w:ilvl w:val="1"/>
          <w:numId w:val="32"/>
        </w:numPr>
        <w:spacing w:before="0" w:after="0"/>
        <w:rPr>
          <w:rFonts w:asciiTheme="majorHAnsi" w:hAnsiTheme="majorHAnsi" w:cstheme="majorHAnsi"/>
        </w:rPr>
      </w:pPr>
      <w:r w:rsidRPr="006070EA">
        <w:rPr>
          <w:rFonts w:asciiTheme="majorHAnsi" w:hAnsiTheme="majorHAnsi" w:cstheme="majorHAnsi"/>
        </w:rPr>
        <w:t>Zastavitelná plocha Z</w:t>
      </w:r>
      <w:r w:rsidR="000E2721" w:rsidRPr="006070EA">
        <w:rPr>
          <w:rFonts w:asciiTheme="majorHAnsi" w:hAnsiTheme="majorHAnsi" w:cstheme="majorHAnsi"/>
        </w:rPr>
        <w:t>.</w:t>
      </w:r>
      <w:r w:rsidRPr="006070EA">
        <w:rPr>
          <w:rFonts w:asciiTheme="majorHAnsi" w:hAnsiTheme="majorHAnsi" w:cstheme="majorHAnsi"/>
        </w:rPr>
        <w:t>07</w:t>
      </w:r>
    </w:p>
    <w:p w14:paraId="543F5455" w14:textId="395BDD58" w:rsidR="00CB0FD4" w:rsidRPr="006070EA" w:rsidRDefault="00CB0FD4" w:rsidP="00CB0FD4">
      <w:pPr>
        <w:pStyle w:val="Atext"/>
        <w:numPr>
          <w:ilvl w:val="0"/>
          <w:numId w:val="32"/>
        </w:numPr>
        <w:spacing w:before="0" w:after="0"/>
        <w:rPr>
          <w:rFonts w:asciiTheme="majorHAnsi" w:hAnsiTheme="majorHAnsi" w:cstheme="majorHAnsi"/>
        </w:rPr>
      </w:pPr>
      <w:r w:rsidRPr="006070EA">
        <w:rPr>
          <w:rFonts w:asciiTheme="majorHAnsi" w:hAnsiTheme="majorHAnsi" w:cstheme="majorHAnsi"/>
        </w:rPr>
        <w:t>Plochy pro zajištění ekologické stability území – vymezení ÚSES v ÚP Kostomlaty nad Labem a zajištění jeho funkčnosti</w:t>
      </w:r>
    </w:p>
    <w:p w14:paraId="14473943" w14:textId="1739ACA0" w:rsidR="00CB0FD4" w:rsidRPr="006070EA" w:rsidRDefault="00CB0FD4" w:rsidP="00CB0FD4">
      <w:pPr>
        <w:pStyle w:val="Atext"/>
        <w:numPr>
          <w:ilvl w:val="1"/>
          <w:numId w:val="32"/>
        </w:numPr>
        <w:spacing w:before="0" w:after="0"/>
        <w:rPr>
          <w:rFonts w:asciiTheme="majorHAnsi" w:hAnsiTheme="majorHAnsi" w:cstheme="majorHAnsi"/>
        </w:rPr>
      </w:pPr>
      <w:r w:rsidRPr="006070EA">
        <w:rPr>
          <w:rFonts w:asciiTheme="majorHAnsi" w:hAnsiTheme="majorHAnsi" w:cstheme="majorHAnsi"/>
        </w:rPr>
        <w:t>Plochy změn v krajině K</w:t>
      </w:r>
      <w:r w:rsidR="000E2721" w:rsidRPr="006070EA">
        <w:rPr>
          <w:rFonts w:asciiTheme="majorHAnsi" w:hAnsiTheme="majorHAnsi" w:cstheme="majorHAnsi"/>
        </w:rPr>
        <w:t>.</w:t>
      </w:r>
      <w:r w:rsidRPr="006070EA">
        <w:rPr>
          <w:rFonts w:asciiTheme="majorHAnsi" w:hAnsiTheme="majorHAnsi" w:cstheme="majorHAnsi"/>
        </w:rPr>
        <w:t>02, K</w:t>
      </w:r>
      <w:r w:rsidR="000E2721" w:rsidRPr="006070EA">
        <w:rPr>
          <w:rFonts w:asciiTheme="majorHAnsi" w:hAnsiTheme="majorHAnsi" w:cstheme="majorHAnsi"/>
        </w:rPr>
        <w:t>.</w:t>
      </w:r>
      <w:r w:rsidRPr="006070EA">
        <w:rPr>
          <w:rFonts w:asciiTheme="majorHAnsi" w:hAnsiTheme="majorHAnsi" w:cstheme="majorHAnsi"/>
        </w:rPr>
        <w:t>03, K</w:t>
      </w:r>
      <w:r w:rsidR="000E2721" w:rsidRPr="006070EA">
        <w:rPr>
          <w:rFonts w:asciiTheme="majorHAnsi" w:hAnsiTheme="majorHAnsi" w:cstheme="majorHAnsi"/>
        </w:rPr>
        <w:t>.</w:t>
      </w:r>
      <w:r w:rsidRPr="006070EA">
        <w:rPr>
          <w:rFonts w:asciiTheme="majorHAnsi" w:hAnsiTheme="majorHAnsi" w:cstheme="majorHAnsi"/>
        </w:rPr>
        <w:t>04 a K</w:t>
      </w:r>
      <w:r w:rsidR="000E2721" w:rsidRPr="006070EA">
        <w:rPr>
          <w:rFonts w:asciiTheme="majorHAnsi" w:hAnsiTheme="majorHAnsi" w:cstheme="majorHAnsi"/>
        </w:rPr>
        <w:t>.</w:t>
      </w:r>
      <w:r w:rsidRPr="006070EA">
        <w:rPr>
          <w:rFonts w:asciiTheme="majorHAnsi" w:hAnsiTheme="majorHAnsi" w:cstheme="majorHAnsi"/>
        </w:rPr>
        <w:t>05 – plochy pro zajištění funkčnosti vymezených skladebných částí ÚSES, které byly současně součástí systému ekologické stability také v ÚPO Kostomlaty nad Labem</w:t>
      </w:r>
    </w:p>
    <w:p w14:paraId="55C7ED51" w14:textId="5D040F01" w:rsidR="00DB549E" w:rsidRPr="006070EA" w:rsidRDefault="00DB549E" w:rsidP="00DB549E">
      <w:pPr>
        <w:pStyle w:val="Atext"/>
        <w:numPr>
          <w:ilvl w:val="0"/>
          <w:numId w:val="32"/>
        </w:numPr>
        <w:spacing w:before="0" w:after="0"/>
        <w:rPr>
          <w:rFonts w:asciiTheme="majorHAnsi" w:hAnsiTheme="majorHAnsi" w:cstheme="majorHAnsi"/>
        </w:rPr>
      </w:pPr>
      <w:r w:rsidRPr="006070EA">
        <w:rPr>
          <w:rFonts w:asciiTheme="majorHAnsi" w:hAnsiTheme="majorHAnsi" w:cstheme="majorHAnsi"/>
        </w:rPr>
        <w:t>Vytvoření podmínek pro rozvoj obytné funkce v jednotlivých sídlech řešeného území v souladu s identifikovanou potřebou vymezení zastavitelných ploch pro bydlení (viz kapitola 10)</w:t>
      </w:r>
    </w:p>
    <w:p w14:paraId="4403B311" w14:textId="77777777" w:rsidR="00003BBA" w:rsidRPr="006070EA" w:rsidRDefault="00DB549E" w:rsidP="00F777AD">
      <w:pPr>
        <w:pStyle w:val="Atext"/>
        <w:spacing w:before="0" w:after="0"/>
        <w:ind w:left="709" w:firstLine="11"/>
        <w:rPr>
          <w:rFonts w:asciiTheme="majorHAnsi" w:hAnsiTheme="majorHAnsi" w:cstheme="majorHAnsi"/>
        </w:rPr>
      </w:pPr>
      <w:r w:rsidRPr="006070EA">
        <w:rPr>
          <w:rFonts w:asciiTheme="majorHAnsi" w:hAnsiTheme="majorHAnsi" w:cstheme="majorHAnsi"/>
        </w:rPr>
        <w:t xml:space="preserve">Lokalizace ploch na pozemcích zvláště chráněných tříd ochrany ZPF je dána snahou o zajištění přímé vazby na stávající zastavěné území, zajištění efektivního využití sídla (napojitelnost na veřejnou infrastrukturu), vytvoření urbanisticky vhodného a kompaktního tvaru sídla, </w:t>
      </w:r>
      <w:r w:rsidR="00F777AD" w:rsidRPr="006070EA">
        <w:rPr>
          <w:rFonts w:asciiTheme="majorHAnsi" w:hAnsiTheme="majorHAnsi" w:cstheme="majorHAnsi"/>
        </w:rPr>
        <w:t>a současně o zamezení</w:t>
      </w:r>
      <w:r w:rsidRPr="006070EA">
        <w:rPr>
          <w:rFonts w:asciiTheme="majorHAnsi" w:hAnsiTheme="majorHAnsi" w:cstheme="majorHAnsi"/>
        </w:rPr>
        <w:t xml:space="preserve"> vytvoření enkláv zemědělské krajiny s nemožností efektivního obhospodařování. </w:t>
      </w:r>
    </w:p>
    <w:p w14:paraId="7FC08CAD" w14:textId="486E74AD" w:rsidR="00DB549E" w:rsidRPr="006070EA" w:rsidRDefault="00DB549E" w:rsidP="00F777AD">
      <w:pPr>
        <w:pStyle w:val="Atext"/>
        <w:spacing w:before="0" w:after="0"/>
        <w:ind w:left="709" w:firstLine="11"/>
        <w:rPr>
          <w:rFonts w:asciiTheme="majorHAnsi" w:hAnsiTheme="majorHAnsi" w:cstheme="majorHAnsi"/>
        </w:rPr>
      </w:pPr>
      <w:r w:rsidRPr="006070EA">
        <w:rPr>
          <w:rFonts w:asciiTheme="majorHAnsi" w:hAnsiTheme="majorHAnsi" w:cstheme="majorHAnsi"/>
        </w:rPr>
        <w:t>Pozemky v přímé vazba na zastavěné území sídel jsou situovány dominantně na pozemcích ZPF I. a II. třídy ochrany, viz kapitola 1</w:t>
      </w:r>
      <w:r w:rsidR="00225D32" w:rsidRPr="006070EA">
        <w:rPr>
          <w:rFonts w:asciiTheme="majorHAnsi" w:hAnsiTheme="majorHAnsi" w:cstheme="majorHAnsi"/>
        </w:rPr>
        <w:t>2</w:t>
      </w:r>
      <w:r w:rsidRPr="006070EA">
        <w:rPr>
          <w:rFonts w:asciiTheme="majorHAnsi" w:hAnsiTheme="majorHAnsi" w:cstheme="majorHAnsi"/>
        </w:rPr>
        <w:t>.1.3, přičemž není možné vymezit nové zastavitelné plochy a naplnit tak identifikovanou potřebu pro jejich vymezení</w:t>
      </w:r>
      <w:r w:rsidR="00F777AD" w:rsidRPr="006070EA">
        <w:rPr>
          <w:rFonts w:asciiTheme="majorHAnsi" w:hAnsiTheme="majorHAnsi" w:cstheme="majorHAnsi"/>
        </w:rPr>
        <w:t xml:space="preserve"> (viz kapitola 10) </w:t>
      </w:r>
      <w:r w:rsidRPr="006070EA">
        <w:rPr>
          <w:rFonts w:asciiTheme="majorHAnsi" w:hAnsiTheme="majorHAnsi" w:cstheme="majorHAnsi"/>
        </w:rPr>
        <w:t xml:space="preserve">bez dotčení </w:t>
      </w:r>
      <w:r w:rsidR="00F777AD" w:rsidRPr="006070EA">
        <w:rPr>
          <w:rFonts w:asciiTheme="majorHAnsi" w:hAnsiTheme="majorHAnsi" w:cstheme="majorHAnsi"/>
        </w:rPr>
        <w:t>této (zvláště chráněné) zemědělské půdy.</w:t>
      </w:r>
    </w:p>
    <w:p w14:paraId="246834A8" w14:textId="4F90DC29" w:rsidR="0085631A" w:rsidRPr="00A76411" w:rsidRDefault="00F777AD" w:rsidP="0085631A">
      <w:pPr>
        <w:pStyle w:val="Atext"/>
        <w:numPr>
          <w:ilvl w:val="1"/>
          <w:numId w:val="32"/>
        </w:numPr>
        <w:spacing w:before="0" w:after="0"/>
        <w:rPr>
          <w:rFonts w:asciiTheme="majorHAnsi" w:hAnsiTheme="majorHAnsi" w:cstheme="majorHAnsi"/>
        </w:rPr>
      </w:pPr>
      <w:r w:rsidRPr="00A76411">
        <w:rPr>
          <w:rFonts w:asciiTheme="majorHAnsi" w:hAnsiTheme="majorHAnsi" w:cstheme="majorHAnsi"/>
        </w:rPr>
        <w:t>Zastavitelné plochy Z</w:t>
      </w:r>
      <w:r w:rsidR="000E2721" w:rsidRPr="00A76411">
        <w:rPr>
          <w:rFonts w:asciiTheme="majorHAnsi" w:hAnsiTheme="majorHAnsi" w:cstheme="majorHAnsi"/>
        </w:rPr>
        <w:t>.</w:t>
      </w:r>
      <w:r w:rsidRPr="00A76411">
        <w:rPr>
          <w:rFonts w:asciiTheme="majorHAnsi" w:hAnsiTheme="majorHAnsi" w:cstheme="majorHAnsi"/>
        </w:rPr>
        <w:t>08, Z</w:t>
      </w:r>
      <w:r w:rsidR="000E2721" w:rsidRPr="00A76411">
        <w:rPr>
          <w:rFonts w:asciiTheme="majorHAnsi" w:hAnsiTheme="majorHAnsi" w:cstheme="majorHAnsi"/>
        </w:rPr>
        <w:t>.</w:t>
      </w:r>
      <w:r w:rsidRPr="00A76411">
        <w:rPr>
          <w:rFonts w:asciiTheme="majorHAnsi" w:hAnsiTheme="majorHAnsi" w:cstheme="majorHAnsi"/>
        </w:rPr>
        <w:t>15, Z</w:t>
      </w:r>
      <w:r w:rsidR="000E2721" w:rsidRPr="00A76411">
        <w:rPr>
          <w:rFonts w:asciiTheme="majorHAnsi" w:hAnsiTheme="majorHAnsi" w:cstheme="majorHAnsi"/>
        </w:rPr>
        <w:t>.</w:t>
      </w:r>
      <w:r w:rsidRPr="00A76411">
        <w:rPr>
          <w:rFonts w:asciiTheme="majorHAnsi" w:hAnsiTheme="majorHAnsi" w:cstheme="majorHAnsi"/>
        </w:rPr>
        <w:t>17, Z</w:t>
      </w:r>
      <w:r w:rsidR="000E2721" w:rsidRPr="00A76411">
        <w:rPr>
          <w:rFonts w:asciiTheme="majorHAnsi" w:hAnsiTheme="majorHAnsi" w:cstheme="majorHAnsi"/>
        </w:rPr>
        <w:t>.</w:t>
      </w:r>
      <w:r w:rsidRPr="00A76411">
        <w:rPr>
          <w:rFonts w:asciiTheme="majorHAnsi" w:hAnsiTheme="majorHAnsi" w:cstheme="majorHAnsi"/>
        </w:rPr>
        <w:t>21</w:t>
      </w:r>
    </w:p>
    <w:p w14:paraId="5ED274B7" w14:textId="49521F08" w:rsidR="008F2085" w:rsidRPr="006070EA" w:rsidRDefault="008F2085" w:rsidP="003F32FB">
      <w:pPr>
        <w:pStyle w:val="Atext"/>
        <w:numPr>
          <w:ilvl w:val="0"/>
          <w:numId w:val="32"/>
        </w:numPr>
        <w:spacing w:before="0" w:after="0"/>
        <w:rPr>
          <w:rFonts w:asciiTheme="majorHAnsi" w:hAnsiTheme="majorHAnsi" w:cstheme="majorHAnsi"/>
        </w:rPr>
      </w:pPr>
      <w:r w:rsidRPr="006070EA">
        <w:rPr>
          <w:rFonts w:asciiTheme="majorHAnsi" w:hAnsiTheme="majorHAnsi" w:cstheme="majorHAnsi"/>
        </w:rPr>
        <w:t>Zajištění ochrany hodnot území</w:t>
      </w:r>
    </w:p>
    <w:p w14:paraId="6E7D41CE" w14:textId="540AC80F" w:rsidR="008F2085" w:rsidRPr="006070EA" w:rsidRDefault="008F2085" w:rsidP="00FC1E99">
      <w:pPr>
        <w:pStyle w:val="Atext"/>
        <w:numPr>
          <w:ilvl w:val="1"/>
          <w:numId w:val="32"/>
        </w:numPr>
        <w:spacing w:before="0" w:after="0"/>
        <w:rPr>
          <w:rFonts w:asciiTheme="majorHAnsi" w:hAnsiTheme="majorHAnsi" w:cstheme="majorHAnsi"/>
        </w:rPr>
      </w:pPr>
      <w:r w:rsidRPr="006070EA">
        <w:rPr>
          <w:rFonts w:asciiTheme="majorHAnsi" w:hAnsiTheme="majorHAnsi" w:cstheme="majorHAnsi"/>
        </w:rPr>
        <w:t>Zastavitelná plocha Z</w:t>
      </w:r>
      <w:r w:rsidR="000E2721" w:rsidRPr="006070EA">
        <w:rPr>
          <w:rFonts w:asciiTheme="majorHAnsi" w:hAnsiTheme="majorHAnsi" w:cstheme="majorHAnsi"/>
        </w:rPr>
        <w:t>.</w:t>
      </w:r>
      <w:r w:rsidRPr="006070EA">
        <w:rPr>
          <w:rFonts w:asciiTheme="majorHAnsi" w:hAnsiTheme="majorHAnsi" w:cstheme="majorHAnsi"/>
        </w:rPr>
        <w:t>08 (Z</w:t>
      </w:r>
      <w:r w:rsidR="000E2721" w:rsidRPr="006070EA">
        <w:rPr>
          <w:rFonts w:asciiTheme="majorHAnsi" w:hAnsiTheme="majorHAnsi" w:cstheme="majorHAnsi"/>
        </w:rPr>
        <w:t>P</w:t>
      </w:r>
      <w:r w:rsidRPr="006070EA">
        <w:rPr>
          <w:rFonts w:asciiTheme="majorHAnsi" w:hAnsiTheme="majorHAnsi" w:cstheme="majorHAnsi"/>
        </w:rPr>
        <w:t>) je vymezena pro ochranu koryta vodního toku Vlkava, prostorové oddělení zástavby od vodního toku a zajištění podmínek pro funkčnost skladebné části ÚSES ve veřejném zájmu, přičemž její nevymezení by současně znamenalo ponechání zbytkové zemědělské plochy bez možnosti efektivního obhospodařování</w:t>
      </w:r>
    </w:p>
    <w:p w14:paraId="4BD84F71" w14:textId="777857EF" w:rsidR="003F32FB" w:rsidRPr="006070EA" w:rsidRDefault="003F32FB" w:rsidP="003F32FB">
      <w:pPr>
        <w:pStyle w:val="Atext"/>
        <w:numPr>
          <w:ilvl w:val="0"/>
          <w:numId w:val="32"/>
        </w:numPr>
        <w:spacing w:before="0" w:after="0"/>
        <w:rPr>
          <w:rFonts w:asciiTheme="majorHAnsi" w:hAnsiTheme="majorHAnsi" w:cstheme="majorHAnsi"/>
        </w:rPr>
      </w:pPr>
      <w:r w:rsidRPr="006070EA">
        <w:rPr>
          <w:rFonts w:asciiTheme="majorHAnsi" w:hAnsiTheme="majorHAnsi" w:cstheme="majorHAnsi"/>
        </w:rPr>
        <w:t>Vytvoření podmínek pro rovnoměrný rozvoj sídelní struktury sídel v řešeném území s obytným a rekreačním významem, zamezení upadání venkovských sídel v důsledku stagnace výstavby</w:t>
      </w:r>
    </w:p>
    <w:p w14:paraId="73E17278" w14:textId="3CA9C5C9" w:rsidR="003F32FB" w:rsidRPr="006070EA" w:rsidRDefault="003F32FB" w:rsidP="003F32FB">
      <w:pPr>
        <w:pStyle w:val="Atext"/>
        <w:numPr>
          <w:ilvl w:val="1"/>
          <w:numId w:val="32"/>
        </w:numPr>
        <w:spacing w:before="0" w:after="0"/>
        <w:rPr>
          <w:rFonts w:asciiTheme="majorHAnsi" w:hAnsiTheme="majorHAnsi" w:cstheme="majorHAnsi"/>
        </w:rPr>
      </w:pPr>
      <w:r w:rsidRPr="006070EA">
        <w:rPr>
          <w:rFonts w:asciiTheme="majorHAnsi" w:hAnsiTheme="majorHAnsi" w:cstheme="majorHAnsi"/>
        </w:rPr>
        <w:t>Zastavitelná plocha Z</w:t>
      </w:r>
      <w:r w:rsidR="000E2721" w:rsidRPr="006070EA">
        <w:rPr>
          <w:rFonts w:asciiTheme="majorHAnsi" w:hAnsiTheme="majorHAnsi" w:cstheme="majorHAnsi"/>
        </w:rPr>
        <w:t>.</w:t>
      </w:r>
      <w:r w:rsidRPr="006070EA">
        <w:rPr>
          <w:rFonts w:asciiTheme="majorHAnsi" w:hAnsiTheme="majorHAnsi" w:cstheme="majorHAnsi"/>
        </w:rPr>
        <w:t>21 (SV) – jedná se o jedinou plochu pro rozvoj kompaktního sídla Hronětice, která doplňuje kompaktní tvar zastavěného území</w:t>
      </w:r>
    </w:p>
    <w:p w14:paraId="53E1EBFC" w14:textId="472BD9F8" w:rsidR="003F32FB" w:rsidRPr="006070EA" w:rsidRDefault="003F32FB" w:rsidP="003F32FB">
      <w:pPr>
        <w:pStyle w:val="Atext"/>
        <w:numPr>
          <w:ilvl w:val="0"/>
          <w:numId w:val="32"/>
        </w:numPr>
        <w:spacing w:before="0" w:after="0"/>
        <w:rPr>
          <w:rFonts w:asciiTheme="majorHAnsi" w:hAnsiTheme="majorHAnsi" w:cstheme="majorHAnsi"/>
        </w:rPr>
      </w:pPr>
      <w:r w:rsidRPr="006070EA">
        <w:rPr>
          <w:rFonts w:asciiTheme="majorHAnsi" w:hAnsiTheme="majorHAnsi" w:cstheme="majorHAnsi"/>
        </w:rPr>
        <w:t>Dotčení ploch dalšími záměry a stanovení souvisejících podmínek využití</w:t>
      </w:r>
    </w:p>
    <w:p w14:paraId="7855DB1A" w14:textId="6B59ECA2" w:rsidR="003F32FB" w:rsidRPr="006070EA" w:rsidRDefault="003F32FB" w:rsidP="003F32FB">
      <w:pPr>
        <w:pStyle w:val="Atext"/>
        <w:numPr>
          <w:ilvl w:val="1"/>
          <w:numId w:val="32"/>
        </w:numPr>
        <w:spacing w:before="0" w:after="0"/>
        <w:rPr>
          <w:rFonts w:asciiTheme="majorHAnsi" w:hAnsiTheme="majorHAnsi" w:cstheme="majorHAnsi"/>
        </w:rPr>
      </w:pPr>
      <w:r w:rsidRPr="006070EA">
        <w:rPr>
          <w:rFonts w:asciiTheme="majorHAnsi" w:hAnsiTheme="majorHAnsi" w:cstheme="majorHAnsi"/>
        </w:rPr>
        <w:t>Zastavitelné plochy Z</w:t>
      </w:r>
      <w:r w:rsidR="000E2721" w:rsidRPr="006070EA">
        <w:rPr>
          <w:rFonts w:asciiTheme="majorHAnsi" w:hAnsiTheme="majorHAnsi" w:cstheme="majorHAnsi"/>
        </w:rPr>
        <w:t>.</w:t>
      </w:r>
      <w:r w:rsidRPr="006070EA">
        <w:rPr>
          <w:rFonts w:asciiTheme="majorHAnsi" w:hAnsiTheme="majorHAnsi" w:cstheme="majorHAnsi"/>
        </w:rPr>
        <w:t>15 (SV) a Z</w:t>
      </w:r>
      <w:r w:rsidR="000E2721" w:rsidRPr="006070EA">
        <w:rPr>
          <w:rFonts w:asciiTheme="majorHAnsi" w:hAnsiTheme="majorHAnsi" w:cstheme="majorHAnsi"/>
        </w:rPr>
        <w:t>.</w:t>
      </w:r>
      <w:r w:rsidRPr="006070EA">
        <w:rPr>
          <w:rFonts w:asciiTheme="majorHAnsi" w:hAnsiTheme="majorHAnsi" w:cstheme="majorHAnsi"/>
        </w:rPr>
        <w:t xml:space="preserve">16 (SV) jsou dotčeny </w:t>
      </w:r>
      <w:r w:rsidR="008F2085" w:rsidRPr="006070EA">
        <w:rPr>
          <w:rFonts w:asciiTheme="majorHAnsi" w:hAnsiTheme="majorHAnsi" w:cstheme="majorHAnsi"/>
        </w:rPr>
        <w:t xml:space="preserve">vymezením koridoru </w:t>
      </w:r>
      <w:r w:rsidR="000E2721" w:rsidRPr="006070EA">
        <w:rPr>
          <w:rFonts w:asciiTheme="majorHAnsi" w:hAnsiTheme="majorHAnsi" w:cstheme="majorHAnsi"/>
        </w:rPr>
        <w:t>CNU.</w:t>
      </w:r>
      <w:r w:rsidR="008F2085" w:rsidRPr="006070EA">
        <w:rPr>
          <w:rFonts w:asciiTheme="majorHAnsi" w:hAnsiTheme="majorHAnsi" w:cstheme="majorHAnsi"/>
        </w:rPr>
        <w:t>KD1 pro rozvoj dopravní infrastruktury ve veřejném zájmu – lokalita je tedy dotčena dalším záměrem a pro využití ploch jsou stanoveny související podmínky pro rozhodování</w:t>
      </w:r>
    </w:p>
    <w:p w14:paraId="08E5F957" w14:textId="70FBDA85" w:rsidR="004232DD" w:rsidRPr="006070EA" w:rsidRDefault="004232DD" w:rsidP="004232DD">
      <w:pPr>
        <w:pStyle w:val="Atext"/>
        <w:numPr>
          <w:ilvl w:val="0"/>
          <w:numId w:val="32"/>
        </w:numPr>
        <w:spacing w:before="0" w:after="0"/>
        <w:rPr>
          <w:rFonts w:asciiTheme="majorHAnsi" w:hAnsiTheme="majorHAnsi" w:cstheme="majorHAnsi"/>
        </w:rPr>
      </w:pPr>
      <w:r w:rsidRPr="006070EA">
        <w:rPr>
          <w:rFonts w:asciiTheme="majorHAnsi" w:hAnsiTheme="majorHAnsi" w:cstheme="majorHAnsi"/>
        </w:rPr>
        <w:t>Stanovení podmínky prověření využití zastavitelných ploch v rámci podrobnější dokumentace (regulační plán, územní studie), zajišťující mj. podmínky pro koordinovaný zábor ZPF a jeho minimalizaci při konkrétním umístění zástavby v rámci zastavitelných ploch</w:t>
      </w:r>
    </w:p>
    <w:p w14:paraId="5863D84F" w14:textId="66A9B014" w:rsidR="004232DD" w:rsidRPr="00A76411" w:rsidRDefault="004232DD" w:rsidP="004232DD">
      <w:pPr>
        <w:pStyle w:val="Atext"/>
        <w:numPr>
          <w:ilvl w:val="1"/>
          <w:numId w:val="32"/>
        </w:numPr>
        <w:spacing w:before="0" w:after="0"/>
        <w:rPr>
          <w:rFonts w:asciiTheme="majorHAnsi" w:hAnsiTheme="majorHAnsi" w:cstheme="majorHAnsi"/>
        </w:rPr>
      </w:pPr>
      <w:r w:rsidRPr="006070EA">
        <w:rPr>
          <w:rFonts w:asciiTheme="majorHAnsi" w:hAnsiTheme="majorHAnsi" w:cstheme="majorHAnsi"/>
        </w:rPr>
        <w:t>Stanovení podmínky vydání regulačního plánu RP</w:t>
      </w:r>
      <w:r w:rsidR="000E2721" w:rsidRPr="006070EA">
        <w:rPr>
          <w:rFonts w:asciiTheme="majorHAnsi" w:hAnsiTheme="majorHAnsi" w:cstheme="majorHAnsi"/>
        </w:rPr>
        <w:t>.</w:t>
      </w:r>
      <w:r w:rsidRPr="006070EA">
        <w:rPr>
          <w:rFonts w:asciiTheme="majorHAnsi" w:hAnsiTheme="majorHAnsi" w:cstheme="majorHAnsi"/>
        </w:rPr>
        <w:t>1 pro zastavitelné plochy Z</w:t>
      </w:r>
      <w:r w:rsidR="000E2721" w:rsidRPr="006070EA">
        <w:rPr>
          <w:rFonts w:asciiTheme="majorHAnsi" w:hAnsiTheme="majorHAnsi" w:cstheme="majorHAnsi"/>
        </w:rPr>
        <w:t>.</w:t>
      </w:r>
      <w:r w:rsidRPr="006070EA">
        <w:rPr>
          <w:rFonts w:asciiTheme="majorHAnsi" w:hAnsiTheme="majorHAnsi" w:cstheme="majorHAnsi"/>
        </w:rPr>
        <w:t>07 (BI) a Z</w:t>
      </w:r>
      <w:r w:rsidR="000E2721" w:rsidRPr="006070EA">
        <w:rPr>
          <w:rFonts w:asciiTheme="majorHAnsi" w:hAnsiTheme="majorHAnsi" w:cstheme="majorHAnsi"/>
        </w:rPr>
        <w:t>.</w:t>
      </w:r>
      <w:r w:rsidRPr="006070EA">
        <w:rPr>
          <w:rFonts w:asciiTheme="majorHAnsi" w:hAnsiTheme="majorHAnsi" w:cstheme="majorHAnsi"/>
        </w:rPr>
        <w:t>08 (Z</w:t>
      </w:r>
      <w:r w:rsidR="000E2721" w:rsidRPr="006070EA">
        <w:rPr>
          <w:rFonts w:asciiTheme="majorHAnsi" w:hAnsiTheme="majorHAnsi" w:cstheme="majorHAnsi"/>
        </w:rPr>
        <w:t>P</w:t>
      </w:r>
      <w:r w:rsidRPr="006070EA">
        <w:rPr>
          <w:rFonts w:asciiTheme="majorHAnsi" w:hAnsiTheme="majorHAnsi" w:cstheme="majorHAnsi"/>
        </w:rPr>
        <w:t xml:space="preserve">) včetně uložení prověření stanovení pořadí změn v území (etapizace) v rámci zadání regulačního plánu pro zajištění </w:t>
      </w:r>
      <w:r w:rsidRPr="00A76411">
        <w:rPr>
          <w:rFonts w:asciiTheme="majorHAnsi" w:hAnsiTheme="majorHAnsi" w:cstheme="majorHAnsi"/>
        </w:rPr>
        <w:t>koordinovaného rozvoje zástavby ve směru od sídla do volné krajiny</w:t>
      </w:r>
    </w:p>
    <w:p w14:paraId="7780377F" w14:textId="3DB62A92" w:rsidR="004232DD" w:rsidRPr="00A76411" w:rsidRDefault="004232DD" w:rsidP="004232DD">
      <w:pPr>
        <w:pStyle w:val="Atext"/>
        <w:numPr>
          <w:ilvl w:val="1"/>
          <w:numId w:val="32"/>
        </w:numPr>
        <w:spacing w:before="0" w:after="0"/>
        <w:rPr>
          <w:rFonts w:asciiTheme="majorHAnsi" w:hAnsiTheme="majorHAnsi" w:cstheme="majorHAnsi"/>
        </w:rPr>
      </w:pPr>
      <w:r w:rsidRPr="00A76411">
        <w:rPr>
          <w:rFonts w:asciiTheme="majorHAnsi" w:hAnsiTheme="majorHAnsi" w:cstheme="majorHAnsi"/>
        </w:rPr>
        <w:t>Stanovení podmínky vydání regulačního plánu RP</w:t>
      </w:r>
      <w:r w:rsidR="000E2721" w:rsidRPr="00A76411">
        <w:rPr>
          <w:rFonts w:asciiTheme="majorHAnsi" w:hAnsiTheme="majorHAnsi" w:cstheme="majorHAnsi"/>
        </w:rPr>
        <w:t>.</w:t>
      </w:r>
      <w:r w:rsidRPr="00A76411">
        <w:rPr>
          <w:rFonts w:asciiTheme="majorHAnsi" w:hAnsiTheme="majorHAnsi" w:cstheme="majorHAnsi"/>
        </w:rPr>
        <w:t>2 pro zastavitelnou plochu Z</w:t>
      </w:r>
      <w:r w:rsidR="000E2721" w:rsidRPr="00A76411">
        <w:rPr>
          <w:rFonts w:asciiTheme="majorHAnsi" w:hAnsiTheme="majorHAnsi" w:cstheme="majorHAnsi"/>
        </w:rPr>
        <w:t>.</w:t>
      </w:r>
      <w:r w:rsidRPr="00A76411">
        <w:rPr>
          <w:rFonts w:asciiTheme="majorHAnsi" w:hAnsiTheme="majorHAnsi" w:cstheme="majorHAnsi"/>
        </w:rPr>
        <w:t>14 (BI)</w:t>
      </w:r>
    </w:p>
    <w:p w14:paraId="513FE6D5" w14:textId="50F1EB38" w:rsidR="004232DD" w:rsidRPr="00A76411" w:rsidRDefault="004232DD" w:rsidP="004232DD">
      <w:pPr>
        <w:pStyle w:val="Atext"/>
        <w:numPr>
          <w:ilvl w:val="1"/>
          <w:numId w:val="32"/>
        </w:numPr>
        <w:spacing w:before="0" w:after="0"/>
        <w:rPr>
          <w:rFonts w:asciiTheme="majorHAnsi" w:hAnsiTheme="majorHAnsi" w:cstheme="majorHAnsi"/>
        </w:rPr>
      </w:pPr>
      <w:r w:rsidRPr="00A76411">
        <w:rPr>
          <w:rFonts w:asciiTheme="majorHAnsi" w:hAnsiTheme="majorHAnsi" w:cstheme="majorHAnsi"/>
        </w:rPr>
        <w:t xml:space="preserve">Stanovení podmínky zpracování územní studie </w:t>
      </w:r>
      <w:r w:rsidR="000E2721" w:rsidRPr="00A76411">
        <w:rPr>
          <w:rFonts w:asciiTheme="majorHAnsi" w:hAnsiTheme="majorHAnsi" w:cstheme="majorHAnsi"/>
        </w:rPr>
        <w:t>US.</w:t>
      </w:r>
      <w:r w:rsidR="003F32FB" w:rsidRPr="00A76411">
        <w:rPr>
          <w:rFonts w:asciiTheme="majorHAnsi" w:hAnsiTheme="majorHAnsi" w:cstheme="majorHAnsi"/>
        </w:rPr>
        <w:t>2</w:t>
      </w:r>
      <w:r w:rsidRPr="00A76411">
        <w:rPr>
          <w:rFonts w:asciiTheme="majorHAnsi" w:hAnsiTheme="majorHAnsi" w:cstheme="majorHAnsi"/>
        </w:rPr>
        <w:t xml:space="preserve"> pro zastaviteln</w:t>
      </w:r>
      <w:r w:rsidR="003F32FB" w:rsidRPr="00A76411">
        <w:rPr>
          <w:rFonts w:asciiTheme="majorHAnsi" w:hAnsiTheme="majorHAnsi" w:cstheme="majorHAnsi"/>
        </w:rPr>
        <w:t>é</w:t>
      </w:r>
      <w:r w:rsidRPr="00A76411">
        <w:rPr>
          <w:rFonts w:asciiTheme="majorHAnsi" w:hAnsiTheme="majorHAnsi" w:cstheme="majorHAnsi"/>
        </w:rPr>
        <w:t xml:space="preserve"> ploch</w:t>
      </w:r>
      <w:r w:rsidR="003F32FB" w:rsidRPr="00A76411">
        <w:rPr>
          <w:rFonts w:asciiTheme="majorHAnsi" w:hAnsiTheme="majorHAnsi" w:cstheme="majorHAnsi"/>
        </w:rPr>
        <w:t>y</w:t>
      </w:r>
      <w:r w:rsidRPr="00A76411">
        <w:rPr>
          <w:rFonts w:asciiTheme="majorHAnsi" w:hAnsiTheme="majorHAnsi" w:cstheme="majorHAnsi"/>
        </w:rPr>
        <w:t xml:space="preserve"> Z</w:t>
      </w:r>
      <w:r w:rsidR="000E2721" w:rsidRPr="00A76411">
        <w:rPr>
          <w:rFonts w:asciiTheme="majorHAnsi" w:hAnsiTheme="majorHAnsi" w:cstheme="majorHAnsi"/>
        </w:rPr>
        <w:t>.</w:t>
      </w:r>
      <w:r w:rsidR="003F32FB" w:rsidRPr="00A76411">
        <w:rPr>
          <w:rFonts w:asciiTheme="majorHAnsi" w:hAnsiTheme="majorHAnsi" w:cstheme="majorHAnsi"/>
        </w:rPr>
        <w:t>17, Z</w:t>
      </w:r>
      <w:r w:rsidR="000E2721" w:rsidRPr="00A76411">
        <w:rPr>
          <w:rFonts w:asciiTheme="majorHAnsi" w:hAnsiTheme="majorHAnsi" w:cstheme="majorHAnsi"/>
        </w:rPr>
        <w:t>.</w:t>
      </w:r>
      <w:r w:rsidR="003F32FB" w:rsidRPr="00A76411">
        <w:rPr>
          <w:rFonts w:asciiTheme="majorHAnsi" w:hAnsiTheme="majorHAnsi" w:cstheme="majorHAnsi"/>
        </w:rPr>
        <w:t>18 a Z</w:t>
      </w:r>
      <w:r w:rsidR="000E2721" w:rsidRPr="00A76411">
        <w:rPr>
          <w:rFonts w:asciiTheme="majorHAnsi" w:hAnsiTheme="majorHAnsi" w:cstheme="majorHAnsi"/>
        </w:rPr>
        <w:t>.</w:t>
      </w:r>
      <w:r w:rsidR="003F32FB" w:rsidRPr="00A76411">
        <w:rPr>
          <w:rFonts w:asciiTheme="majorHAnsi" w:hAnsiTheme="majorHAnsi" w:cstheme="majorHAnsi"/>
        </w:rPr>
        <w:t>19</w:t>
      </w:r>
      <w:r w:rsidR="00EF7150">
        <w:rPr>
          <w:rFonts w:asciiTheme="majorHAnsi" w:hAnsiTheme="majorHAnsi" w:cstheme="majorHAnsi"/>
        </w:rPr>
        <w:t xml:space="preserve"> </w:t>
      </w:r>
      <w:r w:rsidR="003F32FB" w:rsidRPr="00A76411">
        <w:rPr>
          <w:rFonts w:asciiTheme="majorHAnsi" w:hAnsiTheme="majorHAnsi" w:cstheme="majorHAnsi"/>
        </w:rPr>
        <w:t>včetně stanovení podmínky pro pořízení územní studie na minimalizaci záboru ZPF, jednoznačné vymezení přístupů na zemědělské pozemky a na zajištění maximální využitelnosti navazující volné krajiny pro zemědělské využití</w:t>
      </w:r>
    </w:p>
    <w:p w14:paraId="0D736783" w14:textId="77777777" w:rsidR="008F2085" w:rsidRPr="00A76411" w:rsidRDefault="008F2085" w:rsidP="00FC1E99">
      <w:pPr>
        <w:pStyle w:val="Atext"/>
        <w:ind w:left="720" w:firstLine="0"/>
        <w:rPr>
          <w:rFonts w:asciiTheme="majorHAnsi" w:hAnsiTheme="majorHAnsi" w:cstheme="majorHAnsi"/>
          <w:b/>
          <w:bCs w:val="0"/>
        </w:rPr>
      </w:pPr>
      <w:r w:rsidRPr="00A76411">
        <w:rPr>
          <w:rFonts w:asciiTheme="majorHAnsi" w:hAnsiTheme="majorHAnsi" w:cstheme="majorHAnsi"/>
          <w:b/>
          <w:bCs w:val="0"/>
        </w:rPr>
        <w:t>Podrobné odůvodnění vymezení jednotlivých zastavitelných ploch je uvedeno v oddílu 11.3.3 tohoto odůvodnění.</w:t>
      </w:r>
    </w:p>
    <w:p w14:paraId="3F20ADEE" w14:textId="6F8B2F16" w:rsidR="008F2085" w:rsidRPr="00A76411" w:rsidRDefault="008F2085" w:rsidP="00FC1E99">
      <w:pPr>
        <w:pStyle w:val="Atext"/>
        <w:numPr>
          <w:ilvl w:val="0"/>
          <w:numId w:val="32"/>
        </w:numPr>
        <w:spacing w:before="0" w:after="0"/>
        <w:rPr>
          <w:rFonts w:asciiTheme="majorHAnsi" w:hAnsiTheme="majorHAnsi" w:cstheme="majorHAnsi"/>
        </w:rPr>
      </w:pPr>
      <w:r w:rsidRPr="00A76411">
        <w:rPr>
          <w:rFonts w:asciiTheme="majorHAnsi" w:hAnsiTheme="majorHAnsi" w:cstheme="majorHAnsi"/>
        </w:rPr>
        <w:t xml:space="preserve">Rozvoj záměrů, ve kterých veřejný zájem na rozvoji veřejné infrastruktury výrazně převažuje veřejný zájem na ochraně ZPF </w:t>
      </w:r>
      <w:r w:rsidR="00FA6DBB" w:rsidRPr="00A76411">
        <w:rPr>
          <w:rFonts w:asciiTheme="majorHAnsi" w:hAnsiTheme="majorHAnsi" w:cstheme="majorHAnsi"/>
        </w:rPr>
        <w:t>–</w:t>
      </w:r>
      <w:r w:rsidRPr="00A76411">
        <w:rPr>
          <w:rFonts w:asciiTheme="majorHAnsi" w:hAnsiTheme="majorHAnsi" w:cstheme="majorHAnsi"/>
        </w:rPr>
        <w:t xml:space="preserve"> </w:t>
      </w:r>
      <w:r w:rsidR="00FA6DBB" w:rsidRPr="00A76411">
        <w:rPr>
          <w:rFonts w:asciiTheme="majorHAnsi" w:hAnsiTheme="majorHAnsi" w:cstheme="majorHAnsi"/>
        </w:rPr>
        <w:t>z</w:t>
      </w:r>
      <w:r w:rsidRPr="00A76411">
        <w:rPr>
          <w:rFonts w:asciiTheme="majorHAnsi" w:hAnsiTheme="majorHAnsi" w:cstheme="majorHAnsi"/>
        </w:rPr>
        <w:t>áměry, pro které územní plán vymezuje koridory dopravní a technické infrastruktury</w:t>
      </w:r>
    </w:p>
    <w:p w14:paraId="3A9C0004" w14:textId="780C94A1" w:rsidR="008F2085" w:rsidRPr="00A76411" w:rsidRDefault="008F2085" w:rsidP="00FC1E99">
      <w:pPr>
        <w:pStyle w:val="Atext"/>
        <w:numPr>
          <w:ilvl w:val="1"/>
          <w:numId w:val="32"/>
        </w:numPr>
        <w:spacing w:before="0" w:after="0"/>
        <w:rPr>
          <w:rFonts w:asciiTheme="majorHAnsi" w:hAnsiTheme="majorHAnsi" w:cstheme="majorHAnsi"/>
        </w:rPr>
      </w:pPr>
      <w:r w:rsidRPr="00A76411">
        <w:rPr>
          <w:rFonts w:asciiTheme="majorHAnsi" w:hAnsiTheme="majorHAnsi" w:cstheme="majorHAnsi"/>
        </w:rPr>
        <w:t xml:space="preserve">koridor </w:t>
      </w:r>
      <w:r w:rsidR="000E2721" w:rsidRPr="00A76411">
        <w:rPr>
          <w:rFonts w:asciiTheme="majorHAnsi" w:hAnsiTheme="majorHAnsi" w:cstheme="majorHAnsi"/>
        </w:rPr>
        <w:t>CNU.</w:t>
      </w:r>
      <w:r w:rsidRPr="00A76411">
        <w:rPr>
          <w:rFonts w:asciiTheme="majorHAnsi" w:hAnsiTheme="majorHAnsi" w:cstheme="majorHAnsi"/>
        </w:rPr>
        <w:t xml:space="preserve">KD1 pro </w:t>
      </w:r>
      <w:r w:rsidR="001D44F9" w:rsidRPr="00A76411">
        <w:rPr>
          <w:rFonts w:asciiTheme="majorHAnsi" w:hAnsiTheme="majorHAnsi" w:cstheme="majorHAnsi"/>
        </w:rPr>
        <w:t xml:space="preserve">stavby související s </w:t>
      </w:r>
      <w:r w:rsidRPr="00A76411">
        <w:rPr>
          <w:rFonts w:asciiTheme="majorHAnsi" w:hAnsiTheme="majorHAnsi" w:cstheme="majorHAnsi"/>
        </w:rPr>
        <w:t>modernizac</w:t>
      </w:r>
      <w:r w:rsidR="001D44F9" w:rsidRPr="00A76411">
        <w:rPr>
          <w:rFonts w:asciiTheme="majorHAnsi" w:hAnsiTheme="majorHAnsi" w:cstheme="majorHAnsi"/>
        </w:rPr>
        <w:t>í</w:t>
      </w:r>
      <w:r w:rsidRPr="00A76411">
        <w:rPr>
          <w:rFonts w:asciiTheme="majorHAnsi" w:hAnsiTheme="majorHAnsi" w:cstheme="majorHAnsi"/>
        </w:rPr>
        <w:t xml:space="preserve"> železniční trati (záměr nadmístního významu) s variantním trasováním přeložky silnice III/3317</w:t>
      </w:r>
    </w:p>
    <w:p w14:paraId="7EBC53B1" w14:textId="73B09244" w:rsidR="008F2085" w:rsidRPr="006070EA" w:rsidRDefault="00FA6DBB" w:rsidP="003C3C6D">
      <w:pPr>
        <w:pStyle w:val="Atext"/>
        <w:numPr>
          <w:ilvl w:val="1"/>
          <w:numId w:val="32"/>
        </w:numPr>
        <w:spacing w:before="0" w:after="0"/>
        <w:rPr>
          <w:rFonts w:asciiTheme="majorHAnsi" w:hAnsiTheme="majorHAnsi" w:cstheme="majorHAnsi"/>
        </w:rPr>
      </w:pPr>
      <w:r w:rsidRPr="00A76411">
        <w:rPr>
          <w:rFonts w:asciiTheme="majorHAnsi" w:hAnsiTheme="majorHAnsi" w:cstheme="majorHAnsi"/>
        </w:rPr>
        <w:t xml:space="preserve">koridor </w:t>
      </w:r>
      <w:r w:rsidR="000E2721" w:rsidRPr="00A76411">
        <w:rPr>
          <w:rFonts w:asciiTheme="majorHAnsi" w:hAnsiTheme="majorHAnsi" w:cstheme="majorHAnsi"/>
        </w:rPr>
        <w:t>CNU.</w:t>
      </w:r>
      <w:r w:rsidRPr="00A76411">
        <w:rPr>
          <w:rFonts w:asciiTheme="majorHAnsi" w:hAnsiTheme="majorHAnsi" w:cstheme="majorHAnsi"/>
        </w:rPr>
        <w:t>KTI1 pro rozvoj</w:t>
      </w:r>
      <w:r w:rsidRPr="006070EA">
        <w:rPr>
          <w:rFonts w:asciiTheme="majorHAnsi" w:hAnsiTheme="majorHAnsi" w:cstheme="majorHAnsi"/>
        </w:rPr>
        <w:t xml:space="preserve"> veřejných sítí technické infrastruktury – vodovod a kanalizace</w:t>
      </w:r>
    </w:p>
    <w:p w14:paraId="5391D4AF" w14:textId="77777777" w:rsidR="009E33CB" w:rsidRPr="006070EA" w:rsidRDefault="009E33CB" w:rsidP="003A4B1E">
      <w:pPr>
        <w:pStyle w:val="Odstavecseseznamem"/>
        <w:keepNext/>
        <w:numPr>
          <w:ilvl w:val="1"/>
          <w:numId w:val="31"/>
        </w:numPr>
        <w:spacing w:before="160" w:after="120" w:line="240" w:lineRule="auto"/>
        <w:ind w:left="709" w:hanging="709"/>
        <w:contextualSpacing w:val="0"/>
        <w:jc w:val="both"/>
        <w:outlineLvl w:val="1"/>
        <w:rPr>
          <w:rFonts w:asciiTheme="majorHAnsi" w:hAnsiTheme="majorHAnsi" w:cstheme="majorHAnsi"/>
          <w:b/>
          <w:sz w:val="24"/>
          <w:szCs w:val="20"/>
        </w:rPr>
      </w:pPr>
      <w:bookmarkStart w:id="461" w:name="_Toc424119881"/>
      <w:bookmarkStart w:id="462" w:name="_Toc204678236"/>
      <w:r w:rsidRPr="006070EA">
        <w:rPr>
          <w:rFonts w:asciiTheme="majorHAnsi" w:hAnsiTheme="majorHAnsi" w:cstheme="majorHAnsi"/>
          <w:b/>
          <w:sz w:val="24"/>
          <w:szCs w:val="20"/>
        </w:rPr>
        <w:lastRenderedPageBreak/>
        <w:t>Vyhodnocení předpokládaných důsledků navrhovaného řešení na pozemky určené k plnění funkce lesa</w:t>
      </w:r>
      <w:bookmarkEnd w:id="461"/>
      <w:bookmarkEnd w:id="462"/>
    </w:p>
    <w:p w14:paraId="1C9928CD" w14:textId="7C5D0081" w:rsidR="009E33CB" w:rsidRPr="006070EA" w:rsidRDefault="009E33CB" w:rsidP="009E186E">
      <w:pPr>
        <w:spacing w:after="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Obecně je hospodaření na lesní půdě upraveno zákonem č. 289/1995 Sb., o lesích a o změně některých předpisů, ve znění pozdějších předpisů (dále také jen „lesní zákon“). Hospodaření v lesích je řízeno lesním hospodářským plánem (LHP – výměra nad 50 ha) nebo lesními hospodářskými osnovami (LHO – výměra do 50 ha) zpracovanými na období deseti let (decennium). Podle lesního zákona jsou do pozemků určených k plnění funkcí lesa zařazeny i bezlesí (drobné vodní plochy, loučky pro zvěř, lesní skládky, nezpevněné cesty, průseky) a ostatní lesní plochy (zpevněné lesní cesty, políčka pro zvěř apod.).</w:t>
      </w:r>
    </w:p>
    <w:p w14:paraId="3ABEF12D"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63" w:name="_Toc424119882"/>
      <w:bookmarkStart w:id="464" w:name="_Toc204678237"/>
      <w:r w:rsidRPr="006070EA">
        <w:rPr>
          <w:rFonts w:asciiTheme="majorHAnsi" w:hAnsiTheme="majorHAnsi" w:cstheme="majorHAnsi"/>
          <w:b/>
        </w:rPr>
        <w:t>Aktuální stav lesa</w:t>
      </w:r>
      <w:bookmarkEnd w:id="463"/>
      <w:bookmarkEnd w:id="464"/>
    </w:p>
    <w:p w14:paraId="785F5913" w14:textId="0B761332" w:rsidR="00213A5E" w:rsidRPr="006070EA" w:rsidRDefault="00213A5E" w:rsidP="00213A5E">
      <w:pPr>
        <w:pStyle w:val="Atext"/>
        <w:rPr>
          <w:rFonts w:asciiTheme="majorHAnsi" w:hAnsiTheme="majorHAnsi" w:cstheme="majorHAnsi"/>
        </w:rPr>
      </w:pPr>
      <w:r w:rsidRPr="006070EA">
        <w:rPr>
          <w:rFonts w:asciiTheme="majorHAnsi" w:hAnsiTheme="majorHAnsi" w:cstheme="majorHAnsi"/>
        </w:rPr>
        <w:t xml:space="preserve">Výměra lesních pozemků na území Kostomlat nad Labem je 99 ha (5,5, % z celkové výměry). Ve srovnání s průměrnou lesnatostí území ORP Nymburk 18,2 % je výměra lesních pozemků </w:t>
      </w:r>
      <w:r w:rsidR="000D1DF7" w:rsidRPr="006070EA">
        <w:rPr>
          <w:rFonts w:asciiTheme="majorHAnsi" w:hAnsiTheme="majorHAnsi" w:cstheme="majorHAnsi"/>
        </w:rPr>
        <w:t>podstatně nižší</w:t>
      </w:r>
      <w:r w:rsidRPr="006070EA">
        <w:rPr>
          <w:rFonts w:asciiTheme="majorHAnsi" w:hAnsiTheme="majorHAnsi" w:cstheme="majorHAnsi"/>
        </w:rPr>
        <w:t xml:space="preserve">. Největší plochu souvislého lesa zaujímá součást lesního komplexu v </w:t>
      </w:r>
      <w:r w:rsidR="000D1DF7" w:rsidRPr="006070EA">
        <w:rPr>
          <w:rFonts w:asciiTheme="majorHAnsi" w:hAnsiTheme="majorHAnsi" w:cstheme="majorHAnsi"/>
        </w:rPr>
        <w:t>jižní</w:t>
      </w:r>
      <w:r w:rsidRPr="006070EA">
        <w:rPr>
          <w:rFonts w:asciiTheme="majorHAnsi" w:hAnsiTheme="majorHAnsi" w:cstheme="majorHAnsi"/>
        </w:rPr>
        <w:t xml:space="preserve"> části území</w:t>
      </w:r>
      <w:r w:rsidR="000D1DF7" w:rsidRPr="006070EA">
        <w:rPr>
          <w:rFonts w:asciiTheme="majorHAnsi" w:hAnsiTheme="majorHAnsi" w:cstheme="majorHAnsi"/>
        </w:rPr>
        <w:t xml:space="preserve"> při severním břehu Labe</w:t>
      </w:r>
      <w:r w:rsidRPr="006070EA">
        <w:rPr>
          <w:rFonts w:asciiTheme="majorHAnsi" w:hAnsiTheme="majorHAnsi" w:cstheme="majorHAnsi"/>
        </w:rPr>
        <w:t xml:space="preserve">. V zemědělské krajině se nacházejí menší plochy lesa ve vyvýšených polohách a drobné remízy. </w:t>
      </w:r>
    </w:p>
    <w:p w14:paraId="40FC2FB6"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65" w:name="_Toc424119883"/>
      <w:bookmarkStart w:id="466" w:name="_Toc204678238"/>
      <w:r w:rsidRPr="006070EA">
        <w:rPr>
          <w:rFonts w:asciiTheme="majorHAnsi" w:hAnsiTheme="majorHAnsi" w:cstheme="majorHAnsi"/>
          <w:b/>
        </w:rPr>
        <w:t>Přírodní lesní oblast (PLO), lesní vegetační stupeň (LVS)</w:t>
      </w:r>
      <w:bookmarkEnd w:id="465"/>
      <w:bookmarkEnd w:id="466"/>
    </w:p>
    <w:p w14:paraId="375E0DBF" w14:textId="20E82867" w:rsidR="00213A5E" w:rsidRPr="006070EA" w:rsidRDefault="00213A5E" w:rsidP="00213A5E">
      <w:pPr>
        <w:pStyle w:val="Atext"/>
        <w:rPr>
          <w:rFonts w:asciiTheme="majorHAnsi" w:hAnsiTheme="majorHAnsi" w:cstheme="majorHAnsi"/>
          <w:szCs w:val="18"/>
        </w:rPr>
      </w:pPr>
      <w:r w:rsidRPr="006070EA">
        <w:rPr>
          <w:rFonts w:asciiTheme="majorHAnsi" w:hAnsiTheme="majorHAnsi" w:cstheme="majorHAnsi"/>
          <w:szCs w:val="18"/>
        </w:rPr>
        <w:t>Lesní porosty v území spadají pouze do jedné přírodní lesní oblasti (PLO) – PLO 17 Polabí. Tato lesní oblast zahrnuje úvaly při Labi a dolním Poohří a plošiny nebo tabule okrajových pásem. Náleží k němu i Pražská kotlina s malou rozlohou lesů. K úvalům v údolí Labe patří i Pardubická kotlina, Nymburská kotlina, Mělnická kotlina, kde jsou význačným prvkem váté písky, a Terezínská kotlina s podobným reliéfem. Dolní Poohří tvoří křídová pahorkatina Klapská a křídová tabule Perucká, která výrazně přechází do třetihorní Žatecké pánve. Asi polovina plochy lesů se nachází na říčních terasách, z toho činí přibližně třetinu doubravy a 10 procent lipové doubravy na slinovatkách. V okrajích je značně zastoupen bukovodubový stupeň (přibližně čtvrtina). Vlastního lužního lesa zbylo jen asi pět procent. Zbývající společenstva jsou rozšířena jen nepatrně. Významná je teplomilná (dřínová) doubrava s dubem šipákem, bor na vátých píscích, lužní olšiny, zřídka sem zasahují i</w:t>
      </w:r>
      <w:r w:rsidR="00CB0FD4" w:rsidRPr="006070EA">
        <w:rPr>
          <w:rFonts w:asciiTheme="majorHAnsi" w:hAnsiTheme="majorHAnsi" w:cstheme="majorHAnsi"/>
          <w:szCs w:val="18"/>
        </w:rPr>
        <w:t> </w:t>
      </w:r>
      <w:r w:rsidRPr="006070EA">
        <w:rPr>
          <w:rFonts w:asciiTheme="majorHAnsi" w:hAnsiTheme="majorHAnsi" w:cstheme="majorHAnsi"/>
          <w:szCs w:val="18"/>
        </w:rPr>
        <w:t>dubové bučiny. Obecně je tato oblast jednou z nejcennějších základen genofondu nížinné (chlumní) borovice a dubu v</w:t>
      </w:r>
      <w:r w:rsidR="00CB0FD4" w:rsidRPr="006070EA">
        <w:rPr>
          <w:rFonts w:asciiTheme="majorHAnsi" w:hAnsiTheme="majorHAnsi" w:cstheme="majorHAnsi"/>
          <w:szCs w:val="18"/>
        </w:rPr>
        <w:t> </w:t>
      </w:r>
      <w:r w:rsidRPr="006070EA">
        <w:rPr>
          <w:rFonts w:asciiTheme="majorHAnsi" w:hAnsiTheme="majorHAnsi" w:cstheme="majorHAnsi"/>
          <w:szCs w:val="18"/>
        </w:rPr>
        <w:t>republice. Velkým nebezpečím pro zdejší lesy je přetrvávající hynutí dubů s tracheomykózními příznaky a nově odumírání olší a topolů.</w:t>
      </w:r>
    </w:p>
    <w:p w14:paraId="2E422125" w14:textId="77777777" w:rsidR="00213A5E" w:rsidRPr="006070EA" w:rsidRDefault="00213A5E" w:rsidP="00213A5E">
      <w:pPr>
        <w:pStyle w:val="Atext"/>
        <w:rPr>
          <w:rFonts w:asciiTheme="majorHAnsi" w:hAnsiTheme="majorHAnsi" w:cstheme="majorHAnsi"/>
          <w:szCs w:val="18"/>
        </w:rPr>
      </w:pPr>
      <w:r w:rsidRPr="006070EA">
        <w:rPr>
          <w:rFonts w:asciiTheme="majorHAnsi" w:hAnsiTheme="majorHAnsi" w:cstheme="majorHAnsi"/>
          <w:szCs w:val="18"/>
        </w:rPr>
        <w:t>Vegetační stupňovitost vyjadřuje vztah mezi klimatem a biocenózou (souvislost sledu rozdílů vegetace se sledem rozdílů výškového a expozičního klimatu).</w:t>
      </w:r>
    </w:p>
    <w:p w14:paraId="39FE4A3B" w14:textId="77777777" w:rsidR="00213A5E" w:rsidRPr="006070EA" w:rsidRDefault="00213A5E" w:rsidP="00213A5E">
      <w:pPr>
        <w:pStyle w:val="Atext"/>
        <w:rPr>
          <w:rFonts w:asciiTheme="majorHAnsi" w:hAnsiTheme="majorHAnsi" w:cstheme="majorHAnsi"/>
          <w:szCs w:val="18"/>
        </w:rPr>
      </w:pPr>
      <w:r w:rsidRPr="006070EA">
        <w:rPr>
          <w:rFonts w:asciiTheme="majorHAnsi" w:hAnsiTheme="majorHAnsi" w:cstheme="majorHAnsi"/>
          <w:szCs w:val="18"/>
        </w:rPr>
        <w:t>V řešeném území jsou identifikovány tyto lesní vegetační stupně (LVS):</w:t>
      </w:r>
    </w:p>
    <w:p w14:paraId="6B727F57" w14:textId="1AB061C8" w:rsidR="00213A5E" w:rsidRPr="006070EA" w:rsidRDefault="00213A5E" w:rsidP="00213A5E">
      <w:pPr>
        <w:pStyle w:val="Atext"/>
        <w:rPr>
          <w:rFonts w:asciiTheme="majorHAnsi" w:hAnsiTheme="majorHAnsi" w:cstheme="majorHAnsi"/>
          <w:szCs w:val="18"/>
        </w:rPr>
      </w:pPr>
      <w:r w:rsidRPr="006070EA">
        <w:rPr>
          <w:rFonts w:asciiTheme="majorHAnsi" w:hAnsiTheme="majorHAnsi" w:cstheme="majorHAnsi"/>
          <w:b/>
          <w:bCs w:val="0"/>
          <w:szCs w:val="18"/>
        </w:rPr>
        <w:t>1</w:t>
      </w:r>
      <w:r w:rsidRPr="006070EA">
        <w:rPr>
          <w:rFonts w:asciiTheme="majorHAnsi" w:hAnsiTheme="majorHAnsi" w:cstheme="majorHAnsi"/>
          <w:szCs w:val="18"/>
        </w:rPr>
        <w:t xml:space="preserve"> </w:t>
      </w:r>
      <w:r w:rsidRPr="006070EA">
        <w:rPr>
          <w:rFonts w:asciiTheme="majorHAnsi" w:hAnsiTheme="majorHAnsi" w:cstheme="majorHAnsi"/>
          <w:b/>
          <w:szCs w:val="18"/>
          <w:shd w:val="clear" w:color="auto" w:fill="FFFFFF"/>
        </w:rPr>
        <w:t>Vegetační stupeň dubový</w:t>
      </w:r>
      <w:r w:rsidRPr="006070EA">
        <w:rPr>
          <w:rStyle w:val="apple-converted-space"/>
          <w:rFonts w:asciiTheme="majorHAnsi" w:hAnsiTheme="majorHAnsi" w:cstheme="majorHAnsi"/>
          <w:szCs w:val="18"/>
          <w:shd w:val="clear" w:color="auto" w:fill="FFFFFF"/>
        </w:rPr>
        <w:t> </w:t>
      </w:r>
      <w:r w:rsidR="00CB0FD4" w:rsidRPr="006070EA">
        <w:rPr>
          <w:rFonts w:asciiTheme="majorHAnsi" w:hAnsiTheme="majorHAnsi" w:cstheme="majorHAnsi"/>
          <w:szCs w:val="18"/>
          <w:shd w:val="clear" w:color="auto" w:fill="FFFFFF"/>
        </w:rPr>
        <w:t>–</w:t>
      </w:r>
      <w:r w:rsidRPr="006070EA">
        <w:rPr>
          <w:rFonts w:asciiTheme="majorHAnsi" w:hAnsiTheme="majorHAnsi" w:cstheme="majorHAnsi"/>
          <w:szCs w:val="18"/>
          <w:shd w:val="clear" w:color="auto" w:fill="FFFFFF"/>
        </w:rPr>
        <w:t xml:space="preserve"> v tomto stupni se uplatňuje hlavně</w:t>
      </w:r>
      <w:r w:rsidRPr="006070EA">
        <w:rPr>
          <w:rStyle w:val="apple-converted-space"/>
          <w:rFonts w:asciiTheme="majorHAnsi" w:hAnsiTheme="majorHAnsi" w:cstheme="majorHAnsi"/>
          <w:szCs w:val="18"/>
          <w:shd w:val="clear" w:color="auto" w:fill="FFFFFF"/>
        </w:rPr>
        <w:t> </w:t>
      </w:r>
      <w:hyperlink r:id="rId59" w:tooltip="wikipedia:cs:dub zimní" w:history="1">
        <w:r w:rsidRPr="006070EA">
          <w:rPr>
            <w:rStyle w:val="Hypertextovodkaz"/>
            <w:rFonts w:asciiTheme="majorHAnsi" w:hAnsiTheme="majorHAnsi" w:cstheme="majorHAnsi"/>
            <w:color w:val="auto"/>
            <w:szCs w:val="18"/>
            <w:u w:val="none"/>
            <w:shd w:val="clear" w:color="auto" w:fill="FFFFFF"/>
          </w:rPr>
          <w:t>dub zimní</w:t>
        </w:r>
      </w:hyperlink>
      <w:r w:rsidRPr="006070EA">
        <w:rPr>
          <w:rStyle w:val="apple-converted-space"/>
          <w:rFonts w:asciiTheme="majorHAnsi" w:hAnsiTheme="majorHAnsi" w:cstheme="majorHAnsi"/>
          <w:szCs w:val="18"/>
          <w:shd w:val="clear" w:color="auto" w:fill="FFFFFF"/>
        </w:rPr>
        <w:t> </w:t>
      </w:r>
      <w:r w:rsidRPr="006070EA">
        <w:rPr>
          <w:rFonts w:asciiTheme="majorHAnsi" w:hAnsiTheme="majorHAnsi" w:cstheme="majorHAnsi"/>
          <w:szCs w:val="18"/>
          <w:shd w:val="clear" w:color="auto" w:fill="FFFFFF"/>
        </w:rPr>
        <w:t>a jiné druhy dubů bez účasti buku pro nedostatek vláhy, hlavně pro letní přísušky. V panonské oblasti zaujímá dubový stupeň velké souvislé plochy, v České kotlině se vyskytuje jen maloplošně.</w:t>
      </w:r>
    </w:p>
    <w:p w14:paraId="7394D5EA" w14:textId="01988846" w:rsidR="00213A5E" w:rsidRPr="006070EA" w:rsidRDefault="00213A5E" w:rsidP="00EF7B4B">
      <w:pPr>
        <w:pStyle w:val="Atext"/>
        <w:rPr>
          <w:rFonts w:asciiTheme="majorHAnsi" w:hAnsiTheme="majorHAnsi" w:cstheme="majorHAnsi"/>
          <w:szCs w:val="18"/>
        </w:rPr>
      </w:pPr>
      <w:r w:rsidRPr="006070EA">
        <w:rPr>
          <w:rStyle w:val="AnadpistunChar"/>
          <w:rFonts w:asciiTheme="majorHAnsi" w:hAnsiTheme="majorHAnsi" w:cstheme="majorHAnsi"/>
          <w:szCs w:val="18"/>
        </w:rPr>
        <w:t>2</w:t>
      </w:r>
      <w:r w:rsidRPr="006070EA">
        <w:rPr>
          <w:rFonts w:asciiTheme="majorHAnsi" w:hAnsiTheme="majorHAnsi" w:cstheme="majorHAnsi"/>
          <w:szCs w:val="18"/>
        </w:rPr>
        <w:t xml:space="preserve"> </w:t>
      </w:r>
      <w:r w:rsidRPr="006070EA">
        <w:rPr>
          <w:rFonts w:asciiTheme="majorHAnsi" w:hAnsiTheme="majorHAnsi" w:cstheme="majorHAnsi"/>
          <w:b/>
          <w:szCs w:val="18"/>
        </w:rPr>
        <w:t>bukovo-dubový vegetační stupeň</w:t>
      </w:r>
      <w:r w:rsidRPr="006070EA">
        <w:rPr>
          <w:rFonts w:asciiTheme="majorHAnsi" w:hAnsiTheme="majorHAnsi" w:cstheme="majorHAnsi"/>
          <w:szCs w:val="18"/>
        </w:rPr>
        <w:t xml:space="preserve"> </w:t>
      </w:r>
      <w:r w:rsidR="00CB0FD4" w:rsidRPr="006070EA">
        <w:rPr>
          <w:rFonts w:asciiTheme="majorHAnsi" w:hAnsiTheme="majorHAnsi" w:cstheme="majorHAnsi"/>
          <w:szCs w:val="18"/>
        </w:rPr>
        <w:t>–</w:t>
      </w:r>
      <w:r w:rsidRPr="006070EA">
        <w:rPr>
          <w:rFonts w:asciiTheme="majorHAnsi" w:hAnsiTheme="majorHAnsi" w:cstheme="majorHAnsi"/>
          <w:szCs w:val="18"/>
        </w:rPr>
        <w:t xml:space="preserve"> zabírá nížiny, pahorkatiny a vrchoviny zpravidla v rozpětí nadm. výšek 200 až 400 m. Hlavní dřevinou přirozených lesních biocenóz je dub zimní, v segmentech normální hydrické řady je přimíšen buk lesní. Z dalších dřevin se významně uplatňuje habr, bývají přítomny lípa srdčitá, javor mléč a jilm habrolistý. Z jehličnatých stromů se vyskytuje pouze ojediněle borovice lesní.</w:t>
      </w:r>
    </w:p>
    <w:p w14:paraId="13DF3688"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67" w:name="_Toc424119884"/>
      <w:bookmarkStart w:id="468" w:name="_Toc204678239"/>
      <w:r w:rsidRPr="006070EA">
        <w:rPr>
          <w:rFonts w:asciiTheme="majorHAnsi" w:hAnsiTheme="majorHAnsi" w:cstheme="majorHAnsi"/>
          <w:b/>
        </w:rPr>
        <w:t>Kategorie lesů</w:t>
      </w:r>
      <w:bookmarkEnd w:id="467"/>
      <w:bookmarkEnd w:id="468"/>
    </w:p>
    <w:p w14:paraId="753BB61A" w14:textId="77777777" w:rsidR="00A37452" w:rsidRPr="006070EA" w:rsidRDefault="00A37452" w:rsidP="00A37452">
      <w:pPr>
        <w:pStyle w:val="Atext"/>
        <w:rPr>
          <w:rFonts w:asciiTheme="majorHAnsi" w:hAnsiTheme="majorHAnsi" w:cstheme="majorHAnsi"/>
        </w:rPr>
      </w:pPr>
      <w:bookmarkStart w:id="469" w:name="_Toc424119885"/>
      <w:r w:rsidRPr="006070EA">
        <w:rPr>
          <w:rFonts w:asciiTheme="majorHAnsi" w:hAnsiTheme="majorHAnsi" w:cstheme="majorHAnsi"/>
        </w:rPr>
        <w:t xml:space="preserve">Podle zákona o lesích se lesy člení dle převažující funkce do tří kategorií, a to na lesy ochranné, lesy zvláštního určení a lesy hospodářské. </w:t>
      </w:r>
    </w:p>
    <w:p w14:paraId="0EC5F437" w14:textId="77777777" w:rsidR="00A37452" w:rsidRPr="006070EA" w:rsidRDefault="00A37452" w:rsidP="00A37452">
      <w:pPr>
        <w:widowControl w:val="0"/>
        <w:spacing w:before="120" w:after="120"/>
        <w:ind w:firstLine="720"/>
        <w:rPr>
          <w:rFonts w:asciiTheme="majorHAnsi" w:hAnsiTheme="majorHAnsi" w:cstheme="majorHAnsi"/>
          <w:sz w:val="18"/>
          <w:szCs w:val="18"/>
        </w:rPr>
      </w:pPr>
      <w:r w:rsidRPr="006070EA">
        <w:rPr>
          <w:rFonts w:asciiTheme="majorHAnsi" w:hAnsiTheme="majorHAnsi" w:cstheme="majorHAnsi"/>
          <w:b/>
          <w:sz w:val="18"/>
          <w:szCs w:val="18"/>
        </w:rPr>
        <w:t>Les hospodářský</w:t>
      </w:r>
      <w:r w:rsidRPr="006070EA">
        <w:rPr>
          <w:rFonts w:asciiTheme="majorHAnsi" w:hAnsiTheme="majorHAnsi" w:cstheme="majorHAnsi"/>
          <w:b/>
          <w:sz w:val="18"/>
          <w:szCs w:val="18"/>
        </w:rPr>
        <w:tab/>
      </w:r>
      <w:r w:rsidRPr="006070EA">
        <w:rPr>
          <w:rFonts w:asciiTheme="majorHAnsi" w:hAnsiTheme="majorHAnsi" w:cstheme="majorHAnsi"/>
          <w:b/>
          <w:sz w:val="18"/>
          <w:szCs w:val="18"/>
        </w:rPr>
        <w:tab/>
      </w:r>
      <w:r w:rsidRPr="006070EA">
        <w:rPr>
          <w:rFonts w:asciiTheme="majorHAnsi" w:hAnsiTheme="majorHAnsi" w:cstheme="majorHAnsi"/>
          <w:b/>
          <w:sz w:val="18"/>
          <w:szCs w:val="18"/>
        </w:rPr>
        <w:tab/>
      </w:r>
      <w:r w:rsidRPr="006070EA">
        <w:rPr>
          <w:rFonts w:asciiTheme="majorHAnsi" w:hAnsiTheme="majorHAnsi" w:cstheme="majorHAnsi"/>
          <w:sz w:val="18"/>
          <w:szCs w:val="18"/>
        </w:rPr>
        <w:t xml:space="preserve">§ 9 lesního </w:t>
      </w:r>
      <w:proofErr w:type="gramStart"/>
      <w:r w:rsidRPr="006070EA">
        <w:rPr>
          <w:rFonts w:asciiTheme="majorHAnsi" w:hAnsiTheme="majorHAnsi" w:cstheme="majorHAnsi"/>
          <w:sz w:val="18"/>
          <w:szCs w:val="18"/>
        </w:rPr>
        <w:t>zákona - lesy</w:t>
      </w:r>
      <w:proofErr w:type="gramEnd"/>
      <w:r w:rsidRPr="006070EA">
        <w:rPr>
          <w:rFonts w:asciiTheme="majorHAnsi" w:hAnsiTheme="majorHAnsi" w:cstheme="majorHAnsi"/>
          <w:sz w:val="18"/>
          <w:szCs w:val="18"/>
        </w:rPr>
        <w:t xml:space="preserve"> hospodářské jsou lesy, které nejsou </w:t>
      </w:r>
      <w:r w:rsidRPr="006070EA">
        <w:rPr>
          <w:rFonts w:asciiTheme="majorHAnsi" w:hAnsiTheme="majorHAnsi" w:cstheme="majorHAnsi"/>
          <w:sz w:val="18"/>
          <w:szCs w:val="18"/>
        </w:rPr>
        <w:tab/>
      </w:r>
      <w:r w:rsidRPr="006070EA">
        <w:rPr>
          <w:rFonts w:asciiTheme="majorHAnsi" w:hAnsiTheme="majorHAnsi" w:cstheme="majorHAnsi"/>
          <w:sz w:val="18"/>
          <w:szCs w:val="18"/>
        </w:rPr>
        <w:tab/>
      </w:r>
      <w:r w:rsidRPr="006070EA">
        <w:rPr>
          <w:rFonts w:asciiTheme="majorHAnsi" w:hAnsiTheme="majorHAnsi" w:cstheme="majorHAnsi"/>
          <w:sz w:val="18"/>
          <w:szCs w:val="18"/>
        </w:rPr>
        <w:tab/>
      </w:r>
      <w:r w:rsidRPr="006070EA">
        <w:rPr>
          <w:rFonts w:asciiTheme="majorHAnsi" w:hAnsiTheme="majorHAnsi" w:cstheme="majorHAnsi"/>
          <w:sz w:val="18"/>
          <w:szCs w:val="18"/>
        </w:rPr>
        <w:tab/>
      </w:r>
      <w:r w:rsidRPr="006070EA">
        <w:rPr>
          <w:rFonts w:asciiTheme="majorHAnsi" w:hAnsiTheme="majorHAnsi" w:cstheme="majorHAnsi"/>
          <w:sz w:val="18"/>
          <w:szCs w:val="18"/>
        </w:rPr>
        <w:tab/>
      </w:r>
      <w:r w:rsidRPr="006070EA">
        <w:rPr>
          <w:rFonts w:asciiTheme="majorHAnsi" w:hAnsiTheme="majorHAnsi" w:cstheme="majorHAnsi"/>
          <w:sz w:val="18"/>
          <w:szCs w:val="18"/>
        </w:rPr>
        <w:tab/>
        <w:t>zařazeny v kategorii lesů ochranných nebo lesů zvláštního určení.</w:t>
      </w:r>
    </w:p>
    <w:p w14:paraId="5B36A3B1" w14:textId="77777777" w:rsidR="00A37452" w:rsidRPr="006070EA" w:rsidRDefault="00A37452" w:rsidP="00A37452">
      <w:pPr>
        <w:widowControl w:val="0"/>
        <w:spacing w:before="120" w:after="120"/>
        <w:ind w:left="3544" w:hanging="2824"/>
        <w:jc w:val="both"/>
        <w:rPr>
          <w:rFonts w:asciiTheme="majorHAnsi" w:hAnsiTheme="majorHAnsi" w:cstheme="majorHAnsi"/>
          <w:sz w:val="18"/>
          <w:szCs w:val="18"/>
        </w:rPr>
      </w:pPr>
      <w:r w:rsidRPr="006070EA">
        <w:rPr>
          <w:rFonts w:asciiTheme="majorHAnsi" w:hAnsiTheme="majorHAnsi" w:cstheme="majorHAnsi"/>
          <w:b/>
          <w:sz w:val="18"/>
          <w:szCs w:val="18"/>
        </w:rPr>
        <w:t xml:space="preserve">Les ochranný </w:t>
      </w:r>
      <w:r w:rsidRPr="006070EA">
        <w:rPr>
          <w:rFonts w:asciiTheme="majorHAnsi" w:hAnsiTheme="majorHAnsi" w:cstheme="majorHAnsi"/>
          <w:b/>
          <w:sz w:val="18"/>
          <w:szCs w:val="18"/>
        </w:rPr>
        <w:tab/>
      </w:r>
      <w:r w:rsidRPr="006070EA">
        <w:rPr>
          <w:rFonts w:asciiTheme="majorHAnsi" w:hAnsiTheme="majorHAnsi" w:cstheme="majorHAnsi"/>
          <w:sz w:val="18"/>
          <w:szCs w:val="18"/>
        </w:rPr>
        <w:t xml:space="preserve">§ 7 odst. 1 písm. a lesního </w:t>
      </w:r>
      <w:proofErr w:type="gramStart"/>
      <w:r w:rsidRPr="006070EA">
        <w:rPr>
          <w:rFonts w:asciiTheme="majorHAnsi" w:hAnsiTheme="majorHAnsi" w:cstheme="majorHAnsi"/>
          <w:sz w:val="18"/>
          <w:szCs w:val="18"/>
        </w:rPr>
        <w:t>zákona- lesy</w:t>
      </w:r>
      <w:proofErr w:type="gramEnd"/>
      <w:r w:rsidRPr="006070EA">
        <w:rPr>
          <w:rFonts w:asciiTheme="majorHAnsi" w:hAnsiTheme="majorHAnsi" w:cstheme="majorHAnsi"/>
          <w:sz w:val="18"/>
          <w:szCs w:val="18"/>
        </w:rPr>
        <w:t xml:space="preserve"> na mimořádně nepříznivých stanovištích (sutě, kamenná moře, prudké svahy, strže, nestabilizované náplavy a písky, rašeliniště, odvaly a výsypky apod. </w:t>
      </w:r>
    </w:p>
    <w:p w14:paraId="5A32A29A" w14:textId="012BDEFF" w:rsidR="00A37452" w:rsidRPr="006070EA" w:rsidRDefault="00A37452" w:rsidP="00A37452">
      <w:pPr>
        <w:widowControl w:val="0"/>
        <w:spacing w:before="120" w:after="120"/>
        <w:ind w:left="3544" w:hanging="2824"/>
        <w:jc w:val="both"/>
        <w:rPr>
          <w:rFonts w:asciiTheme="majorHAnsi" w:hAnsiTheme="majorHAnsi" w:cstheme="majorHAnsi"/>
          <w:sz w:val="18"/>
          <w:szCs w:val="18"/>
        </w:rPr>
      </w:pPr>
      <w:r w:rsidRPr="006070EA">
        <w:rPr>
          <w:rFonts w:asciiTheme="majorHAnsi" w:hAnsiTheme="majorHAnsi" w:cstheme="majorHAnsi"/>
          <w:b/>
          <w:sz w:val="18"/>
          <w:szCs w:val="18"/>
        </w:rPr>
        <w:t xml:space="preserve">Les zvláštního určení </w:t>
      </w:r>
      <w:r w:rsidRPr="006070EA">
        <w:rPr>
          <w:rFonts w:asciiTheme="majorHAnsi" w:hAnsiTheme="majorHAnsi" w:cstheme="majorHAnsi"/>
          <w:b/>
          <w:sz w:val="18"/>
          <w:szCs w:val="18"/>
        </w:rPr>
        <w:tab/>
      </w:r>
      <w:r w:rsidRPr="006070EA">
        <w:rPr>
          <w:rFonts w:asciiTheme="majorHAnsi" w:hAnsiTheme="majorHAnsi" w:cstheme="majorHAnsi"/>
          <w:sz w:val="18"/>
          <w:szCs w:val="18"/>
        </w:rPr>
        <w:t xml:space="preserve">§ 8 odst. 2 písm. </w:t>
      </w:r>
      <w:proofErr w:type="gramStart"/>
      <w:r w:rsidRPr="006070EA">
        <w:rPr>
          <w:rFonts w:asciiTheme="majorHAnsi" w:hAnsiTheme="majorHAnsi" w:cstheme="majorHAnsi"/>
          <w:sz w:val="18"/>
          <w:szCs w:val="18"/>
        </w:rPr>
        <w:t>e - lesy</w:t>
      </w:r>
      <w:proofErr w:type="gramEnd"/>
      <w:r w:rsidRPr="006070EA">
        <w:rPr>
          <w:rFonts w:asciiTheme="majorHAnsi" w:hAnsiTheme="majorHAnsi" w:cstheme="majorHAnsi"/>
          <w:sz w:val="18"/>
          <w:szCs w:val="18"/>
        </w:rPr>
        <w:t xml:space="preserve"> (bariérové) se zvýšenou funkcí půdoochrannou, vodoochra</w:t>
      </w:r>
      <w:r w:rsidR="000E2721" w:rsidRPr="006070EA">
        <w:rPr>
          <w:rFonts w:asciiTheme="majorHAnsi" w:hAnsiTheme="majorHAnsi" w:cstheme="majorHAnsi"/>
          <w:sz w:val="18"/>
          <w:szCs w:val="18"/>
        </w:rPr>
        <w:t>n</w:t>
      </w:r>
      <w:r w:rsidRPr="006070EA">
        <w:rPr>
          <w:rFonts w:asciiTheme="majorHAnsi" w:hAnsiTheme="majorHAnsi" w:cstheme="majorHAnsi"/>
          <w:sz w:val="18"/>
          <w:szCs w:val="18"/>
        </w:rPr>
        <w:t>nou, klimatickou nebo krajinotvornou</w:t>
      </w:r>
    </w:p>
    <w:p w14:paraId="6394DDF6" w14:textId="67AF6BAA" w:rsidR="00A37452" w:rsidRPr="006070EA" w:rsidRDefault="00A37452" w:rsidP="00A37452">
      <w:pPr>
        <w:pStyle w:val="Atext"/>
        <w:rPr>
          <w:rFonts w:asciiTheme="majorHAnsi" w:hAnsiTheme="majorHAnsi" w:cstheme="majorHAnsi"/>
          <w:szCs w:val="18"/>
        </w:rPr>
      </w:pPr>
      <w:r w:rsidRPr="006070EA">
        <w:rPr>
          <w:rFonts w:asciiTheme="majorHAnsi" w:hAnsiTheme="majorHAnsi" w:cstheme="majorHAnsi"/>
          <w:szCs w:val="18"/>
        </w:rPr>
        <w:t>Lesy v řešeném území jsou zařazeny do kategorie lesů hospodářských</w:t>
      </w:r>
      <w:r w:rsidR="00D8068B" w:rsidRPr="006070EA">
        <w:rPr>
          <w:rFonts w:asciiTheme="majorHAnsi" w:hAnsiTheme="majorHAnsi" w:cstheme="majorHAnsi"/>
          <w:szCs w:val="18"/>
        </w:rPr>
        <w:t xml:space="preserve"> </w:t>
      </w:r>
      <w:r w:rsidRPr="006070EA">
        <w:rPr>
          <w:rFonts w:asciiTheme="majorHAnsi" w:hAnsiTheme="majorHAnsi" w:cstheme="majorHAnsi"/>
          <w:szCs w:val="18"/>
        </w:rPr>
        <w:t>a lesů zvláštního určení</w:t>
      </w:r>
      <w:r w:rsidR="00530EB9" w:rsidRPr="006070EA">
        <w:rPr>
          <w:rFonts w:asciiTheme="majorHAnsi" w:hAnsiTheme="majorHAnsi" w:cstheme="majorHAnsi"/>
          <w:szCs w:val="18"/>
        </w:rPr>
        <w:t>.</w:t>
      </w:r>
      <w:r w:rsidRPr="006070EA">
        <w:rPr>
          <w:rFonts w:asciiTheme="majorHAnsi" w:hAnsiTheme="majorHAnsi" w:cstheme="majorHAnsi"/>
          <w:szCs w:val="18"/>
        </w:rPr>
        <w:t xml:space="preserve"> </w:t>
      </w:r>
      <w:r w:rsidR="00530EB9" w:rsidRPr="006070EA">
        <w:rPr>
          <w:rFonts w:asciiTheme="majorHAnsi" w:hAnsiTheme="majorHAnsi" w:cstheme="majorHAnsi"/>
          <w:szCs w:val="18"/>
        </w:rPr>
        <w:t>Lesy ochranné se v řešeném území nevyskytují.</w:t>
      </w:r>
    </w:p>
    <w:p w14:paraId="61141569"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70" w:name="_Toc424119886"/>
      <w:bookmarkStart w:id="471" w:name="_Toc204678240"/>
      <w:bookmarkEnd w:id="469"/>
      <w:r w:rsidRPr="006070EA">
        <w:rPr>
          <w:rFonts w:asciiTheme="majorHAnsi" w:hAnsiTheme="majorHAnsi" w:cstheme="majorHAnsi"/>
          <w:b/>
        </w:rPr>
        <w:t>Zábor pozemků určených k plnění funkce lesa</w:t>
      </w:r>
      <w:bookmarkEnd w:id="470"/>
      <w:bookmarkEnd w:id="471"/>
    </w:p>
    <w:p w14:paraId="5A863E53" w14:textId="5E60D7AC" w:rsidR="009E33CB" w:rsidRPr="006070EA" w:rsidRDefault="009E33CB" w:rsidP="003D125E">
      <w:pPr>
        <w:spacing w:after="120" w:line="240" w:lineRule="auto"/>
        <w:ind w:firstLine="709"/>
        <w:rPr>
          <w:rFonts w:asciiTheme="majorHAnsi" w:eastAsiaTheme="minorEastAsia" w:hAnsiTheme="majorHAnsi" w:cstheme="majorHAnsi"/>
          <w:sz w:val="18"/>
        </w:rPr>
      </w:pPr>
      <w:r w:rsidRPr="006070EA">
        <w:rPr>
          <w:rFonts w:asciiTheme="majorHAnsi" w:eastAsiaTheme="minorEastAsia" w:hAnsiTheme="majorHAnsi" w:cstheme="majorHAnsi"/>
          <w:sz w:val="18"/>
        </w:rPr>
        <w:t xml:space="preserve">ÚP </w:t>
      </w:r>
      <w:r w:rsidR="00E12715" w:rsidRPr="006070EA">
        <w:rPr>
          <w:rFonts w:asciiTheme="majorHAnsi" w:eastAsiaTheme="minorEastAsia" w:hAnsiTheme="majorHAnsi" w:cstheme="majorHAnsi"/>
          <w:sz w:val="18"/>
        </w:rPr>
        <w:t xml:space="preserve">Kostomlaty nad Labem </w:t>
      </w:r>
      <w:r w:rsidRPr="006070EA">
        <w:rPr>
          <w:rFonts w:asciiTheme="majorHAnsi" w:eastAsiaTheme="minorEastAsia" w:hAnsiTheme="majorHAnsi" w:cstheme="majorHAnsi"/>
          <w:sz w:val="18"/>
        </w:rPr>
        <w:t>nevymezuje zastavitelné plochy, vyžadující zábor PUPFL.</w:t>
      </w:r>
    </w:p>
    <w:p w14:paraId="443ECBBC" w14:textId="3C1427CD" w:rsidR="00E12715" w:rsidRPr="00A76411" w:rsidRDefault="00E12715" w:rsidP="00897637">
      <w:pPr>
        <w:spacing w:after="120" w:line="240" w:lineRule="auto"/>
        <w:ind w:firstLine="709"/>
        <w:jc w:val="both"/>
        <w:rPr>
          <w:rFonts w:asciiTheme="majorHAnsi" w:eastAsiaTheme="minorEastAsia" w:hAnsiTheme="majorHAnsi" w:cstheme="majorHAnsi"/>
          <w:sz w:val="18"/>
        </w:rPr>
      </w:pPr>
      <w:r w:rsidRPr="00A76411">
        <w:rPr>
          <w:rFonts w:asciiTheme="majorHAnsi" w:eastAsiaTheme="minorEastAsia" w:hAnsiTheme="majorHAnsi" w:cstheme="majorHAnsi"/>
          <w:sz w:val="18"/>
        </w:rPr>
        <w:t>ÚP Kostomlaty nad Labem vymezuje koridor, částečně zasahující na pozemky lesa. V</w:t>
      </w:r>
      <w:r w:rsidR="001D44F9" w:rsidRPr="00A76411">
        <w:rPr>
          <w:rFonts w:asciiTheme="majorHAnsi" w:eastAsiaTheme="minorEastAsia" w:hAnsiTheme="majorHAnsi" w:cstheme="majorHAnsi"/>
          <w:sz w:val="18"/>
        </w:rPr>
        <w:t xml:space="preserve"> tomto </w:t>
      </w:r>
      <w:r w:rsidRPr="00A76411">
        <w:rPr>
          <w:rFonts w:asciiTheme="majorHAnsi" w:eastAsiaTheme="minorEastAsia" w:hAnsiTheme="majorHAnsi" w:cstheme="majorHAnsi"/>
          <w:sz w:val="18"/>
        </w:rPr>
        <w:t>koridor</w:t>
      </w:r>
      <w:r w:rsidR="001D44F9" w:rsidRPr="00A76411">
        <w:rPr>
          <w:rFonts w:asciiTheme="majorHAnsi" w:eastAsiaTheme="minorEastAsia" w:hAnsiTheme="majorHAnsi" w:cstheme="majorHAnsi"/>
          <w:sz w:val="18"/>
        </w:rPr>
        <w:t>u</w:t>
      </w:r>
      <w:r w:rsidRPr="00A76411">
        <w:rPr>
          <w:rFonts w:asciiTheme="majorHAnsi" w:eastAsiaTheme="minorEastAsia" w:hAnsiTheme="majorHAnsi" w:cstheme="majorHAnsi"/>
          <w:sz w:val="18"/>
        </w:rPr>
        <w:t xml:space="preserve"> je možné uvažovat potenciální zábor PUPFL. Jedná se o část koridor</w:t>
      </w:r>
      <w:r w:rsidR="001D44F9" w:rsidRPr="00A76411">
        <w:rPr>
          <w:rFonts w:asciiTheme="majorHAnsi" w:eastAsiaTheme="minorEastAsia" w:hAnsiTheme="majorHAnsi" w:cstheme="majorHAnsi"/>
          <w:sz w:val="18"/>
        </w:rPr>
        <w:t>u</w:t>
      </w:r>
      <w:r w:rsidRPr="00A76411">
        <w:rPr>
          <w:rFonts w:asciiTheme="majorHAnsi" w:eastAsiaTheme="minorEastAsia" w:hAnsiTheme="majorHAnsi" w:cstheme="majorHAnsi"/>
          <w:sz w:val="18"/>
        </w:rPr>
        <w:t xml:space="preserve"> </w:t>
      </w:r>
      <w:r w:rsidR="000E2721" w:rsidRPr="00A76411">
        <w:rPr>
          <w:rFonts w:asciiTheme="majorHAnsi" w:eastAsiaTheme="minorEastAsia" w:hAnsiTheme="majorHAnsi" w:cstheme="majorHAnsi"/>
          <w:sz w:val="18"/>
        </w:rPr>
        <w:t>CNU.</w:t>
      </w:r>
      <w:r w:rsidRPr="00A76411">
        <w:rPr>
          <w:rFonts w:asciiTheme="majorHAnsi" w:eastAsiaTheme="minorEastAsia" w:hAnsiTheme="majorHAnsi" w:cstheme="majorHAnsi"/>
          <w:sz w:val="18"/>
        </w:rPr>
        <w:t xml:space="preserve">KDN1. Dotčení pozemků lesa </w:t>
      </w:r>
      <w:r w:rsidR="001D44F9" w:rsidRPr="00A76411">
        <w:rPr>
          <w:rFonts w:asciiTheme="majorHAnsi" w:eastAsiaTheme="minorEastAsia" w:hAnsiTheme="majorHAnsi" w:cstheme="majorHAnsi"/>
          <w:sz w:val="18"/>
        </w:rPr>
        <w:t>tímto</w:t>
      </w:r>
      <w:r w:rsidRPr="00A76411">
        <w:rPr>
          <w:rFonts w:asciiTheme="majorHAnsi" w:eastAsiaTheme="minorEastAsia" w:hAnsiTheme="majorHAnsi" w:cstheme="majorHAnsi"/>
          <w:sz w:val="18"/>
        </w:rPr>
        <w:t xml:space="preserve"> koridor</w:t>
      </w:r>
      <w:r w:rsidR="001D44F9" w:rsidRPr="00A76411">
        <w:rPr>
          <w:rFonts w:asciiTheme="majorHAnsi" w:eastAsiaTheme="minorEastAsia" w:hAnsiTheme="majorHAnsi" w:cstheme="majorHAnsi"/>
          <w:sz w:val="18"/>
        </w:rPr>
        <w:t>em</w:t>
      </w:r>
      <w:r w:rsidRPr="00A76411">
        <w:rPr>
          <w:rFonts w:asciiTheme="majorHAnsi" w:eastAsiaTheme="minorEastAsia" w:hAnsiTheme="majorHAnsi" w:cstheme="majorHAnsi"/>
          <w:sz w:val="18"/>
        </w:rPr>
        <w:t xml:space="preserve"> uvádí tabulka níže:</w:t>
      </w:r>
    </w:p>
    <w:tbl>
      <w:tblPr>
        <w:tblStyle w:val="Mkatabulky"/>
        <w:tblW w:w="0" w:type="auto"/>
        <w:tblLook w:val="04A0" w:firstRow="1" w:lastRow="0" w:firstColumn="1" w:lastColumn="0" w:noHBand="0" w:noVBand="1"/>
      </w:tblPr>
      <w:tblGrid>
        <w:gridCol w:w="2266"/>
        <w:gridCol w:w="2263"/>
        <w:gridCol w:w="2264"/>
        <w:gridCol w:w="2267"/>
      </w:tblGrid>
      <w:tr w:rsidR="004F3B1E" w:rsidRPr="00A76411" w14:paraId="41925D8B" w14:textId="77777777" w:rsidTr="001D44F9">
        <w:tc>
          <w:tcPr>
            <w:tcW w:w="2266" w:type="dxa"/>
            <w:shd w:val="clear" w:color="auto" w:fill="FBE4D5" w:themeFill="accent2" w:themeFillTint="33"/>
            <w:vAlign w:val="center"/>
          </w:tcPr>
          <w:p w14:paraId="53EA901E" w14:textId="3C8BA089" w:rsidR="00E12715" w:rsidRPr="00A76411" w:rsidRDefault="00E12715" w:rsidP="00897637">
            <w:pPr>
              <w:jc w:val="center"/>
              <w:rPr>
                <w:rFonts w:asciiTheme="majorHAnsi" w:eastAsiaTheme="minorEastAsia" w:hAnsiTheme="majorHAnsi" w:cstheme="majorHAnsi"/>
                <w:b/>
                <w:bCs/>
                <w:sz w:val="18"/>
              </w:rPr>
            </w:pPr>
            <w:r w:rsidRPr="00A76411">
              <w:rPr>
                <w:rFonts w:asciiTheme="majorHAnsi" w:eastAsiaTheme="minorEastAsia" w:hAnsiTheme="majorHAnsi" w:cstheme="majorHAnsi"/>
                <w:b/>
                <w:bCs/>
                <w:sz w:val="18"/>
              </w:rPr>
              <w:lastRenderedPageBreak/>
              <w:t>ozn. koridoru</w:t>
            </w:r>
          </w:p>
        </w:tc>
        <w:tc>
          <w:tcPr>
            <w:tcW w:w="2263" w:type="dxa"/>
            <w:shd w:val="clear" w:color="auto" w:fill="FBE4D5" w:themeFill="accent2" w:themeFillTint="33"/>
            <w:vAlign w:val="center"/>
          </w:tcPr>
          <w:p w14:paraId="68A7BFBD" w14:textId="1255CDAF" w:rsidR="00E12715" w:rsidRPr="00A76411" w:rsidRDefault="00E12715" w:rsidP="00897637">
            <w:pPr>
              <w:jc w:val="center"/>
              <w:rPr>
                <w:rFonts w:asciiTheme="majorHAnsi" w:eastAsiaTheme="minorEastAsia" w:hAnsiTheme="majorHAnsi" w:cstheme="majorHAnsi"/>
                <w:b/>
                <w:bCs/>
                <w:sz w:val="18"/>
              </w:rPr>
            </w:pPr>
            <w:r w:rsidRPr="00A76411">
              <w:rPr>
                <w:rFonts w:asciiTheme="majorHAnsi" w:eastAsiaTheme="minorEastAsia" w:hAnsiTheme="majorHAnsi" w:cstheme="majorHAnsi"/>
                <w:b/>
                <w:bCs/>
                <w:sz w:val="18"/>
              </w:rPr>
              <w:t>výměra koridoru (ha)</w:t>
            </w:r>
          </w:p>
        </w:tc>
        <w:tc>
          <w:tcPr>
            <w:tcW w:w="2264" w:type="dxa"/>
            <w:shd w:val="clear" w:color="auto" w:fill="FBE4D5" w:themeFill="accent2" w:themeFillTint="33"/>
            <w:vAlign w:val="center"/>
          </w:tcPr>
          <w:p w14:paraId="0673A4A2" w14:textId="7358078A" w:rsidR="00E12715" w:rsidRPr="00A76411" w:rsidRDefault="00E12715" w:rsidP="00897637">
            <w:pPr>
              <w:jc w:val="center"/>
              <w:rPr>
                <w:rFonts w:asciiTheme="majorHAnsi" w:eastAsiaTheme="minorEastAsia" w:hAnsiTheme="majorHAnsi" w:cstheme="majorHAnsi"/>
                <w:b/>
                <w:bCs/>
                <w:sz w:val="18"/>
              </w:rPr>
            </w:pPr>
            <w:r w:rsidRPr="00A76411">
              <w:rPr>
                <w:rFonts w:asciiTheme="majorHAnsi" w:eastAsiaTheme="minorEastAsia" w:hAnsiTheme="majorHAnsi" w:cstheme="majorHAnsi"/>
                <w:b/>
                <w:bCs/>
                <w:sz w:val="18"/>
              </w:rPr>
              <w:t>výměra části koridoru na PUPFL (</w:t>
            </w:r>
            <w:r w:rsidR="00897637" w:rsidRPr="00A76411">
              <w:rPr>
                <w:rFonts w:asciiTheme="majorHAnsi" w:eastAsiaTheme="minorEastAsia" w:hAnsiTheme="majorHAnsi" w:cstheme="majorHAnsi"/>
                <w:b/>
                <w:bCs/>
                <w:sz w:val="18"/>
              </w:rPr>
              <w:t>ha)</w:t>
            </w:r>
          </w:p>
        </w:tc>
        <w:tc>
          <w:tcPr>
            <w:tcW w:w="2267" w:type="dxa"/>
            <w:shd w:val="clear" w:color="auto" w:fill="FBE4D5" w:themeFill="accent2" w:themeFillTint="33"/>
            <w:vAlign w:val="center"/>
          </w:tcPr>
          <w:p w14:paraId="1D7F8EB4" w14:textId="18CA118D" w:rsidR="00E12715" w:rsidRPr="00A76411" w:rsidRDefault="00897637" w:rsidP="00897637">
            <w:pPr>
              <w:jc w:val="center"/>
              <w:rPr>
                <w:rFonts w:asciiTheme="majorHAnsi" w:eastAsiaTheme="minorEastAsia" w:hAnsiTheme="majorHAnsi" w:cstheme="majorHAnsi"/>
                <w:b/>
                <w:bCs/>
                <w:sz w:val="18"/>
              </w:rPr>
            </w:pPr>
            <w:r w:rsidRPr="00A76411">
              <w:rPr>
                <w:rFonts w:asciiTheme="majorHAnsi" w:eastAsiaTheme="minorEastAsia" w:hAnsiTheme="majorHAnsi" w:cstheme="majorHAnsi"/>
                <w:b/>
                <w:bCs/>
                <w:sz w:val="18"/>
              </w:rPr>
              <w:t>dotčení kategorie lesa</w:t>
            </w:r>
          </w:p>
        </w:tc>
      </w:tr>
      <w:tr w:rsidR="004F3B1E" w:rsidRPr="00A76411" w14:paraId="79F7EF4B" w14:textId="77777777" w:rsidTr="001D44F9">
        <w:tc>
          <w:tcPr>
            <w:tcW w:w="2266" w:type="dxa"/>
            <w:vAlign w:val="center"/>
          </w:tcPr>
          <w:p w14:paraId="271B6248" w14:textId="34CCF907" w:rsidR="00E12715" w:rsidRPr="00A76411" w:rsidRDefault="000E2721" w:rsidP="00897637">
            <w:pPr>
              <w:jc w:val="center"/>
              <w:rPr>
                <w:rFonts w:asciiTheme="majorHAnsi" w:eastAsiaTheme="minorEastAsia" w:hAnsiTheme="majorHAnsi" w:cstheme="majorHAnsi"/>
                <w:sz w:val="18"/>
              </w:rPr>
            </w:pPr>
            <w:r w:rsidRPr="00A76411">
              <w:rPr>
                <w:rFonts w:asciiTheme="majorHAnsi" w:eastAsiaTheme="minorEastAsia" w:hAnsiTheme="majorHAnsi" w:cstheme="majorHAnsi"/>
                <w:sz w:val="18"/>
              </w:rPr>
              <w:t>CNU.</w:t>
            </w:r>
            <w:r w:rsidR="00897637" w:rsidRPr="00A76411">
              <w:rPr>
                <w:rFonts w:asciiTheme="majorHAnsi" w:eastAsiaTheme="minorEastAsia" w:hAnsiTheme="majorHAnsi" w:cstheme="majorHAnsi"/>
                <w:sz w:val="18"/>
              </w:rPr>
              <w:t>KDN1</w:t>
            </w:r>
          </w:p>
        </w:tc>
        <w:tc>
          <w:tcPr>
            <w:tcW w:w="2263" w:type="dxa"/>
            <w:vAlign w:val="center"/>
          </w:tcPr>
          <w:p w14:paraId="60963441" w14:textId="061B0BD3" w:rsidR="00E12715" w:rsidRPr="00A76411" w:rsidRDefault="00897637" w:rsidP="00897637">
            <w:pPr>
              <w:jc w:val="center"/>
              <w:rPr>
                <w:rFonts w:asciiTheme="majorHAnsi" w:eastAsiaTheme="minorEastAsia" w:hAnsiTheme="majorHAnsi" w:cstheme="majorHAnsi"/>
                <w:sz w:val="18"/>
              </w:rPr>
            </w:pPr>
            <w:r w:rsidRPr="00A76411">
              <w:rPr>
                <w:rFonts w:asciiTheme="majorHAnsi" w:eastAsiaTheme="minorEastAsia" w:hAnsiTheme="majorHAnsi" w:cstheme="majorHAnsi"/>
                <w:sz w:val="18"/>
              </w:rPr>
              <w:t>3,7450</w:t>
            </w:r>
          </w:p>
        </w:tc>
        <w:tc>
          <w:tcPr>
            <w:tcW w:w="2264" w:type="dxa"/>
            <w:vAlign w:val="center"/>
          </w:tcPr>
          <w:p w14:paraId="7D5F821E" w14:textId="7F36F1BD" w:rsidR="00E12715" w:rsidRPr="00A76411" w:rsidRDefault="00897637" w:rsidP="00897637">
            <w:pPr>
              <w:jc w:val="center"/>
              <w:rPr>
                <w:rFonts w:asciiTheme="majorHAnsi" w:eastAsiaTheme="minorEastAsia" w:hAnsiTheme="majorHAnsi" w:cstheme="majorHAnsi"/>
                <w:sz w:val="18"/>
              </w:rPr>
            </w:pPr>
            <w:r w:rsidRPr="00A76411">
              <w:rPr>
                <w:rFonts w:asciiTheme="majorHAnsi" w:eastAsiaTheme="minorEastAsia" w:hAnsiTheme="majorHAnsi" w:cstheme="majorHAnsi"/>
                <w:sz w:val="18"/>
              </w:rPr>
              <w:t>0,0397</w:t>
            </w:r>
          </w:p>
        </w:tc>
        <w:tc>
          <w:tcPr>
            <w:tcW w:w="2267" w:type="dxa"/>
            <w:vAlign w:val="center"/>
          </w:tcPr>
          <w:p w14:paraId="540FB74D" w14:textId="3B497A8E" w:rsidR="00E12715" w:rsidRPr="00A76411" w:rsidRDefault="00897637" w:rsidP="00897637">
            <w:pPr>
              <w:jc w:val="center"/>
              <w:rPr>
                <w:rFonts w:asciiTheme="majorHAnsi" w:eastAsiaTheme="minorEastAsia" w:hAnsiTheme="majorHAnsi" w:cstheme="majorHAnsi"/>
                <w:sz w:val="18"/>
              </w:rPr>
            </w:pPr>
            <w:r w:rsidRPr="00A76411">
              <w:rPr>
                <w:rFonts w:asciiTheme="majorHAnsi" w:eastAsiaTheme="minorEastAsia" w:hAnsiTheme="majorHAnsi" w:cstheme="majorHAnsi"/>
                <w:sz w:val="18"/>
              </w:rPr>
              <w:t>les zvláštního určení</w:t>
            </w:r>
          </w:p>
        </w:tc>
      </w:tr>
      <w:tr w:rsidR="004F3B1E" w:rsidRPr="00A76411" w14:paraId="69022FE6" w14:textId="77777777" w:rsidTr="001D44F9">
        <w:tc>
          <w:tcPr>
            <w:tcW w:w="4529" w:type="dxa"/>
            <w:gridSpan w:val="2"/>
            <w:vAlign w:val="center"/>
          </w:tcPr>
          <w:p w14:paraId="4EA7CE42" w14:textId="6B78BD59" w:rsidR="00897637" w:rsidRPr="00A76411" w:rsidRDefault="00897637" w:rsidP="00897637">
            <w:pPr>
              <w:jc w:val="center"/>
              <w:rPr>
                <w:rFonts w:asciiTheme="majorHAnsi" w:eastAsiaTheme="minorEastAsia" w:hAnsiTheme="majorHAnsi" w:cstheme="majorHAnsi"/>
                <w:b/>
                <w:bCs/>
                <w:sz w:val="18"/>
              </w:rPr>
            </w:pPr>
            <w:r w:rsidRPr="00A76411">
              <w:rPr>
                <w:rFonts w:asciiTheme="majorHAnsi" w:eastAsiaTheme="minorEastAsia" w:hAnsiTheme="majorHAnsi" w:cstheme="majorHAnsi"/>
                <w:b/>
                <w:bCs/>
                <w:sz w:val="18"/>
              </w:rPr>
              <w:t>Část koridorů na PUPFL celkem</w:t>
            </w:r>
          </w:p>
        </w:tc>
        <w:tc>
          <w:tcPr>
            <w:tcW w:w="2264" w:type="dxa"/>
            <w:vAlign w:val="center"/>
          </w:tcPr>
          <w:p w14:paraId="16A0A3A1" w14:textId="0B42112F" w:rsidR="00897637" w:rsidRPr="00A76411" w:rsidRDefault="001D44F9" w:rsidP="00897637">
            <w:pPr>
              <w:jc w:val="center"/>
              <w:rPr>
                <w:rFonts w:asciiTheme="majorHAnsi" w:eastAsiaTheme="minorEastAsia" w:hAnsiTheme="majorHAnsi" w:cstheme="majorHAnsi"/>
                <w:b/>
                <w:bCs/>
                <w:sz w:val="18"/>
              </w:rPr>
            </w:pPr>
            <w:r w:rsidRPr="00A76411">
              <w:rPr>
                <w:rFonts w:asciiTheme="majorHAnsi" w:eastAsiaTheme="minorEastAsia" w:hAnsiTheme="majorHAnsi" w:cstheme="majorHAnsi"/>
                <w:b/>
                <w:bCs/>
                <w:sz w:val="18"/>
              </w:rPr>
              <w:t>0,0397</w:t>
            </w:r>
          </w:p>
        </w:tc>
        <w:tc>
          <w:tcPr>
            <w:tcW w:w="2267" w:type="dxa"/>
            <w:vAlign w:val="center"/>
          </w:tcPr>
          <w:p w14:paraId="2BB20F50" w14:textId="0D5995A9" w:rsidR="00897637" w:rsidRPr="00A76411" w:rsidRDefault="00897637" w:rsidP="00897637">
            <w:pPr>
              <w:jc w:val="center"/>
              <w:rPr>
                <w:rFonts w:asciiTheme="majorHAnsi" w:eastAsiaTheme="minorEastAsia" w:hAnsiTheme="majorHAnsi" w:cstheme="majorHAnsi"/>
                <w:b/>
                <w:bCs/>
                <w:sz w:val="18"/>
              </w:rPr>
            </w:pPr>
            <w:r w:rsidRPr="00A76411">
              <w:rPr>
                <w:rFonts w:asciiTheme="majorHAnsi" w:eastAsiaTheme="minorEastAsia" w:hAnsiTheme="majorHAnsi" w:cstheme="majorHAnsi"/>
                <w:b/>
                <w:bCs/>
                <w:sz w:val="18"/>
              </w:rPr>
              <w:t>-</w:t>
            </w:r>
          </w:p>
        </w:tc>
      </w:tr>
    </w:tbl>
    <w:p w14:paraId="48B8D853" w14:textId="0200206A" w:rsidR="00E12715" w:rsidRPr="006070EA" w:rsidRDefault="004F3B1E" w:rsidP="004F3B1E">
      <w:pPr>
        <w:spacing w:before="120" w:after="120" w:line="240" w:lineRule="auto"/>
        <w:ind w:firstLine="709"/>
        <w:jc w:val="both"/>
        <w:rPr>
          <w:rFonts w:asciiTheme="majorHAnsi" w:eastAsiaTheme="minorEastAsia" w:hAnsiTheme="majorHAnsi" w:cstheme="majorHAnsi"/>
          <w:sz w:val="18"/>
        </w:rPr>
      </w:pPr>
      <w:r w:rsidRPr="00A76411">
        <w:rPr>
          <w:rFonts w:asciiTheme="majorHAnsi" w:eastAsiaTheme="minorEastAsia" w:hAnsiTheme="majorHAnsi" w:cstheme="majorHAnsi"/>
          <w:sz w:val="18"/>
        </w:rPr>
        <w:t>Koridor vymezen</w:t>
      </w:r>
      <w:r w:rsidR="001D44F9" w:rsidRPr="00A76411">
        <w:rPr>
          <w:rFonts w:asciiTheme="majorHAnsi" w:eastAsiaTheme="minorEastAsia" w:hAnsiTheme="majorHAnsi" w:cstheme="majorHAnsi"/>
          <w:sz w:val="18"/>
        </w:rPr>
        <w:t>ý</w:t>
      </w:r>
      <w:r w:rsidRPr="00A76411">
        <w:rPr>
          <w:rFonts w:asciiTheme="majorHAnsi" w:eastAsiaTheme="minorEastAsia" w:hAnsiTheme="majorHAnsi" w:cstheme="majorHAnsi"/>
          <w:sz w:val="18"/>
        </w:rPr>
        <w:t xml:space="preserve"> v </w:t>
      </w:r>
      <w:r w:rsidR="00897637" w:rsidRPr="00A76411">
        <w:rPr>
          <w:rFonts w:asciiTheme="majorHAnsi" w:eastAsiaTheme="minorEastAsia" w:hAnsiTheme="majorHAnsi" w:cstheme="majorHAnsi"/>
          <w:sz w:val="18"/>
        </w:rPr>
        <w:t xml:space="preserve">ÚP Kostomlaty nad Labem </w:t>
      </w:r>
      <w:r w:rsidRPr="00A76411">
        <w:rPr>
          <w:rFonts w:asciiTheme="majorHAnsi" w:eastAsiaTheme="minorEastAsia" w:hAnsiTheme="majorHAnsi" w:cstheme="majorHAnsi"/>
          <w:sz w:val="18"/>
        </w:rPr>
        <w:t>zasahuj</w:t>
      </w:r>
      <w:r w:rsidR="001D44F9" w:rsidRPr="00A76411">
        <w:rPr>
          <w:rFonts w:asciiTheme="majorHAnsi" w:eastAsiaTheme="minorEastAsia" w:hAnsiTheme="majorHAnsi" w:cstheme="majorHAnsi"/>
          <w:sz w:val="18"/>
        </w:rPr>
        <w:t>e</w:t>
      </w:r>
      <w:r w:rsidRPr="00A76411">
        <w:rPr>
          <w:rFonts w:asciiTheme="majorHAnsi" w:eastAsiaTheme="minorEastAsia" w:hAnsiTheme="majorHAnsi" w:cstheme="majorHAnsi"/>
          <w:sz w:val="18"/>
        </w:rPr>
        <w:t xml:space="preserve"> celkem na </w:t>
      </w:r>
      <w:r w:rsidR="001D44F9" w:rsidRPr="00A76411">
        <w:rPr>
          <w:rFonts w:asciiTheme="majorHAnsi" w:eastAsiaTheme="minorEastAsia" w:hAnsiTheme="majorHAnsi" w:cstheme="majorHAnsi"/>
          <w:sz w:val="18"/>
        </w:rPr>
        <w:t xml:space="preserve">0,4 </w:t>
      </w:r>
      <w:r w:rsidR="00897637" w:rsidRPr="00A76411">
        <w:rPr>
          <w:rFonts w:asciiTheme="majorHAnsi" w:eastAsiaTheme="minorEastAsia" w:hAnsiTheme="majorHAnsi" w:cstheme="majorHAnsi"/>
          <w:sz w:val="18"/>
        </w:rPr>
        <w:t xml:space="preserve">ha PUPFL. Reálný zábor </w:t>
      </w:r>
      <w:r w:rsidRPr="00A76411">
        <w:rPr>
          <w:rFonts w:asciiTheme="majorHAnsi" w:eastAsiaTheme="minorEastAsia" w:hAnsiTheme="majorHAnsi" w:cstheme="majorHAnsi"/>
          <w:sz w:val="18"/>
        </w:rPr>
        <w:t xml:space="preserve">PUPFL </w:t>
      </w:r>
      <w:r w:rsidR="00897637" w:rsidRPr="00A76411">
        <w:rPr>
          <w:rFonts w:asciiTheme="majorHAnsi" w:eastAsiaTheme="minorEastAsia" w:hAnsiTheme="majorHAnsi" w:cstheme="majorHAnsi"/>
          <w:sz w:val="18"/>
        </w:rPr>
        <w:t>v</w:t>
      </w:r>
      <w:r w:rsidR="001D44F9" w:rsidRPr="00A76411">
        <w:rPr>
          <w:rFonts w:asciiTheme="majorHAnsi" w:eastAsiaTheme="minorEastAsia" w:hAnsiTheme="majorHAnsi" w:cstheme="majorHAnsi"/>
          <w:sz w:val="18"/>
        </w:rPr>
        <w:t xml:space="preserve"> tomto </w:t>
      </w:r>
      <w:r w:rsidR="00897637" w:rsidRPr="00A76411">
        <w:rPr>
          <w:rFonts w:asciiTheme="majorHAnsi" w:eastAsiaTheme="minorEastAsia" w:hAnsiTheme="majorHAnsi" w:cstheme="majorHAnsi"/>
          <w:sz w:val="18"/>
        </w:rPr>
        <w:t>koridor</w:t>
      </w:r>
      <w:r w:rsidR="001D44F9" w:rsidRPr="00A76411">
        <w:rPr>
          <w:rFonts w:asciiTheme="majorHAnsi" w:eastAsiaTheme="minorEastAsia" w:hAnsiTheme="majorHAnsi" w:cstheme="majorHAnsi"/>
          <w:sz w:val="18"/>
        </w:rPr>
        <w:t>u</w:t>
      </w:r>
      <w:r w:rsidR="00897637" w:rsidRPr="00A76411">
        <w:rPr>
          <w:rFonts w:asciiTheme="majorHAnsi" w:eastAsiaTheme="minorEastAsia" w:hAnsiTheme="majorHAnsi" w:cstheme="majorHAnsi"/>
          <w:sz w:val="18"/>
        </w:rPr>
        <w:t xml:space="preserve"> však </w:t>
      </w:r>
      <w:r w:rsidRPr="00A76411">
        <w:rPr>
          <w:rFonts w:asciiTheme="majorHAnsi" w:eastAsiaTheme="minorEastAsia" w:hAnsiTheme="majorHAnsi" w:cstheme="majorHAnsi"/>
          <w:sz w:val="18"/>
        </w:rPr>
        <w:t>bude minimální a bude se odvíjet od umístění konkrétních staveb a opatření v těchto koridorech.</w:t>
      </w:r>
      <w:r w:rsidRPr="006070EA">
        <w:rPr>
          <w:rFonts w:asciiTheme="majorHAnsi" w:eastAsiaTheme="minorEastAsia" w:hAnsiTheme="majorHAnsi" w:cstheme="majorHAnsi"/>
          <w:sz w:val="18"/>
        </w:rPr>
        <w:t xml:space="preserve"> </w:t>
      </w:r>
    </w:p>
    <w:p w14:paraId="6B11E68B"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72" w:name="_Toc204678241"/>
      <w:r w:rsidRPr="006070EA">
        <w:rPr>
          <w:rFonts w:asciiTheme="majorHAnsi" w:hAnsiTheme="majorHAnsi" w:cstheme="majorHAnsi"/>
          <w:b/>
        </w:rPr>
        <w:t>Návrh zalesnění</w:t>
      </w:r>
      <w:bookmarkEnd w:id="472"/>
    </w:p>
    <w:p w14:paraId="28C64E05" w14:textId="77777777" w:rsidR="009E33CB" w:rsidRPr="006070EA" w:rsidRDefault="009E33CB" w:rsidP="003D125E">
      <w:pPr>
        <w:spacing w:after="120" w:line="240" w:lineRule="auto"/>
        <w:ind w:firstLine="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Územním plánem nejsou explicitně vymezeny plochy k zalesnění (plochy lesa). Zalesnění je umožněno v rámci přípustného a podmíněně přípustného využití vybraných typů ploch s rozdílným způsobem využití.</w:t>
      </w:r>
    </w:p>
    <w:p w14:paraId="5AABE277" w14:textId="77777777" w:rsidR="009E33CB" w:rsidRPr="006070EA" w:rsidRDefault="009E33CB" w:rsidP="003A4B1E">
      <w:pPr>
        <w:pStyle w:val="Odstavecseseznamem"/>
        <w:keepNext/>
        <w:numPr>
          <w:ilvl w:val="2"/>
          <w:numId w:val="31"/>
        </w:numPr>
        <w:spacing w:before="160" w:after="120" w:line="240" w:lineRule="auto"/>
        <w:ind w:left="709" w:hanging="709"/>
        <w:contextualSpacing w:val="0"/>
        <w:jc w:val="both"/>
        <w:outlineLvl w:val="2"/>
        <w:rPr>
          <w:rFonts w:asciiTheme="majorHAnsi" w:hAnsiTheme="majorHAnsi" w:cstheme="majorHAnsi"/>
          <w:b/>
        </w:rPr>
      </w:pPr>
      <w:bookmarkStart w:id="473" w:name="_Toc424119887"/>
      <w:bookmarkStart w:id="474" w:name="_Toc204678242"/>
      <w:r w:rsidRPr="006070EA">
        <w:rPr>
          <w:rFonts w:asciiTheme="majorHAnsi" w:hAnsiTheme="majorHAnsi" w:cstheme="majorHAnsi"/>
          <w:b/>
        </w:rPr>
        <w:t>Ochrana lesa</w:t>
      </w:r>
      <w:bookmarkEnd w:id="473"/>
      <w:bookmarkEnd w:id="474"/>
    </w:p>
    <w:p w14:paraId="0F1BE878" w14:textId="622F2523" w:rsidR="009E33CB" w:rsidRPr="006070EA" w:rsidRDefault="009E33CB" w:rsidP="003D125E">
      <w:pPr>
        <w:spacing w:after="60" w:line="240" w:lineRule="auto"/>
        <w:ind w:firstLine="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Ochranné pásmo lesa</w:t>
      </w:r>
      <w:r w:rsidR="00530EB9" w:rsidRPr="006070EA">
        <w:rPr>
          <w:rFonts w:asciiTheme="majorHAnsi" w:eastAsiaTheme="minorEastAsia" w:hAnsiTheme="majorHAnsi" w:cstheme="majorHAnsi"/>
          <w:sz w:val="18"/>
        </w:rPr>
        <w:t xml:space="preserve"> (vzdálenost 50 m od okraje lesa)</w:t>
      </w:r>
      <w:r w:rsidRPr="006070EA">
        <w:rPr>
          <w:rFonts w:asciiTheme="majorHAnsi" w:eastAsiaTheme="minorEastAsia" w:hAnsiTheme="majorHAnsi" w:cstheme="majorHAnsi"/>
          <w:sz w:val="18"/>
        </w:rPr>
        <w:t>, které v současné době do řešeného území nezasahuje, činí 50 m. Stavby v tomto pásmu podléhají souhlasu státní správy lesů (dle § 16 odst. 2 zákona č. 289/1995 Sb.). Při posuzování žádostí o vydání těchto souhlasů orgán státní správy lesů dbá především o to, aby nedocházelo k umisťování staveb trvalého charakteru do blízkosti lesních pozemků ve vzdálenosti, která není dostatečná pro minimalizaci rizika negativního střetu se zájmy chráněnými lesním zákonem (omezení dopravní obslužnosti a přístupnosti lesa, nežádoucí interakce mezi stavbou a</w:t>
      </w:r>
      <w:r w:rsidR="00530EB9" w:rsidRPr="006070EA">
        <w:rPr>
          <w:rFonts w:asciiTheme="majorHAnsi" w:eastAsiaTheme="minorEastAsia" w:hAnsiTheme="majorHAnsi" w:cstheme="majorHAnsi"/>
          <w:sz w:val="18"/>
        </w:rPr>
        <w:t> </w:t>
      </w:r>
      <w:r w:rsidRPr="006070EA">
        <w:rPr>
          <w:rFonts w:asciiTheme="majorHAnsi" w:eastAsiaTheme="minorEastAsia" w:hAnsiTheme="majorHAnsi" w:cstheme="majorHAnsi"/>
          <w:sz w:val="18"/>
        </w:rPr>
        <w:t>blízkým lesním porostem apod.). Bezpečná odstupová vzdálenost je obvykle dána výškou lesního porostu v mýtním věku (absolutní výšková bonita), upravená s ohledem na podmínky konkrétní lokality (terénní poměry, stav porostního okraje, stávající zástavba atd.).</w:t>
      </w:r>
    </w:p>
    <w:p w14:paraId="45B0928C" w14:textId="0E3AECD7" w:rsidR="00530EB9" w:rsidRPr="006070EA" w:rsidRDefault="00530EB9" w:rsidP="003D125E">
      <w:pPr>
        <w:spacing w:after="60" w:line="240" w:lineRule="auto"/>
        <w:ind w:firstLine="709"/>
        <w:jc w:val="both"/>
        <w:rPr>
          <w:rFonts w:asciiTheme="majorHAnsi" w:eastAsiaTheme="minorEastAsia" w:hAnsiTheme="majorHAnsi" w:cstheme="majorHAnsi"/>
          <w:sz w:val="18"/>
        </w:rPr>
      </w:pPr>
      <w:r w:rsidRPr="006070EA">
        <w:rPr>
          <w:rFonts w:asciiTheme="majorHAnsi" w:eastAsiaTheme="minorEastAsia" w:hAnsiTheme="majorHAnsi" w:cstheme="majorHAnsi"/>
          <w:sz w:val="18"/>
        </w:rPr>
        <w:t>Do vzdálenosti 50 m od okraje lesa zasahuje vymezená zastavitelná plocha Z</w:t>
      </w:r>
      <w:r w:rsidR="00300530" w:rsidRPr="006070EA">
        <w:rPr>
          <w:rFonts w:asciiTheme="majorHAnsi" w:eastAsiaTheme="minorEastAsia" w:hAnsiTheme="majorHAnsi" w:cstheme="majorHAnsi"/>
          <w:sz w:val="18"/>
        </w:rPr>
        <w:t>.</w:t>
      </w:r>
      <w:r w:rsidRPr="006070EA">
        <w:rPr>
          <w:rFonts w:asciiTheme="majorHAnsi" w:eastAsiaTheme="minorEastAsia" w:hAnsiTheme="majorHAnsi" w:cstheme="majorHAnsi"/>
          <w:sz w:val="18"/>
        </w:rPr>
        <w:t>14 (BI) a plocha změn v krajině K</w:t>
      </w:r>
      <w:r w:rsidR="00300530" w:rsidRPr="006070EA">
        <w:rPr>
          <w:rFonts w:asciiTheme="majorHAnsi" w:eastAsiaTheme="minorEastAsia" w:hAnsiTheme="majorHAnsi" w:cstheme="majorHAnsi"/>
          <w:sz w:val="18"/>
        </w:rPr>
        <w:t>.</w:t>
      </w:r>
      <w:r w:rsidRPr="006070EA">
        <w:rPr>
          <w:rFonts w:asciiTheme="majorHAnsi" w:eastAsiaTheme="minorEastAsia" w:hAnsiTheme="majorHAnsi" w:cstheme="majorHAnsi"/>
          <w:sz w:val="18"/>
        </w:rPr>
        <w:t>01 (</w:t>
      </w:r>
      <w:proofErr w:type="gramStart"/>
      <w:r w:rsidR="00300530" w:rsidRPr="006070EA">
        <w:rPr>
          <w:rFonts w:asciiTheme="majorHAnsi" w:eastAsiaTheme="minorEastAsia" w:hAnsiTheme="majorHAnsi" w:cstheme="majorHAnsi"/>
          <w:sz w:val="18"/>
        </w:rPr>
        <w:t>MU.zp</w:t>
      </w:r>
      <w:proofErr w:type="gramEnd"/>
      <w:r w:rsidRPr="006070EA">
        <w:rPr>
          <w:rFonts w:asciiTheme="majorHAnsi" w:eastAsiaTheme="minorEastAsia" w:hAnsiTheme="majorHAnsi" w:cstheme="majorHAnsi"/>
          <w:sz w:val="18"/>
        </w:rPr>
        <w:t xml:space="preserve">). </w:t>
      </w:r>
    </w:p>
    <w:p w14:paraId="3CB1F306" w14:textId="77777777" w:rsidR="00EB5EC0" w:rsidRPr="006070EA" w:rsidRDefault="00EB5EC0" w:rsidP="00EF7B4B">
      <w:pPr>
        <w:pStyle w:val="Odstavecseseznamem"/>
        <w:keepNext/>
        <w:keepLines/>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475" w:name="_Toc424119862"/>
      <w:bookmarkStart w:id="476" w:name="_Toc204678243"/>
      <w:bookmarkEnd w:id="245"/>
      <w:r w:rsidRPr="006070EA">
        <w:rPr>
          <w:rFonts w:asciiTheme="majorHAnsi" w:hAnsiTheme="majorHAnsi" w:cstheme="majorHAnsi"/>
          <w:b/>
          <w:sz w:val="24"/>
          <w:szCs w:val="28"/>
        </w:rPr>
        <w:t>ZPRÁVA O VYHODNOCENÍ VLIVŮ NA UDRŽITELNÝ ROZVOJ ÚZEMÍ OBSAHUJÍCÍ ZÁKLADNÍ INFORMACE O VÝSLEDCÍCH TOHOTO VYHODNOCENÍ VČETNĚ VÝSLEDKŮ VYHODNOCENÍ VLIVŮ NA ŽIVOTNÍ PROSTŘEDÍ</w:t>
      </w:r>
      <w:bookmarkEnd w:id="475"/>
      <w:bookmarkEnd w:id="476"/>
    </w:p>
    <w:p w14:paraId="11C50633" w14:textId="77777777" w:rsidR="00024471" w:rsidRPr="006070EA" w:rsidRDefault="00EB5EC0" w:rsidP="00EF7B4B">
      <w:pPr>
        <w:keepNext/>
        <w:keepLines/>
        <w:spacing w:after="120" w:line="240" w:lineRule="auto"/>
        <w:ind w:firstLine="709"/>
        <w:rPr>
          <w:rFonts w:asciiTheme="majorHAnsi" w:hAnsiTheme="majorHAnsi" w:cstheme="majorHAnsi"/>
          <w:i/>
          <w:sz w:val="18"/>
          <w:szCs w:val="20"/>
        </w:rPr>
      </w:pPr>
      <w:r w:rsidRPr="006070EA">
        <w:rPr>
          <w:rFonts w:asciiTheme="majorHAnsi" w:hAnsiTheme="majorHAnsi" w:cstheme="majorHAnsi"/>
          <w:i/>
          <w:sz w:val="18"/>
          <w:szCs w:val="20"/>
        </w:rPr>
        <w:t>Zákon č. 183/2006 Sb., § 53, odst. 5 b)</w:t>
      </w:r>
    </w:p>
    <w:p w14:paraId="4E8B7DE9" w14:textId="77777777" w:rsidR="00EB5EC0" w:rsidRPr="006070EA" w:rsidRDefault="00EB5EC0" w:rsidP="00EF7B4B">
      <w:pPr>
        <w:keepNext/>
        <w:keepLines/>
        <w:spacing w:after="120" w:line="240" w:lineRule="auto"/>
        <w:ind w:firstLine="709"/>
        <w:rPr>
          <w:rFonts w:asciiTheme="majorHAnsi" w:hAnsiTheme="majorHAnsi" w:cstheme="majorHAnsi"/>
          <w:sz w:val="18"/>
          <w:szCs w:val="20"/>
        </w:rPr>
      </w:pPr>
      <w:r w:rsidRPr="006070EA">
        <w:rPr>
          <w:rFonts w:asciiTheme="majorHAnsi" w:hAnsiTheme="majorHAnsi" w:cstheme="majorHAnsi"/>
          <w:b/>
          <w:i/>
          <w:sz w:val="18"/>
          <w:szCs w:val="20"/>
        </w:rPr>
        <w:t>Zpracovává projektant.</w:t>
      </w:r>
    </w:p>
    <w:p w14:paraId="38146489" w14:textId="076DE307" w:rsidR="00C210D1" w:rsidRPr="006070EA" w:rsidRDefault="00C210D1" w:rsidP="00EF7B4B">
      <w:pPr>
        <w:keepLines/>
        <w:spacing w:line="240" w:lineRule="auto"/>
        <w:jc w:val="both"/>
        <w:rPr>
          <w:rFonts w:asciiTheme="majorHAnsi" w:hAnsiTheme="majorHAnsi" w:cstheme="majorHAnsi"/>
          <w:sz w:val="18"/>
          <w:szCs w:val="20"/>
        </w:rPr>
      </w:pPr>
      <w:r w:rsidRPr="006070EA">
        <w:rPr>
          <w:rFonts w:asciiTheme="majorHAnsi" w:hAnsiTheme="majorHAnsi" w:cstheme="majorHAnsi"/>
          <w:sz w:val="18"/>
          <w:szCs w:val="20"/>
        </w:rPr>
        <w:tab/>
        <w:t>Krajský úřad Středočeského kraje (KÚ SK), oddělení ochrany přírody, ve svém stanovisku č. j. 084126/2021/KUSK (změna stanoviska k návrhu zadání územního plánu Kostomlaty nad Labem vydaného v rámci souhrnného vyjádření č.</w:t>
      </w:r>
      <w:r w:rsidR="00300530" w:rsidRPr="006070EA">
        <w:rPr>
          <w:rFonts w:asciiTheme="majorHAnsi" w:hAnsiTheme="majorHAnsi" w:cstheme="majorHAnsi"/>
          <w:sz w:val="18"/>
          <w:szCs w:val="20"/>
        </w:rPr>
        <w:t> </w:t>
      </w:r>
      <w:r w:rsidRPr="006070EA">
        <w:rPr>
          <w:rFonts w:asciiTheme="majorHAnsi" w:hAnsiTheme="majorHAnsi" w:cstheme="majorHAnsi"/>
          <w:sz w:val="18"/>
          <w:szCs w:val="20"/>
        </w:rPr>
        <w:t>j.</w:t>
      </w:r>
      <w:r w:rsidR="00300530" w:rsidRPr="006070EA">
        <w:rPr>
          <w:rFonts w:asciiTheme="majorHAnsi" w:hAnsiTheme="majorHAnsi" w:cstheme="majorHAnsi"/>
          <w:sz w:val="18"/>
          <w:szCs w:val="20"/>
        </w:rPr>
        <w:t> </w:t>
      </w:r>
      <w:r w:rsidRPr="006070EA">
        <w:rPr>
          <w:rFonts w:asciiTheme="majorHAnsi" w:hAnsiTheme="majorHAnsi" w:cstheme="majorHAnsi"/>
          <w:sz w:val="18"/>
          <w:szCs w:val="20"/>
        </w:rPr>
        <w:t xml:space="preserve">042996/2019/KUSK ze dne 23. 4. 2019) ze dne 16. 8. 2021 k doplněnému zadání ÚP Kostomlaty nad Labem nepožaduje posouzení vlivů územního plánu na životní prostředí, tzv. SEA. KÚ SK ve svém stanovisku ze dne 8. 4. 2019 současně vyloučil možný významný vliv koncepce ÚP Kostomlaty nad Labem na předmět ochrany nebo celistvost evropsky významných lokalit nebo ptačích oblastí (NATURA 2000). </w:t>
      </w:r>
    </w:p>
    <w:p w14:paraId="1105C1DD" w14:textId="41753B8D" w:rsidR="001373C1" w:rsidRPr="006070EA" w:rsidRDefault="001373C1" w:rsidP="005202E3">
      <w:pPr>
        <w:spacing w:before="120" w:after="120" w:line="240" w:lineRule="auto"/>
        <w:ind w:firstLine="709"/>
        <w:jc w:val="both"/>
        <w:rPr>
          <w:rFonts w:asciiTheme="majorHAnsi" w:hAnsiTheme="majorHAnsi" w:cstheme="majorHAnsi"/>
          <w:sz w:val="18"/>
          <w:szCs w:val="20"/>
        </w:rPr>
      </w:pPr>
      <w:r w:rsidRPr="006070EA">
        <w:rPr>
          <w:rFonts w:asciiTheme="majorHAnsi" w:hAnsiTheme="majorHAnsi" w:cstheme="majorHAnsi"/>
          <w:sz w:val="18"/>
          <w:szCs w:val="20"/>
        </w:rPr>
        <w:t xml:space="preserve">Na základě výše uvedeného stanoviska nebylo s ohledem na § 47 odst. 3 zákona č. 183/2006 Sb., o územním plánování a stavebním řádu, ve znění pozdějších předpisů, zpracováno vyhodnocení vlivů územního plánu </w:t>
      </w:r>
      <w:r w:rsidR="00C210D1" w:rsidRPr="006070EA">
        <w:rPr>
          <w:rFonts w:asciiTheme="majorHAnsi" w:hAnsiTheme="majorHAnsi" w:cstheme="majorHAnsi"/>
          <w:sz w:val="18"/>
          <w:szCs w:val="20"/>
        </w:rPr>
        <w:t xml:space="preserve">Kostomlaty nad Labem </w:t>
      </w:r>
      <w:r w:rsidRPr="006070EA">
        <w:rPr>
          <w:rFonts w:asciiTheme="majorHAnsi" w:hAnsiTheme="majorHAnsi" w:cstheme="majorHAnsi"/>
          <w:sz w:val="18"/>
          <w:szCs w:val="20"/>
        </w:rPr>
        <w:t>na udržitelný rozvoj území.</w:t>
      </w:r>
    </w:p>
    <w:p w14:paraId="24EAE94B" w14:textId="77777777" w:rsidR="001373C1" w:rsidRPr="006070EA" w:rsidRDefault="001373C1" w:rsidP="00A214E9">
      <w:pPr>
        <w:pStyle w:val="Odstavecseseznamem"/>
        <w:keepNext/>
        <w:keepLines/>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477" w:name="_Toc424119863"/>
      <w:bookmarkStart w:id="478" w:name="_Toc204678244"/>
      <w:r w:rsidRPr="006070EA">
        <w:rPr>
          <w:rFonts w:asciiTheme="majorHAnsi" w:hAnsiTheme="majorHAnsi" w:cstheme="majorHAnsi"/>
          <w:b/>
          <w:sz w:val="24"/>
          <w:szCs w:val="28"/>
        </w:rPr>
        <w:t xml:space="preserve">STANOVISKO KRAJSKÉHO </w:t>
      </w:r>
      <w:r w:rsidR="00B20237" w:rsidRPr="006070EA">
        <w:rPr>
          <w:rFonts w:asciiTheme="majorHAnsi" w:hAnsiTheme="majorHAnsi" w:cstheme="majorHAnsi"/>
          <w:b/>
          <w:sz w:val="24"/>
          <w:szCs w:val="28"/>
        </w:rPr>
        <w:t>ÚŘADU PODLE § 50 ODST. 5 STAVEBNÍHO ZÁKONA</w:t>
      </w:r>
      <w:bookmarkEnd w:id="477"/>
      <w:bookmarkEnd w:id="478"/>
    </w:p>
    <w:p w14:paraId="6304A9F3" w14:textId="77777777" w:rsidR="00B20237" w:rsidRPr="006070EA" w:rsidRDefault="00B20237" w:rsidP="00A214E9">
      <w:pPr>
        <w:keepNext/>
        <w:keepLines/>
        <w:spacing w:after="120" w:line="240" w:lineRule="auto"/>
        <w:ind w:firstLine="709"/>
        <w:rPr>
          <w:rFonts w:asciiTheme="majorHAnsi" w:hAnsiTheme="majorHAnsi" w:cstheme="majorHAnsi"/>
          <w:i/>
          <w:sz w:val="18"/>
          <w:szCs w:val="20"/>
        </w:rPr>
      </w:pPr>
      <w:r w:rsidRPr="006070EA">
        <w:rPr>
          <w:rFonts w:asciiTheme="majorHAnsi" w:hAnsiTheme="majorHAnsi" w:cstheme="majorHAnsi"/>
          <w:i/>
          <w:sz w:val="18"/>
          <w:szCs w:val="20"/>
        </w:rPr>
        <w:t>Zákon č. 183/2006 Sb., § 53, odst. 5 c)</w:t>
      </w:r>
    </w:p>
    <w:p w14:paraId="44F8C8F6" w14:textId="77777777" w:rsidR="00B20237" w:rsidRPr="006070EA" w:rsidRDefault="00B20237" w:rsidP="00A214E9">
      <w:pPr>
        <w:keepNext/>
        <w:keepLines/>
        <w:spacing w:after="120" w:line="240" w:lineRule="auto"/>
        <w:ind w:firstLine="709"/>
        <w:rPr>
          <w:rFonts w:asciiTheme="majorHAnsi" w:hAnsiTheme="majorHAnsi" w:cstheme="majorHAnsi"/>
          <w:b/>
          <w:i/>
          <w:sz w:val="18"/>
          <w:szCs w:val="20"/>
        </w:rPr>
      </w:pPr>
      <w:r w:rsidRPr="006070EA">
        <w:rPr>
          <w:rFonts w:asciiTheme="majorHAnsi" w:hAnsiTheme="majorHAnsi" w:cstheme="majorHAnsi"/>
          <w:b/>
          <w:i/>
          <w:sz w:val="18"/>
          <w:szCs w:val="20"/>
        </w:rPr>
        <w:t>Vkládá pořizovatel.</w:t>
      </w:r>
    </w:p>
    <w:p w14:paraId="67C2F0B1" w14:textId="77777777" w:rsidR="00B64E3A" w:rsidRPr="00B64E3A" w:rsidRDefault="00B64E3A" w:rsidP="00B64E3A">
      <w:pPr>
        <w:keepLines/>
        <w:spacing w:line="240" w:lineRule="auto"/>
        <w:ind w:firstLine="709"/>
        <w:jc w:val="both"/>
        <w:rPr>
          <w:rFonts w:asciiTheme="majorHAnsi" w:hAnsiTheme="majorHAnsi" w:cstheme="majorHAnsi"/>
          <w:sz w:val="18"/>
          <w:szCs w:val="20"/>
        </w:rPr>
      </w:pPr>
      <w:r w:rsidRPr="00B64E3A">
        <w:rPr>
          <w:rFonts w:asciiTheme="majorHAnsi" w:hAnsiTheme="majorHAnsi" w:cstheme="majorHAnsi"/>
          <w:sz w:val="18"/>
          <w:szCs w:val="20"/>
        </w:rPr>
        <w:t>Krajský úřad Středočeského kraje, oddělení ochrany přírody ve svém stanovisko ze dne 8.4.2019 vyloučil významný vliv koncepce územního plánu na předmět ochrany nebo celistvost evropsky významných lokalit nebo ptačích oblastí. Vyhodnocení vlivů územního plánu na udržitelný rozvoj území a posouzení vlivů na životní prostředí nebylo zpracováno.</w:t>
      </w:r>
    </w:p>
    <w:p w14:paraId="683446F5" w14:textId="77777777" w:rsidR="00B20237" w:rsidRPr="006070EA" w:rsidRDefault="00B20237" w:rsidP="009E33CB">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479" w:name="_Toc424119864"/>
      <w:bookmarkStart w:id="480" w:name="_Toc204678245"/>
      <w:r w:rsidRPr="006070EA">
        <w:rPr>
          <w:rFonts w:asciiTheme="majorHAnsi" w:hAnsiTheme="majorHAnsi" w:cstheme="majorHAnsi"/>
          <w:b/>
          <w:sz w:val="24"/>
          <w:szCs w:val="28"/>
        </w:rPr>
        <w:t>SDĚLENÍ, JAK BYLO STANOVISKO KRAJSKÉHO ÚŘADU PODLE § 50 ODST. 5 STAVEBNÍHO ZÁKONA ZOHLEDNĚNO, S UVEDENÍM ZÁVAŽNÝCH DŮVODŮ, POKUD NĚKTERÉ POŽADAVKY NEBO PODMÍNKY ZOHLEDNĚNY NEBYLY</w:t>
      </w:r>
      <w:bookmarkEnd w:id="479"/>
      <w:bookmarkEnd w:id="480"/>
    </w:p>
    <w:p w14:paraId="38931F5D" w14:textId="77777777" w:rsidR="00E84612" w:rsidRPr="006070EA" w:rsidRDefault="00E84612" w:rsidP="009E33CB">
      <w:pPr>
        <w:spacing w:after="120" w:line="240" w:lineRule="auto"/>
        <w:ind w:firstLine="709"/>
        <w:jc w:val="both"/>
        <w:rPr>
          <w:rFonts w:asciiTheme="majorHAnsi" w:hAnsiTheme="majorHAnsi" w:cstheme="majorHAnsi"/>
          <w:i/>
          <w:sz w:val="18"/>
          <w:szCs w:val="20"/>
        </w:rPr>
      </w:pPr>
      <w:r w:rsidRPr="006070EA">
        <w:rPr>
          <w:rFonts w:asciiTheme="majorHAnsi" w:hAnsiTheme="majorHAnsi" w:cstheme="majorHAnsi"/>
          <w:i/>
          <w:sz w:val="18"/>
          <w:szCs w:val="20"/>
        </w:rPr>
        <w:t>Zákon č. 183/2006 Sb., § 53, odst. 5 c)</w:t>
      </w:r>
    </w:p>
    <w:p w14:paraId="7F26FE02" w14:textId="77777777" w:rsidR="00E84612" w:rsidRPr="006070EA" w:rsidRDefault="00E84612" w:rsidP="009E33CB">
      <w:pPr>
        <w:spacing w:after="120" w:line="240" w:lineRule="auto"/>
        <w:ind w:firstLine="709"/>
        <w:jc w:val="both"/>
        <w:rPr>
          <w:rFonts w:asciiTheme="majorHAnsi" w:hAnsiTheme="majorHAnsi" w:cstheme="majorHAnsi"/>
          <w:b/>
          <w:i/>
          <w:sz w:val="18"/>
          <w:szCs w:val="20"/>
        </w:rPr>
      </w:pPr>
      <w:r w:rsidRPr="006070EA">
        <w:rPr>
          <w:rFonts w:asciiTheme="majorHAnsi" w:hAnsiTheme="majorHAnsi" w:cstheme="majorHAnsi"/>
          <w:b/>
          <w:i/>
          <w:sz w:val="18"/>
          <w:szCs w:val="20"/>
        </w:rPr>
        <w:t>Zpracovává pořizovatel.</w:t>
      </w:r>
    </w:p>
    <w:p w14:paraId="15EBA105" w14:textId="0647FE59" w:rsidR="00E84612" w:rsidRPr="00B64E3A" w:rsidRDefault="00B64E3A" w:rsidP="00300530">
      <w:pPr>
        <w:spacing w:after="120" w:line="240" w:lineRule="auto"/>
        <w:ind w:firstLine="709"/>
        <w:jc w:val="both"/>
        <w:rPr>
          <w:rFonts w:asciiTheme="majorHAnsi" w:hAnsiTheme="majorHAnsi" w:cstheme="majorHAnsi"/>
          <w:sz w:val="18"/>
          <w:szCs w:val="20"/>
        </w:rPr>
      </w:pPr>
      <w:r w:rsidRPr="00B64E3A">
        <w:rPr>
          <w:rFonts w:asciiTheme="majorHAnsi" w:hAnsiTheme="majorHAnsi" w:cstheme="majorHAnsi"/>
          <w:sz w:val="18"/>
          <w:szCs w:val="20"/>
        </w:rPr>
        <w:t>Stanovisko nebylo vydáno, viz kapitola 14.</w:t>
      </w:r>
    </w:p>
    <w:p w14:paraId="0B8CEDE6" w14:textId="77777777" w:rsidR="00FE5538" w:rsidRPr="006070EA" w:rsidRDefault="003716AF" w:rsidP="00487210">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481" w:name="_Toc424119888"/>
      <w:bookmarkStart w:id="482" w:name="_Toc204678246"/>
      <w:r w:rsidRPr="006070EA">
        <w:rPr>
          <w:rFonts w:asciiTheme="majorHAnsi" w:hAnsiTheme="majorHAnsi" w:cstheme="majorHAnsi"/>
          <w:b/>
          <w:sz w:val="24"/>
          <w:szCs w:val="28"/>
        </w:rPr>
        <w:lastRenderedPageBreak/>
        <w:t>ROZHODNUTÍ O NÁMITKÁCH A JEJICH ODŮVODNĚNÍ</w:t>
      </w:r>
      <w:bookmarkEnd w:id="481"/>
      <w:bookmarkEnd w:id="482"/>
    </w:p>
    <w:p w14:paraId="388F430F" w14:textId="77777777" w:rsidR="003716AF" w:rsidRPr="006070EA" w:rsidRDefault="003716AF" w:rsidP="00487210">
      <w:pPr>
        <w:keepNext/>
        <w:spacing w:after="120" w:line="240" w:lineRule="auto"/>
        <w:ind w:firstLine="709"/>
        <w:rPr>
          <w:rFonts w:asciiTheme="majorHAnsi" w:hAnsiTheme="majorHAnsi" w:cstheme="majorHAnsi"/>
          <w:i/>
          <w:sz w:val="18"/>
          <w:szCs w:val="20"/>
        </w:rPr>
      </w:pPr>
      <w:r w:rsidRPr="006070EA">
        <w:rPr>
          <w:rFonts w:asciiTheme="majorHAnsi" w:hAnsiTheme="majorHAnsi" w:cstheme="majorHAnsi"/>
          <w:i/>
          <w:sz w:val="18"/>
          <w:szCs w:val="20"/>
        </w:rPr>
        <w:t>Zákon č. 500/2004 Sb., správní řád, § 172</w:t>
      </w:r>
    </w:p>
    <w:p w14:paraId="6B0C5A42" w14:textId="77777777" w:rsidR="003716AF" w:rsidRPr="006070EA" w:rsidRDefault="003716AF" w:rsidP="00487210">
      <w:pPr>
        <w:spacing w:after="120" w:line="240" w:lineRule="auto"/>
        <w:ind w:firstLine="709"/>
        <w:rPr>
          <w:rFonts w:asciiTheme="majorHAnsi" w:hAnsiTheme="majorHAnsi" w:cstheme="majorHAnsi"/>
          <w:b/>
          <w:i/>
          <w:sz w:val="18"/>
          <w:szCs w:val="20"/>
        </w:rPr>
      </w:pPr>
      <w:r w:rsidRPr="006070EA">
        <w:rPr>
          <w:rFonts w:asciiTheme="majorHAnsi" w:hAnsiTheme="majorHAnsi" w:cstheme="majorHAnsi"/>
          <w:b/>
          <w:i/>
          <w:sz w:val="18"/>
          <w:szCs w:val="20"/>
        </w:rPr>
        <w:t>Zpracovává pořizovatel.</w:t>
      </w:r>
    </w:p>
    <w:p w14:paraId="2E10D38B" w14:textId="552D5673" w:rsidR="00CD657D" w:rsidRPr="00CD657D" w:rsidRDefault="00CD657D" w:rsidP="00CD657D">
      <w:pPr>
        <w:spacing w:after="120" w:line="240" w:lineRule="auto"/>
        <w:ind w:firstLine="709"/>
        <w:jc w:val="both"/>
        <w:rPr>
          <w:rFonts w:asciiTheme="majorHAnsi" w:hAnsiTheme="majorHAnsi" w:cstheme="majorHAnsi"/>
          <w:sz w:val="18"/>
          <w:szCs w:val="20"/>
        </w:rPr>
      </w:pPr>
      <w:r w:rsidRPr="00CD657D">
        <w:rPr>
          <w:rFonts w:asciiTheme="majorHAnsi" w:hAnsiTheme="majorHAnsi" w:cstheme="majorHAnsi"/>
          <w:sz w:val="18"/>
          <w:szCs w:val="20"/>
        </w:rPr>
        <w:t>Rozhodnutí o námitkách k ÚP Kostomlaty nad Labem</w:t>
      </w:r>
      <w:r>
        <w:rPr>
          <w:rFonts w:asciiTheme="majorHAnsi" w:hAnsiTheme="majorHAnsi" w:cstheme="majorHAnsi"/>
          <w:sz w:val="18"/>
          <w:szCs w:val="20"/>
        </w:rPr>
        <w:t>:</w:t>
      </w:r>
    </w:p>
    <w:tbl>
      <w:tblPr>
        <w:tblStyle w:val="Mkatabulky"/>
        <w:tblW w:w="9214" w:type="dxa"/>
        <w:tblInd w:w="-5" w:type="dxa"/>
        <w:tblLook w:val="04A0" w:firstRow="1" w:lastRow="0" w:firstColumn="1" w:lastColumn="0" w:noHBand="0" w:noVBand="1"/>
      </w:tblPr>
      <w:tblGrid>
        <w:gridCol w:w="6096"/>
        <w:gridCol w:w="3118"/>
      </w:tblGrid>
      <w:tr w:rsidR="00BC4A0C" w:rsidRPr="00BC4A0C" w14:paraId="337CE75A" w14:textId="77777777" w:rsidTr="00BC4A0C">
        <w:trPr>
          <w:trHeight w:val="498"/>
          <w:tblHeader/>
        </w:trPr>
        <w:tc>
          <w:tcPr>
            <w:tcW w:w="6096" w:type="dxa"/>
          </w:tcPr>
          <w:p w14:paraId="7951DF7B"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Číslo / Podatel / námitka / odůvodnění</w:t>
            </w:r>
          </w:p>
        </w:tc>
        <w:tc>
          <w:tcPr>
            <w:tcW w:w="3118" w:type="dxa"/>
          </w:tcPr>
          <w:p w14:paraId="54F76F7D" w14:textId="5E198B2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w:t>
            </w:r>
          </w:p>
        </w:tc>
      </w:tr>
      <w:tr w:rsidR="00BC4A0C" w:rsidRPr="00BC4A0C" w14:paraId="43359285" w14:textId="77777777" w:rsidTr="00CD657D">
        <w:tc>
          <w:tcPr>
            <w:tcW w:w="6096" w:type="dxa"/>
          </w:tcPr>
          <w:p w14:paraId="59C43279" w14:textId="77777777" w:rsidR="00BC4A0C" w:rsidRPr="00BC4A0C" w:rsidRDefault="00BC4A0C" w:rsidP="00BC4A0C">
            <w:pPr>
              <w:pStyle w:val="Odstavecseseznamem"/>
              <w:numPr>
                <w:ilvl w:val="0"/>
                <w:numId w:val="56"/>
              </w:numPr>
              <w:rPr>
                <w:rFonts w:asciiTheme="majorHAnsi" w:hAnsiTheme="majorHAnsi" w:cstheme="majorHAnsi"/>
                <w:b/>
                <w:bCs/>
                <w:sz w:val="18"/>
                <w:szCs w:val="18"/>
              </w:rPr>
            </w:pPr>
            <w:r w:rsidRPr="00BC4A0C">
              <w:rPr>
                <w:rFonts w:asciiTheme="majorHAnsi" w:hAnsiTheme="majorHAnsi" w:cstheme="majorHAnsi"/>
                <w:b/>
                <w:bCs/>
                <w:sz w:val="18"/>
                <w:szCs w:val="18"/>
              </w:rPr>
              <w:t xml:space="preserve">Zajan Zdeněk, Lány 12, Zajanová Miroslava, Zajan Jakub </w:t>
            </w:r>
          </w:p>
          <w:p w14:paraId="56D1306F"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323C026B" w14:textId="46016E45" w:rsidR="00BC4A0C" w:rsidRPr="00BC4A0C" w:rsidRDefault="00BC4A0C" w:rsidP="00BC4A0C">
            <w:pPr>
              <w:rPr>
                <w:rFonts w:asciiTheme="majorHAnsi" w:hAnsiTheme="majorHAnsi" w:cstheme="majorHAnsi"/>
                <w:b/>
                <w:bCs/>
                <w:sz w:val="18"/>
                <w:szCs w:val="18"/>
              </w:rPr>
            </w:pPr>
          </w:p>
        </w:tc>
      </w:tr>
      <w:tr w:rsidR="00BC4A0C" w:rsidRPr="00BC4A0C" w14:paraId="0D76EEF9" w14:textId="77777777" w:rsidTr="00CD657D">
        <w:tc>
          <w:tcPr>
            <w:tcW w:w="6096" w:type="dxa"/>
          </w:tcPr>
          <w:p w14:paraId="7942D560"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 xml:space="preserve">Námitka: </w:t>
            </w:r>
          </w:p>
          <w:p w14:paraId="1400B4A5"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Nesouhlasím s rozsahem a umístěním koridoru CNU.KDZ1, konkrétně umístění přeložky III/3317. Přeložka je nevhodně umístěná a snižuje ekonomickou hodnotu mého pozemku. Omezuje také kvalitu pobývání na mém pozemku, rekreaci obyvatel a život zvířat. Omezuje možnost výstavby domu a v případě realizace přeložky zamezuje možnosti výstavby domu.</w:t>
            </w:r>
          </w:p>
        </w:tc>
        <w:tc>
          <w:tcPr>
            <w:tcW w:w="3118" w:type="dxa"/>
          </w:tcPr>
          <w:p w14:paraId="7A1EDFA6"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 Koridor CNU.KDZ1 je ponechán.</w:t>
            </w:r>
          </w:p>
        </w:tc>
      </w:tr>
      <w:tr w:rsidR="00BC4A0C" w:rsidRPr="00BC4A0C" w14:paraId="0FFF2C2A" w14:textId="77777777" w:rsidTr="00CD657D">
        <w:tc>
          <w:tcPr>
            <w:tcW w:w="6096" w:type="dxa"/>
          </w:tcPr>
          <w:p w14:paraId="26BA901D"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 námitky:</w:t>
            </w:r>
          </w:p>
        </w:tc>
        <w:tc>
          <w:tcPr>
            <w:tcW w:w="3118" w:type="dxa"/>
          </w:tcPr>
          <w:p w14:paraId="5E377137"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w:t>
            </w:r>
          </w:p>
        </w:tc>
      </w:tr>
      <w:tr w:rsidR="00BC4A0C" w:rsidRPr="00BC4A0C" w14:paraId="567064E2" w14:textId="77777777" w:rsidTr="00CD657D">
        <w:trPr>
          <w:trHeight w:val="1559"/>
        </w:trPr>
        <w:tc>
          <w:tcPr>
            <w:tcW w:w="6096" w:type="dxa"/>
          </w:tcPr>
          <w:p w14:paraId="4B4E114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Součástí návrhu územního plánu je koridor CDU.KDZ1 konkrétně plánovaná přeložka silnice III/3317. Severní varianta přeložky (v návrhu ÚP psána jako přeložka III/3317 – varianta sever) přímo sousedí s mým pozemkem, kde plánuji výstavbu rodinného domu pro syna. Výstavba je plánována desítky let v souladu s platným ÚP. Výstavba silnice na pozemku vedle mého, povede k nárůstu hluku a emisí škodlivých látek do ovzduší, ale i vnikání škodlivých imisí na můj pozemek. To povede ke snížení ekonomické hodnoty pozemku a zhoršení kvality bydlení na mém pozemku. </w:t>
            </w:r>
          </w:p>
          <w:p w14:paraId="0CFA090C"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Realizace přeložky vyústí ve vyvlastnění části parcely 276/10, což znemožní plány na výstavbu rodinného domu, neboť podle platných předpisů není možné realizovat stavbu rodinného domu na pozemku o rozloze menší než 1000 m2. Jako rodinný kolektiv jsme vlastníky tří sousedících parcel 276/10, 276/11, 276/12 a dvou dalších parcel situovaných naproti těmto. Naše rodina má v úmyslu setrvat na tomto místě a postavit zde domy pro vlastní potřebu. Jsem rodič pěti synů. Hypotetická kompenzace za pozemek v případě vyvlastnění by narušila náš záměr žít jako rodina pohromadě. </w:t>
            </w:r>
          </w:p>
          <w:p w14:paraId="6F39B792"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Polní cestu využívám pro rekreaci. Realizací přeložky se místo stane pro rekreaci nevhodným. </w:t>
            </w:r>
          </w:p>
          <w:p w14:paraId="14444E4F"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Jsem spoluvlastníkem pozemku č. 276/4, přes který je v návrhu ÚP nakreslen koridor CNU.KDZ1, konkrétně se jedná o plánovanou přeložku silnice III/3317 – varianta sever. Tento pozemek zemědělsky obhospodařujeme společně s rodinou. Je pro nás výhodně strategicky umístěn v blízkosti našeho statku se zemědělskou technikou a našeho bydliště. Realizace přeložky by zbytečně zatěžovala přírodu zastavěnou plochou a znemožnila by nám hospodařit na půdě s třídou ochrany I. tato půda má bodovou výnosnost 91 ze 100 bodů, což je řadí mezi nejcennější půdy, které lze odejmout ze zemědělského půdního fondu pouze výjimečně.</w:t>
            </w:r>
          </w:p>
          <w:p w14:paraId="1B7CE054"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 Jedním z důvodů návrhu nového ÚP je úprava železniční trati spojená s rušením železničního přejezdu a úpravy dopravní dostupnosti z Kostomlat do přilehlých obcí. Z tohoto hlediska ÚP shledávám jako nedomyšlený a velmi omezující. Rozsah koridoru umožňuje několik variant řešení, které omezují všechny vlastníky pozemků (spolu s mojí osobou) dotčených tímto koridorem. Zjednodušeně řečeno: jak a kdy se o variantě projektu přeložky rozhodne. Do této doby majitelé pozemků nemohou nakládat s pozemky tak, jak jim je umožněno stávajícím územním plánem. V případě přeložek III/3317 varianta sever a střed. Je řešení neekonomické a nepřiměřeně zatěžuje životní prostředí z hlediska přechodu zvěře a zastavěné plochy na půdě s třídou ochrany I. s bodovou výnosností 91 za 100 </w:t>
            </w:r>
            <w:proofErr w:type="gramStart"/>
            <w:r w:rsidRPr="00BC4A0C">
              <w:rPr>
                <w:rFonts w:asciiTheme="majorHAnsi" w:hAnsiTheme="majorHAnsi" w:cstheme="majorHAnsi"/>
                <w:sz w:val="18"/>
                <w:szCs w:val="18"/>
              </w:rPr>
              <w:t>bodů,</w:t>
            </w:r>
            <w:proofErr w:type="gramEnd"/>
            <w:r w:rsidRPr="00BC4A0C">
              <w:rPr>
                <w:rFonts w:asciiTheme="majorHAnsi" w:hAnsiTheme="majorHAnsi" w:cstheme="majorHAnsi"/>
                <w:sz w:val="18"/>
                <w:szCs w:val="18"/>
              </w:rPr>
              <w:t xml:space="preserve"> neboli nejcennější půdy, které lze odejmout ze ZPF pouze výjimečně. Jako lepší varianta, řešící všechny důvody mé </w:t>
            </w:r>
            <w:proofErr w:type="gramStart"/>
            <w:r w:rsidRPr="00BC4A0C">
              <w:rPr>
                <w:rFonts w:asciiTheme="majorHAnsi" w:hAnsiTheme="majorHAnsi" w:cstheme="majorHAnsi"/>
                <w:sz w:val="18"/>
                <w:szCs w:val="18"/>
              </w:rPr>
              <w:t>námitky  se</w:t>
            </w:r>
            <w:proofErr w:type="gramEnd"/>
            <w:r w:rsidRPr="00BC4A0C">
              <w:rPr>
                <w:rFonts w:asciiTheme="majorHAnsi" w:hAnsiTheme="majorHAnsi" w:cstheme="majorHAnsi"/>
                <w:sz w:val="18"/>
                <w:szCs w:val="18"/>
              </w:rPr>
              <w:t xml:space="preserve"> nabízí </w:t>
            </w:r>
            <w:proofErr w:type="gramStart"/>
            <w:r w:rsidRPr="00BC4A0C">
              <w:rPr>
                <w:rFonts w:asciiTheme="majorHAnsi" w:hAnsiTheme="majorHAnsi" w:cstheme="majorHAnsi"/>
                <w:sz w:val="18"/>
                <w:szCs w:val="18"/>
              </w:rPr>
              <w:t>zachovat  pouze</w:t>
            </w:r>
            <w:proofErr w:type="gramEnd"/>
            <w:r w:rsidRPr="00BC4A0C">
              <w:rPr>
                <w:rFonts w:asciiTheme="majorHAnsi" w:hAnsiTheme="majorHAnsi" w:cstheme="majorHAnsi"/>
                <w:sz w:val="18"/>
                <w:szCs w:val="18"/>
              </w:rPr>
              <w:t xml:space="preserve"> variantu jih, spolu s řešením podjezdu do Kostomlat nad Labem v ulici Hronětická a úpravou nájezdu u obce Rozkoš (kde by se nabízelo také více variant řešení). Varianta jih není omezující pro přechod zvěře (nachází se vedle železniční trati) a navazovala by na stávající komunikaci čím by nově zastavěná plocha využila zastavěnou plochu stávající.</w:t>
            </w:r>
          </w:p>
        </w:tc>
        <w:tc>
          <w:tcPr>
            <w:tcW w:w="3118" w:type="dxa"/>
          </w:tcPr>
          <w:p w14:paraId="20B6AFC3"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Koridor CNU.KDZ1pro přeložku silnice III/3317, související s modernizací železniční trati je vymezen podle podkladů Správy železnic. S. p., konkrétně z technické studie zpracované projekční kanceláří SUDOP, a. s. Koridor je vymezen ve třech variantách, protože v současné době není známo přesné umístění všech dopravních staveb souvisejících se záměrem a je nutné je prověřit a zpřesnit v rámci podrobnějších podkladů a dokumentací. Při realizaci záměru ve výsledné zvolené variantě pozbývají podmínky pro rozhodování v koridoru KDZ1 platnosti. Pozemky, které nebudou pro dopravní záměr využity, bude možné využít pro funkci dle stanovené funkční plochy. </w:t>
            </w:r>
          </w:p>
          <w:p w14:paraId="1B819CFD" w14:textId="77777777" w:rsidR="00BC4A0C" w:rsidRPr="00BC4A0C" w:rsidRDefault="00BC4A0C" w:rsidP="00BC4A0C">
            <w:pPr>
              <w:rPr>
                <w:rFonts w:asciiTheme="majorHAnsi" w:hAnsiTheme="majorHAnsi" w:cstheme="majorHAnsi"/>
                <w:sz w:val="18"/>
                <w:szCs w:val="18"/>
              </w:rPr>
            </w:pPr>
          </w:p>
        </w:tc>
      </w:tr>
      <w:tr w:rsidR="00BC4A0C" w:rsidRPr="00BC4A0C" w14:paraId="05FBCDF3" w14:textId="77777777" w:rsidTr="00CD657D">
        <w:tc>
          <w:tcPr>
            <w:tcW w:w="6096" w:type="dxa"/>
          </w:tcPr>
          <w:p w14:paraId="30DB1D2D"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lastRenderedPageBreak/>
              <w:t>Hladík Jiří, Lány 62</w:t>
            </w:r>
          </w:p>
          <w:p w14:paraId="60FB107A" w14:textId="77777777" w:rsidR="00BC4A0C" w:rsidRPr="00BC4A0C" w:rsidRDefault="00BC4A0C" w:rsidP="00BC4A0C">
            <w:pPr>
              <w:rPr>
                <w:rFonts w:asciiTheme="majorHAnsi" w:hAnsiTheme="majorHAnsi" w:cstheme="majorHAnsi"/>
                <w:sz w:val="18"/>
                <w:szCs w:val="18"/>
              </w:rPr>
            </w:pPr>
          </w:p>
        </w:tc>
        <w:tc>
          <w:tcPr>
            <w:tcW w:w="3118" w:type="dxa"/>
          </w:tcPr>
          <w:p w14:paraId="1AB3FCF4"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b/>
                <w:bCs/>
                <w:sz w:val="18"/>
                <w:szCs w:val="18"/>
              </w:rPr>
              <w:t>Rozhodnutí:</w:t>
            </w:r>
          </w:p>
        </w:tc>
      </w:tr>
      <w:tr w:rsidR="00BC4A0C" w:rsidRPr="00BC4A0C" w14:paraId="3FC4A64E" w14:textId="77777777" w:rsidTr="00CD657D">
        <w:tc>
          <w:tcPr>
            <w:tcW w:w="6096" w:type="dxa"/>
          </w:tcPr>
          <w:p w14:paraId="28188453"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b/>
                <w:bCs/>
                <w:sz w:val="18"/>
                <w:szCs w:val="18"/>
              </w:rPr>
              <w:t>Námitka:</w:t>
            </w:r>
            <w:r w:rsidRPr="00BC4A0C">
              <w:rPr>
                <w:rFonts w:asciiTheme="majorHAnsi" w:hAnsiTheme="majorHAnsi" w:cstheme="majorHAnsi"/>
                <w:sz w:val="18"/>
                <w:szCs w:val="18"/>
              </w:rPr>
              <w:t xml:space="preserve"> shodná s námitkou č. I.</w:t>
            </w:r>
          </w:p>
        </w:tc>
        <w:tc>
          <w:tcPr>
            <w:tcW w:w="3118" w:type="dxa"/>
          </w:tcPr>
          <w:p w14:paraId="4F991B9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tc>
      </w:tr>
      <w:tr w:rsidR="00BC4A0C" w:rsidRPr="00BC4A0C" w14:paraId="70BEF6C5" w14:textId="77777777" w:rsidTr="00CD657D">
        <w:tc>
          <w:tcPr>
            <w:tcW w:w="6096" w:type="dxa"/>
          </w:tcPr>
          <w:p w14:paraId="762CE37C"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 námitky shodné s nám. č. I., kromě odstavců 2 a 3:</w:t>
            </w:r>
          </w:p>
        </w:tc>
        <w:tc>
          <w:tcPr>
            <w:tcW w:w="3118" w:type="dxa"/>
          </w:tcPr>
          <w:p w14:paraId="3320147E"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 viz námitka č. I.</w:t>
            </w:r>
          </w:p>
        </w:tc>
      </w:tr>
      <w:tr w:rsidR="00BC4A0C" w:rsidRPr="00BC4A0C" w14:paraId="3C790E65" w14:textId="77777777" w:rsidTr="00CD657D">
        <w:tc>
          <w:tcPr>
            <w:tcW w:w="6096" w:type="dxa"/>
          </w:tcPr>
          <w:p w14:paraId="690DCAF7"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Jsem také spoluvlastníkem pozemků s parc. č. 378, 379, 275/6 přes které je přeložka plánována. Se spoluvlastníky poskytujeme možnost využívat polní cestu pro rekreaci, například pro procházky za Hronětický náhon a do Rozkoše. Realizací přeložky se místo stane pro rekreaci nevhodným.</w:t>
            </w:r>
          </w:p>
          <w:p w14:paraId="5130590B"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Realizace přeložky povede k odstranění vegetačního pásu, který se táhne od západu k východu podél polní cesty (také pozemky s parcelním číslem: 378, 379, 275/6). tento pás tvořený stromy a keři poskytuje úkryt pro zvířata a podporuje biodiverzitu. Na těchto pozemcích mám umístěných 6 úlů pro včely. Vzhledem k umístění na jih, v případě přeložky by taková varianta vedle mého pozemku nešla realizovat a budu nucen se včelařením skončit. Přeložka také vytvoří překážku, ztěžující pohyb mezi poli. V případě varianty jih by překážkou nebyla.</w:t>
            </w:r>
          </w:p>
          <w:p w14:paraId="46D4E9BD" w14:textId="77777777" w:rsidR="00BC4A0C" w:rsidRPr="00BC4A0C" w:rsidRDefault="00BC4A0C" w:rsidP="00BC4A0C">
            <w:pPr>
              <w:rPr>
                <w:rFonts w:asciiTheme="majorHAnsi" w:hAnsiTheme="majorHAnsi" w:cstheme="majorHAnsi"/>
                <w:sz w:val="18"/>
                <w:szCs w:val="18"/>
              </w:rPr>
            </w:pPr>
          </w:p>
        </w:tc>
        <w:tc>
          <w:tcPr>
            <w:tcW w:w="3118" w:type="dxa"/>
          </w:tcPr>
          <w:p w14:paraId="7117E354" w14:textId="77777777" w:rsidR="00BC4A0C" w:rsidRPr="00BC4A0C" w:rsidRDefault="00BC4A0C" w:rsidP="00BC4A0C">
            <w:pPr>
              <w:rPr>
                <w:rFonts w:asciiTheme="majorHAnsi" w:hAnsiTheme="majorHAnsi" w:cstheme="majorHAnsi"/>
                <w:sz w:val="18"/>
                <w:szCs w:val="18"/>
              </w:rPr>
            </w:pPr>
          </w:p>
        </w:tc>
      </w:tr>
      <w:tr w:rsidR="00BC4A0C" w:rsidRPr="00BC4A0C" w14:paraId="42551C3D" w14:textId="77777777" w:rsidTr="00CD657D">
        <w:tc>
          <w:tcPr>
            <w:tcW w:w="6096" w:type="dxa"/>
          </w:tcPr>
          <w:p w14:paraId="0B29FC5B"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t>Zajan Jakub, Zajanová Miroslava, Zajan Zdeněk, Hladík Jiří</w:t>
            </w:r>
          </w:p>
          <w:p w14:paraId="64C2E35B" w14:textId="77777777" w:rsidR="00BC4A0C" w:rsidRPr="00BC4A0C" w:rsidRDefault="00BC4A0C" w:rsidP="00BC4A0C">
            <w:pPr>
              <w:rPr>
                <w:rFonts w:asciiTheme="majorHAnsi" w:hAnsiTheme="majorHAnsi" w:cstheme="majorHAnsi"/>
                <w:sz w:val="18"/>
                <w:szCs w:val="18"/>
              </w:rPr>
            </w:pPr>
          </w:p>
        </w:tc>
        <w:tc>
          <w:tcPr>
            <w:tcW w:w="3118" w:type="dxa"/>
          </w:tcPr>
          <w:p w14:paraId="23991205" w14:textId="77777777" w:rsidR="00BC4A0C" w:rsidRPr="00BC4A0C" w:rsidRDefault="00BC4A0C" w:rsidP="00BC4A0C">
            <w:pPr>
              <w:rPr>
                <w:rFonts w:asciiTheme="majorHAnsi" w:hAnsiTheme="majorHAnsi" w:cstheme="majorHAnsi"/>
                <w:sz w:val="18"/>
                <w:szCs w:val="18"/>
              </w:rPr>
            </w:pPr>
          </w:p>
        </w:tc>
      </w:tr>
      <w:tr w:rsidR="00BC4A0C" w:rsidRPr="00BC4A0C" w14:paraId="2B284E25" w14:textId="77777777" w:rsidTr="00CD657D">
        <w:tc>
          <w:tcPr>
            <w:tcW w:w="6096" w:type="dxa"/>
          </w:tcPr>
          <w:p w14:paraId="56292281"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w:t>
            </w:r>
          </w:p>
          <w:p w14:paraId="031DA09C"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 Návrh územního plánu nedodržuje aktuálně platné Zásady územního rozvoje Středočeského kraje a dostatečně neřeší dopravní obslužnost. Zákon č. 283/2021 Sb. mluví o Zásadách územního rozvoje kraje jako o nadřazené dokumentaci územního plánu obce. V Zásadách územního rozvoje Středočeského kraje (úplné znění po vydání 1., 2., 3., 6., 7., 10. a 11.aktualizace) s pořadovým číslem poslední aktualizace 11. s datem nabytí účinnosti 4.1.2024 (dále jako ZÚR) se v článku 128 bod c) píše:</w:t>
            </w:r>
          </w:p>
          <w:p w14:paraId="22A729CF"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„koridor D322 tratí č. 231 a č. 072 Kolín – Lysá nad Labem – Liběchov (Děčín), modernizace se vymezuje v </w:t>
            </w:r>
            <w:proofErr w:type="gramStart"/>
            <w:r w:rsidRPr="00BC4A0C">
              <w:rPr>
                <w:rFonts w:asciiTheme="majorHAnsi" w:hAnsiTheme="majorHAnsi" w:cstheme="majorHAnsi"/>
                <w:sz w:val="18"/>
                <w:szCs w:val="18"/>
              </w:rPr>
              <w:t>šířce  60</w:t>
            </w:r>
            <w:proofErr w:type="gramEnd"/>
            <w:r w:rsidRPr="00BC4A0C">
              <w:rPr>
                <w:rFonts w:asciiTheme="majorHAnsi" w:hAnsiTheme="majorHAnsi" w:cstheme="majorHAnsi"/>
                <w:sz w:val="18"/>
                <w:szCs w:val="18"/>
              </w:rPr>
              <w:t xml:space="preserve"> m, s výjimkou: </w:t>
            </w:r>
          </w:p>
          <w:p w14:paraId="01FBB954"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Přeložky v úseku Nymburk – Kamenné Zboží, která se vymezuje v šířce 200 m</w:t>
            </w:r>
          </w:p>
          <w:p w14:paraId="31018ECD"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Libické spojky, která se vymezuje v proměnné šířce </w:t>
            </w:r>
            <w:proofErr w:type="gramStart"/>
            <w:r w:rsidRPr="00BC4A0C">
              <w:rPr>
                <w:rFonts w:asciiTheme="majorHAnsi" w:hAnsiTheme="majorHAnsi" w:cstheme="majorHAnsi"/>
                <w:sz w:val="18"/>
                <w:szCs w:val="18"/>
              </w:rPr>
              <w:t>60 – 180</w:t>
            </w:r>
            <w:proofErr w:type="gramEnd"/>
            <w:r w:rsidRPr="00BC4A0C">
              <w:rPr>
                <w:rFonts w:asciiTheme="majorHAnsi" w:hAnsiTheme="majorHAnsi" w:cstheme="majorHAnsi"/>
                <w:sz w:val="18"/>
                <w:szCs w:val="18"/>
              </w:rPr>
              <w:t xml:space="preserve"> m“</w:t>
            </w:r>
          </w:p>
          <w:p w14:paraId="23D02CA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Pro daný úsek řešený v návrhu územního plánu pro obec Kostomlaty nad Labem se tedy podle ZÚR vymezuje koridor 60 m. V daném návrhu je koridor vymezen ve větší šířce, než je psáno v ZÚR.</w:t>
            </w:r>
          </w:p>
          <w:p w14:paraId="044E263E"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Současný návrh přeložek, nadjezdů, podjezdů a dalších řešení týkajících se koridoru CNU.KDZ1 není dostatečně prověřený a nepříliš funkční. Proto v zájmu mého i ostatních občanů Kostomlat nad Labem a přilehlých obcí, namítám proti zpracování veřejně projednávaného návrhu územního plánu pro obec Kostomlaty nad Labem. Navrhuje podrobnější zpracování zmíněné problematiky přeložek, nadjezdů, podjezdů a dalších řešení týkajících se koridoru CNU.KDZ1 s větším zaměřením na zájmy občanů. Jako příklad k řešení se nabízí varianta podjezdu pro osobní vozy z obce Lány do obce Kostomlaty nad Labem do ulice Hronětická (viz Prostorové ověření možnosti podjezdu zaslané jako emailová příloha)</w:t>
            </w:r>
          </w:p>
          <w:p w14:paraId="451DB9A4" w14:textId="77777777" w:rsidR="00BC4A0C" w:rsidRPr="00BC4A0C" w:rsidRDefault="00BC4A0C" w:rsidP="00BC4A0C">
            <w:pPr>
              <w:pStyle w:val="Odstavecseseznamem"/>
              <w:numPr>
                <w:ilvl w:val="0"/>
                <w:numId w:val="51"/>
              </w:numPr>
              <w:rPr>
                <w:rFonts w:asciiTheme="majorHAnsi" w:hAnsiTheme="majorHAnsi" w:cstheme="majorHAnsi"/>
                <w:sz w:val="18"/>
                <w:szCs w:val="18"/>
              </w:rPr>
            </w:pPr>
            <w:r w:rsidRPr="00BC4A0C">
              <w:rPr>
                <w:rFonts w:asciiTheme="majorHAnsi" w:hAnsiTheme="majorHAnsi" w:cstheme="majorHAnsi"/>
                <w:sz w:val="18"/>
                <w:szCs w:val="18"/>
              </w:rPr>
              <w:t xml:space="preserve">Příloha č. 1 </w:t>
            </w:r>
          </w:p>
          <w:p w14:paraId="2067AD5C" w14:textId="77777777" w:rsidR="00BC4A0C" w:rsidRPr="00BC4A0C" w:rsidRDefault="00BC4A0C" w:rsidP="00BC4A0C">
            <w:pPr>
              <w:rPr>
                <w:rFonts w:asciiTheme="majorHAnsi" w:hAnsiTheme="majorHAnsi" w:cstheme="majorHAnsi"/>
                <w:sz w:val="18"/>
                <w:szCs w:val="18"/>
              </w:rPr>
            </w:pPr>
          </w:p>
        </w:tc>
        <w:tc>
          <w:tcPr>
            <w:tcW w:w="3118" w:type="dxa"/>
          </w:tcPr>
          <w:p w14:paraId="447261A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 xml:space="preserve">Rozhodnutí: </w:t>
            </w:r>
          </w:p>
          <w:p w14:paraId="731975EB"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 xml:space="preserve">Námitce se částečně vyhovuje, </w:t>
            </w:r>
            <w:bookmarkStart w:id="483" w:name="_Hlk175903331"/>
            <w:r w:rsidRPr="00BC4A0C">
              <w:rPr>
                <w:rFonts w:asciiTheme="majorHAnsi" w:hAnsiTheme="majorHAnsi" w:cstheme="majorHAnsi"/>
                <w:b/>
                <w:bCs/>
                <w:sz w:val="18"/>
                <w:szCs w:val="18"/>
              </w:rPr>
              <w:t xml:space="preserve">koridor CNU KDZ1 bude upraven v souladu s aktualizací ZÚR Středočeského kraje na šíři 60 m, současně bude vymezen nový železniční koridor dle požadavků Správy železnice, s. p. </w:t>
            </w:r>
            <w:bookmarkEnd w:id="483"/>
          </w:p>
          <w:p w14:paraId="32CDBD4C"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Další uvedené požadavky – podrobné zpracování přeložek, podjezdů, nadjezdů apod. - se zamítají.</w:t>
            </w:r>
          </w:p>
          <w:p w14:paraId="19E3C914"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52A5CE25"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Aktualizací č. 11 ZÚR Středočeského kraje, která nabyla účinnosti v lednu 2024, byl dopravní koridor D322 pro modernizaci železniční trati v úseku Kamenné Zboží – Lysá nad Labem vymezen v šířce 60 m. </w:t>
            </w:r>
            <w:bookmarkStart w:id="484" w:name="_Hlk175903429"/>
            <w:r w:rsidRPr="00BC4A0C">
              <w:rPr>
                <w:rFonts w:asciiTheme="majorHAnsi" w:hAnsiTheme="majorHAnsi" w:cstheme="majorHAnsi"/>
                <w:sz w:val="18"/>
                <w:szCs w:val="18"/>
              </w:rPr>
              <w:t>Koridor KDZ1 bude v návrhu územního plánu upraven na šířku 60 m dle ZÚR. Současně je však třeba zohlednit požadavky Správy železnic, s. p., a zachovat dostatečné plochy územní rezervy pro řešení staveb a opatření souvisejících s modernizací trati, např. křížení s vodními toky, s místními komunikacemi, lávek nebo podchodů pro pěší atd. Pro zajištění možnosti realizace těchto staveb a opatření bude vymezen nový dopravní koridor, podle podkladové technické studie SUDOP, a.s.</w:t>
            </w:r>
          </w:p>
          <w:bookmarkEnd w:id="484"/>
          <w:p w14:paraId="3DE23F07"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Konkrétní návrh podchodů, podjezdů nebo nadjezdů, souvisejících s modernizací železniční trati není možné řešit v návrhu územního plánu. Návrh těchto staveb je mimo podrobnost územního plánu. Obsah územního plánu je stanoven ve vyhlášce č. 500/2006 Sb., o územně analytických podkladech, územně plánovací dokumentaci a způsobu evidence územně plánovací činnosti, ve znění pozdějších předpisů, v příloze č. 7. Zde </w:t>
            </w:r>
            <w:r w:rsidRPr="00BC4A0C">
              <w:rPr>
                <w:rFonts w:asciiTheme="majorHAnsi" w:hAnsiTheme="majorHAnsi" w:cstheme="majorHAnsi"/>
                <w:sz w:val="18"/>
                <w:szCs w:val="18"/>
              </w:rPr>
              <w:lastRenderedPageBreak/>
              <w:t>je uvedeno: odst. (1) písm. d) „</w:t>
            </w:r>
            <w:r w:rsidRPr="00BC4A0C">
              <w:rPr>
                <w:rFonts w:asciiTheme="majorHAnsi" w:hAnsiTheme="majorHAnsi" w:cstheme="majorHAnsi"/>
                <w:i/>
                <w:iCs/>
                <w:sz w:val="18"/>
                <w:szCs w:val="18"/>
              </w:rPr>
              <w:t>Textová část územního plánu obsahuje koncepci veřejné infrastruktury, včetně podmínek pro její umísťování, vymezení ploch a koridorů pro veřejnou infrastrukturu, včetně stanovení podmínek pro jejich využití</w:t>
            </w:r>
            <w:r w:rsidRPr="00BC4A0C">
              <w:rPr>
                <w:rFonts w:asciiTheme="majorHAnsi" w:hAnsiTheme="majorHAnsi" w:cstheme="majorHAnsi"/>
                <w:sz w:val="18"/>
                <w:szCs w:val="18"/>
              </w:rPr>
              <w:t>“. Rovněž v požadavcích na obsah grafické části územního plánu , odst. (4) písm. b) stejné vyhlášky je uvedeno: „</w:t>
            </w:r>
            <w:r w:rsidRPr="00BC4A0C">
              <w:rPr>
                <w:rFonts w:asciiTheme="majorHAnsi" w:hAnsiTheme="majorHAnsi" w:cstheme="majorHAnsi"/>
                <w:i/>
                <w:iCs/>
                <w:sz w:val="18"/>
                <w:szCs w:val="18"/>
              </w:rPr>
              <w:t>hlavní výkres obsahující urbanistickou koncepci, vymezení ploch s rozdílným způsobem využití, zastavěného území, zastavitelných ploch a ploch přestavby, dále koncepci uspořádání krajiny včetně ploch změn v krajině a územního systému ekologické stability, koncepci veřejné infrastruktury včetně vymezení ploch a koridorů  pro dopravní a technickou infrastrukturu, ploch a koridorů pro územní rezervy,</w:t>
            </w:r>
            <w:r w:rsidRPr="00BC4A0C">
              <w:rPr>
                <w:rFonts w:asciiTheme="majorHAnsi" w:hAnsiTheme="majorHAnsi" w:cstheme="majorHAnsi"/>
                <w:sz w:val="18"/>
                <w:szCs w:val="18"/>
              </w:rPr>
              <w:t xml:space="preserve"> …“</w:t>
            </w:r>
          </w:p>
          <w:p w14:paraId="2B98C45D" w14:textId="77777777" w:rsidR="00BC4A0C" w:rsidRPr="00BC4A0C" w:rsidRDefault="00BC4A0C" w:rsidP="00BC4A0C">
            <w:pPr>
              <w:rPr>
                <w:rFonts w:asciiTheme="majorHAnsi" w:hAnsiTheme="majorHAnsi" w:cstheme="majorHAnsi"/>
                <w:sz w:val="18"/>
                <w:szCs w:val="18"/>
                <w:highlight w:val="yellow"/>
              </w:rPr>
            </w:pPr>
            <w:r w:rsidRPr="00BC4A0C">
              <w:rPr>
                <w:rFonts w:asciiTheme="majorHAnsi" w:hAnsiTheme="majorHAnsi" w:cstheme="majorHAnsi"/>
                <w:sz w:val="18"/>
                <w:szCs w:val="18"/>
              </w:rPr>
              <w:t>Smyslem územního plánu je tedy stanovovat základní koncepce uspořádání území a umožňovat potřebné změny a záměry, nikoli tyto záměry projektovat. Zpracování podrobnější dokumentace těchto staveb musí provádět projekční společnost na základě smlouvy s investorem.</w:t>
            </w:r>
          </w:p>
          <w:p w14:paraId="1EB1EEF1" w14:textId="77777777" w:rsidR="00BC4A0C" w:rsidRPr="00BC4A0C" w:rsidRDefault="00BC4A0C" w:rsidP="00BC4A0C">
            <w:pPr>
              <w:rPr>
                <w:rFonts w:asciiTheme="majorHAnsi" w:hAnsiTheme="majorHAnsi" w:cstheme="majorHAnsi"/>
                <w:sz w:val="18"/>
                <w:szCs w:val="18"/>
                <w:highlight w:val="yellow"/>
              </w:rPr>
            </w:pPr>
          </w:p>
        </w:tc>
      </w:tr>
      <w:tr w:rsidR="00BC4A0C" w:rsidRPr="00BC4A0C" w14:paraId="12DA0879" w14:textId="77777777" w:rsidTr="00CD657D">
        <w:tc>
          <w:tcPr>
            <w:tcW w:w="6096" w:type="dxa"/>
          </w:tcPr>
          <w:p w14:paraId="444ABCEE"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lastRenderedPageBreak/>
              <w:t>Hladík Jiří, Zajanová Miroslava, Zajan Zdeněk, Zajan Jakub</w:t>
            </w:r>
          </w:p>
          <w:p w14:paraId="023EC7FD" w14:textId="77777777" w:rsidR="00BC4A0C" w:rsidRPr="00BC4A0C" w:rsidRDefault="00BC4A0C" w:rsidP="00BC4A0C">
            <w:pPr>
              <w:rPr>
                <w:rFonts w:asciiTheme="majorHAnsi" w:hAnsiTheme="majorHAnsi" w:cstheme="majorHAnsi"/>
                <w:b/>
                <w:bCs/>
                <w:sz w:val="18"/>
                <w:szCs w:val="18"/>
              </w:rPr>
            </w:pPr>
          </w:p>
        </w:tc>
        <w:tc>
          <w:tcPr>
            <w:tcW w:w="3118" w:type="dxa"/>
          </w:tcPr>
          <w:p w14:paraId="3D8ADA00" w14:textId="77777777" w:rsidR="00BC4A0C" w:rsidRPr="00BC4A0C" w:rsidRDefault="00BC4A0C" w:rsidP="00BC4A0C">
            <w:pPr>
              <w:rPr>
                <w:rFonts w:asciiTheme="majorHAnsi" w:hAnsiTheme="majorHAnsi" w:cstheme="majorHAnsi"/>
                <w:b/>
                <w:bCs/>
                <w:sz w:val="18"/>
                <w:szCs w:val="18"/>
              </w:rPr>
            </w:pPr>
          </w:p>
        </w:tc>
      </w:tr>
      <w:tr w:rsidR="00BC4A0C" w:rsidRPr="00BC4A0C" w14:paraId="6A300182" w14:textId="77777777" w:rsidTr="00CD657D">
        <w:tc>
          <w:tcPr>
            <w:tcW w:w="6096" w:type="dxa"/>
          </w:tcPr>
          <w:p w14:paraId="5183C59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 xml:space="preserve">Námitka: </w:t>
            </w:r>
          </w:p>
          <w:p w14:paraId="47406EE6"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Nesouhlasím s rozsahem a umístěním koridoru CNU.KDZ1 konkrétně umístění přeložky III/3317. Přeložka je nevhodně umístěná a snižuje ekonomickou hodnotu mého pozemku. omezuje také kvalitu pobývání na mém pozemku, rekreaci obyvatel a život zvířat.</w:t>
            </w:r>
          </w:p>
          <w:p w14:paraId="0DEB521D"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 námitky: Vymezené území koridorem je v některých případech i nedostatečné. Například v případě podjezdu pod železniční tratí z Lány do Kostomlat nad Labem (ulice Hronětická) je nedostatečné pro podjezd pro osobní automobily (viz Prostorové ověření možnosti podjezdu zaslané jako emailová příloha) Nemožnost zbudování podjezdu by mělo nepřiměřeně omezující vliv na kvalitu života mojí o mojí rodiny v obci Lány oproti stávající situaci.</w:t>
            </w:r>
          </w:p>
          <w:p w14:paraId="17B9CCDF" w14:textId="77777777" w:rsidR="00BC4A0C" w:rsidRPr="00BC4A0C" w:rsidRDefault="00BC4A0C" w:rsidP="00BC4A0C">
            <w:pPr>
              <w:pStyle w:val="Odstavecseseznamem"/>
              <w:numPr>
                <w:ilvl w:val="0"/>
                <w:numId w:val="51"/>
              </w:numPr>
              <w:rPr>
                <w:rFonts w:asciiTheme="majorHAnsi" w:hAnsiTheme="majorHAnsi" w:cstheme="majorHAnsi"/>
                <w:sz w:val="18"/>
                <w:szCs w:val="18"/>
              </w:rPr>
            </w:pPr>
            <w:r w:rsidRPr="00BC4A0C">
              <w:rPr>
                <w:rFonts w:asciiTheme="majorHAnsi" w:hAnsiTheme="majorHAnsi" w:cstheme="majorHAnsi"/>
                <w:sz w:val="18"/>
                <w:szCs w:val="18"/>
              </w:rPr>
              <w:t>Příloha č. 2</w:t>
            </w:r>
          </w:p>
          <w:p w14:paraId="4DF5528A"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576C5591"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721B88EB" w14:textId="77777777" w:rsidR="00BC4A0C" w:rsidRPr="00BC4A0C" w:rsidRDefault="00BC4A0C" w:rsidP="00BC4A0C">
            <w:pPr>
              <w:rPr>
                <w:rFonts w:asciiTheme="majorHAnsi" w:hAnsiTheme="majorHAnsi" w:cstheme="majorHAnsi"/>
                <w:sz w:val="18"/>
                <w:szCs w:val="18"/>
              </w:rPr>
            </w:pPr>
          </w:p>
          <w:p w14:paraId="25609922"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05DF6746"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Koridor KDZ1 – viz námitka č.I.</w:t>
            </w:r>
          </w:p>
          <w:p w14:paraId="6689AB90"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Podmínky ploch DD a DZ a stanovený koridor KDZ1 umístění podjezdu pro osobní automobily v místě stávajícího přejezdu mezi Lány a Kostomlaty nad Labem územní plán umožňují. V místě úrovňového přejezdu bude umístěna koncepční šipka, zajišťující prostup území.</w:t>
            </w:r>
          </w:p>
          <w:p w14:paraId="4A87A9EC" w14:textId="77777777" w:rsidR="00BC4A0C" w:rsidRPr="00BC4A0C" w:rsidRDefault="00BC4A0C" w:rsidP="00BC4A0C">
            <w:pPr>
              <w:rPr>
                <w:rFonts w:asciiTheme="majorHAnsi" w:hAnsiTheme="majorHAnsi" w:cstheme="majorHAnsi"/>
                <w:sz w:val="18"/>
                <w:szCs w:val="18"/>
              </w:rPr>
            </w:pPr>
          </w:p>
          <w:p w14:paraId="518EB12E" w14:textId="77777777" w:rsidR="00BC4A0C" w:rsidRPr="00BC4A0C" w:rsidRDefault="00BC4A0C" w:rsidP="00BC4A0C">
            <w:pPr>
              <w:rPr>
                <w:rFonts w:asciiTheme="majorHAnsi" w:hAnsiTheme="majorHAnsi" w:cstheme="majorHAnsi"/>
                <w:b/>
                <w:bCs/>
                <w:sz w:val="18"/>
                <w:szCs w:val="18"/>
              </w:rPr>
            </w:pPr>
          </w:p>
        </w:tc>
      </w:tr>
      <w:tr w:rsidR="00BC4A0C" w:rsidRPr="00BC4A0C" w14:paraId="1E22BC5E" w14:textId="77777777" w:rsidTr="00CD657D">
        <w:tc>
          <w:tcPr>
            <w:tcW w:w="6096" w:type="dxa"/>
          </w:tcPr>
          <w:p w14:paraId="4EB6C339"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t>Kvasničková Ivana, Na Zemské stezce 474, Lysá nad Labem</w:t>
            </w:r>
          </w:p>
          <w:p w14:paraId="546C4A3B" w14:textId="77777777" w:rsidR="00BC4A0C" w:rsidRPr="00BC4A0C" w:rsidRDefault="00BC4A0C" w:rsidP="00BC4A0C">
            <w:pPr>
              <w:rPr>
                <w:rFonts w:asciiTheme="majorHAnsi" w:hAnsiTheme="majorHAnsi" w:cstheme="majorHAnsi"/>
                <w:b/>
                <w:bCs/>
                <w:sz w:val="18"/>
                <w:szCs w:val="18"/>
              </w:rPr>
            </w:pPr>
          </w:p>
        </w:tc>
        <w:tc>
          <w:tcPr>
            <w:tcW w:w="3118" w:type="dxa"/>
          </w:tcPr>
          <w:p w14:paraId="5968A22F" w14:textId="77777777" w:rsidR="00BC4A0C" w:rsidRPr="00BC4A0C" w:rsidRDefault="00BC4A0C" w:rsidP="00BC4A0C">
            <w:pPr>
              <w:rPr>
                <w:rFonts w:asciiTheme="majorHAnsi" w:hAnsiTheme="majorHAnsi" w:cstheme="majorHAnsi"/>
                <w:b/>
                <w:bCs/>
                <w:sz w:val="18"/>
                <w:szCs w:val="18"/>
              </w:rPr>
            </w:pPr>
          </w:p>
        </w:tc>
      </w:tr>
      <w:tr w:rsidR="00BC4A0C" w:rsidRPr="00BC4A0C" w14:paraId="72DC20E1" w14:textId="77777777" w:rsidTr="00CD657D">
        <w:tc>
          <w:tcPr>
            <w:tcW w:w="6096" w:type="dxa"/>
          </w:tcPr>
          <w:p w14:paraId="35A12D14"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b/>
                <w:bCs/>
                <w:sz w:val="18"/>
                <w:szCs w:val="18"/>
              </w:rPr>
              <w:t>Námitka:</w:t>
            </w:r>
            <w:r w:rsidRPr="00BC4A0C">
              <w:rPr>
                <w:rFonts w:asciiTheme="majorHAnsi" w:hAnsiTheme="majorHAnsi" w:cstheme="majorHAnsi"/>
                <w:sz w:val="18"/>
                <w:szCs w:val="18"/>
              </w:rPr>
              <w:t xml:space="preserve"> </w:t>
            </w:r>
          </w:p>
          <w:p w14:paraId="034B2452"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Nesouhlasím se záměrem zařazení pozemku p. č.  894/31 jako plocha pro Koridor CNU.KDZ1 – přilehlé stavby, v připravovaném novém územním plánu. Tímto Vaším záměrem dojde k úplnému znehodnocení našeho soukromého pozemku, dojde k velmi výraznému omezení vlastnických práv a k znemožnění podnikatelských záměrů. Výše uvedený podíl pozemku vlastním za účelem případného budoucího začlenění do územního plánu obce Kostomlaty nad Labem, pro bytovou výstavbu. Vydáním územního plánu v současné podobě, veškeré snahy o rozšíření obce západním směrem jsou bezpředmětné. Navrhovaný koridor (přeložka silnice III. třídy III/3317) spojující obce za železniční tratí (Lány, Rozkoš) se silnicí II/331 je veden přes soukromé pozemky v blízkosti bytové zástavby, které trvale znehodnotí a následně uzavře budoucí možný rozvoj v dané lokalitě. Silniční spojnici by bylo možné vést dále od obce, </w:t>
            </w:r>
            <w:r w:rsidRPr="00BC4A0C">
              <w:rPr>
                <w:rFonts w:asciiTheme="majorHAnsi" w:hAnsiTheme="majorHAnsi" w:cstheme="majorHAnsi"/>
                <w:sz w:val="18"/>
                <w:szCs w:val="18"/>
              </w:rPr>
              <w:lastRenderedPageBreak/>
              <w:t>pozemcích v jejich vlastnictví, (vede zde již prašná cesta) a napojit na silnici II/331 spojující města Lysá nad Labem a Nymburk v místě vyústění budoucího obchvatu viz grafická mapa UPD ve Středočeském kraji. Přestože při veřejném projednávání dne 21.2.2024 bylo sděleno, že od záměru je prozatím upuštěno, není vyloučena jeho budoucí realizace.</w:t>
            </w:r>
          </w:p>
          <w:p w14:paraId="74BD1F46" w14:textId="77777777" w:rsidR="00BC4A0C" w:rsidRPr="00BC4A0C" w:rsidRDefault="00BC4A0C" w:rsidP="00BC4A0C">
            <w:pPr>
              <w:rPr>
                <w:rFonts w:asciiTheme="majorHAnsi" w:hAnsiTheme="majorHAnsi" w:cstheme="majorHAnsi"/>
                <w:sz w:val="18"/>
                <w:szCs w:val="18"/>
              </w:rPr>
            </w:pPr>
          </w:p>
          <w:p w14:paraId="1665B732" w14:textId="77777777" w:rsidR="00BC4A0C" w:rsidRPr="00BC4A0C" w:rsidRDefault="00BC4A0C" w:rsidP="00BC4A0C">
            <w:pPr>
              <w:rPr>
                <w:rFonts w:asciiTheme="majorHAnsi" w:hAnsiTheme="majorHAnsi" w:cstheme="majorHAnsi"/>
                <w:sz w:val="18"/>
                <w:szCs w:val="18"/>
              </w:rPr>
            </w:pPr>
          </w:p>
          <w:p w14:paraId="5731BFD2" w14:textId="77777777" w:rsidR="00BC4A0C" w:rsidRPr="00BC4A0C" w:rsidRDefault="00BC4A0C" w:rsidP="00BC4A0C">
            <w:pPr>
              <w:rPr>
                <w:rFonts w:asciiTheme="majorHAnsi" w:hAnsiTheme="majorHAnsi" w:cstheme="majorHAnsi"/>
                <w:b/>
                <w:bCs/>
                <w:sz w:val="18"/>
                <w:szCs w:val="18"/>
              </w:rPr>
            </w:pPr>
          </w:p>
        </w:tc>
        <w:tc>
          <w:tcPr>
            <w:tcW w:w="3118" w:type="dxa"/>
          </w:tcPr>
          <w:p w14:paraId="2A98C025"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Rozhodnutí: Námitka se zamítá.</w:t>
            </w:r>
          </w:p>
          <w:p w14:paraId="411011A6" w14:textId="77777777" w:rsidR="00BC4A0C" w:rsidRPr="00BC4A0C" w:rsidRDefault="00BC4A0C" w:rsidP="00BC4A0C">
            <w:pPr>
              <w:rPr>
                <w:rFonts w:asciiTheme="majorHAnsi" w:hAnsiTheme="majorHAnsi" w:cstheme="majorHAnsi"/>
                <w:sz w:val="18"/>
                <w:szCs w:val="18"/>
              </w:rPr>
            </w:pPr>
          </w:p>
          <w:p w14:paraId="2081EEB7"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viz námitka č.I.</w:t>
            </w:r>
          </w:p>
          <w:p w14:paraId="33AF9B0D" w14:textId="77777777" w:rsidR="00BC4A0C" w:rsidRPr="00BC4A0C" w:rsidRDefault="00BC4A0C" w:rsidP="00BC4A0C">
            <w:pPr>
              <w:rPr>
                <w:rFonts w:asciiTheme="majorHAnsi" w:hAnsiTheme="majorHAnsi" w:cstheme="majorHAnsi"/>
                <w:b/>
                <w:bCs/>
                <w:sz w:val="18"/>
                <w:szCs w:val="18"/>
              </w:rPr>
            </w:pPr>
          </w:p>
        </w:tc>
      </w:tr>
      <w:tr w:rsidR="00BC4A0C" w:rsidRPr="00BC4A0C" w14:paraId="73FFFB6D" w14:textId="77777777" w:rsidTr="00CD657D">
        <w:tc>
          <w:tcPr>
            <w:tcW w:w="6096" w:type="dxa"/>
          </w:tcPr>
          <w:p w14:paraId="01E64BCE"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t>Mgr. Dobiášová Petra, Dětská 359, Milovice</w:t>
            </w:r>
          </w:p>
          <w:p w14:paraId="7AF6DF3F" w14:textId="77777777" w:rsidR="00BC4A0C" w:rsidRPr="00BC4A0C" w:rsidRDefault="00BC4A0C" w:rsidP="00BC4A0C">
            <w:pPr>
              <w:rPr>
                <w:rFonts w:asciiTheme="majorHAnsi" w:hAnsiTheme="majorHAnsi" w:cstheme="majorHAnsi"/>
                <w:b/>
                <w:bCs/>
                <w:sz w:val="18"/>
                <w:szCs w:val="18"/>
              </w:rPr>
            </w:pPr>
          </w:p>
        </w:tc>
        <w:tc>
          <w:tcPr>
            <w:tcW w:w="3118" w:type="dxa"/>
          </w:tcPr>
          <w:p w14:paraId="6BDF63AE" w14:textId="77777777" w:rsidR="00BC4A0C" w:rsidRPr="00BC4A0C" w:rsidRDefault="00BC4A0C" w:rsidP="00BC4A0C">
            <w:pPr>
              <w:rPr>
                <w:rFonts w:asciiTheme="majorHAnsi" w:hAnsiTheme="majorHAnsi" w:cstheme="majorHAnsi"/>
                <w:b/>
                <w:bCs/>
                <w:sz w:val="18"/>
                <w:szCs w:val="18"/>
              </w:rPr>
            </w:pPr>
          </w:p>
        </w:tc>
      </w:tr>
      <w:tr w:rsidR="00BC4A0C" w:rsidRPr="00BC4A0C" w14:paraId="095E0859" w14:textId="77777777" w:rsidTr="00CD657D">
        <w:tc>
          <w:tcPr>
            <w:tcW w:w="6096" w:type="dxa"/>
          </w:tcPr>
          <w:p w14:paraId="3E5D701F"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b/>
                <w:bCs/>
                <w:sz w:val="18"/>
                <w:szCs w:val="18"/>
              </w:rPr>
              <w:t>Námitka:</w:t>
            </w:r>
            <w:r w:rsidRPr="00BC4A0C">
              <w:rPr>
                <w:rFonts w:asciiTheme="majorHAnsi" w:hAnsiTheme="majorHAnsi" w:cstheme="majorHAnsi"/>
                <w:sz w:val="18"/>
                <w:szCs w:val="18"/>
              </w:rPr>
              <w:t xml:space="preserve"> </w:t>
            </w:r>
          </w:p>
          <w:p w14:paraId="21A321EA"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S manželem jsem spolumajitelkou podílu 3/8 na pozemku 914/42, kde je v územním plánu z obou konců pozemku předpokládaný zábor půdy na výstavbu veřejné dopravní infrastruktury. K tomu mám tyto připomínky:</w:t>
            </w:r>
          </w:p>
          <w:p w14:paraId="0A58E0E2"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Se stavebními pracemi i případnou stavbou silnice a křižovatky na tomto našem pozemku </w:t>
            </w:r>
            <w:proofErr w:type="gramStart"/>
            <w:r w:rsidRPr="00BC4A0C">
              <w:rPr>
                <w:rFonts w:asciiTheme="majorHAnsi" w:hAnsiTheme="majorHAnsi" w:cstheme="majorHAnsi"/>
                <w:sz w:val="18"/>
                <w:szCs w:val="18"/>
              </w:rPr>
              <w:t>souhlasíme,  v</w:t>
            </w:r>
            <w:proofErr w:type="gramEnd"/>
            <w:r w:rsidRPr="00BC4A0C">
              <w:rPr>
                <w:rFonts w:asciiTheme="majorHAnsi" w:hAnsiTheme="majorHAnsi" w:cstheme="majorHAnsi"/>
                <w:sz w:val="18"/>
                <w:szCs w:val="18"/>
              </w:rPr>
              <w:t> případě, že bude z důvodu výstavby silnice využit i náš pozemek, požadujeme odkoupení příslušnými úřady uvedené části pozemku, na kterých by případně byla silnice stavěna (přeložka III/3317 – varianta jih).</w:t>
            </w:r>
          </w:p>
          <w:p w14:paraId="0EB7ED8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Zároveň jsme s manželem majiteli 3/8 na pozemcích 894/24, 894/36 a 952/5. Bereme na vědomí, že naše žádost z 14.6.2022 o zařazení těchto pozemků do obytné zóny (smíšené obytné venkovské) není v současné chvíli možné kvůli plánovanému rozšíření železniční trati a výstavby přeložky silnice v nedalekém prostoru. Vzhledem k tomu, že další územní plánování je opravdu v nedohlednu, ráda bych již dnes avizovala náš plán do budoucna (po ukončení všech plánovaných stavebních prací na železničním koridoru a stavbě přeložky). Na těchto pozemcích bychom v budoucnu rádi zasadili stromy a upravili zahradu + postavili maringotku (či podobné pojízdné zázemí). Pozemek v budoucnu plánujeme využívat k rekreačním účelům. Byli bychom moc rádi, kdyby tyto naše plány mohly být zohledněny v dalším územním plánu za x let.</w:t>
            </w:r>
          </w:p>
          <w:p w14:paraId="4120536C"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102D27FC" w14:textId="77777777" w:rsidR="00BC4A0C" w:rsidRPr="00BC4A0C" w:rsidRDefault="00BC4A0C" w:rsidP="00BC4A0C">
            <w:pPr>
              <w:rPr>
                <w:rFonts w:asciiTheme="majorHAnsi" w:hAnsiTheme="majorHAnsi" w:cstheme="majorHAnsi"/>
                <w:sz w:val="18"/>
                <w:szCs w:val="18"/>
              </w:rPr>
            </w:pPr>
          </w:p>
          <w:p w14:paraId="2F63A88B"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1D45A69A" w14:textId="77777777" w:rsidR="00BC4A0C" w:rsidRPr="00BC4A0C" w:rsidRDefault="00BC4A0C" w:rsidP="00BC4A0C">
            <w:pPr>
              <w:rPr>
                <w:rFonts w:asciiTheme="majorHAnsi" w:hAnsiTheme="majorHAnsi" w:cstheme="majorHAnsi"/>
                <w:b/>
                <w:bCs/>
                <w:sz w:val="18"/>
                <w:szCs w:val="18"/>
              </w:rPr>
            </w:pPr>
          </w:p>
          <w:p w14:paraId="14152E13"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0B95575D"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Vlastnická práva a případné náhrady územní plán neřeší. Majetkové vyrovnání v případě soukromých pozemků, které budou nutné k realizaci dopravních staveb v souvislosti s modernizací železniční bude řešeno stavebníkem na základě zpracované projektové dokumentace před řízením o povolení stavby.</w:t>
            </w:r>
          </w:p>
          <w:p w14:paraId="7B4530B2"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Pozemky parc. č. 894/24, 894/36 a 952/5 jsou v nezastavěném území – plochy AU (zemědělské všeobecné). Pro jejich stavební využití by bylo třeba projednat změnu územního plánu, o jejímž obsahu nelze v současné době rozhodovat.  </w:t>
            </w:r>
          </w:p>
          <w:p w14:paraId="286A196C" w14:textId="77777777" w:rsidR="00BC4A0C" w:rsidRPr="00BC4A0C" w:rsidRDefault="00BC4A0C" w:rsidP="00BC4A0C">
            <w:pPr>
              <w:rPr>
                <w:rFonts w:asciiTheme="majorHAnsi" w:hAnsiTheme="majorHAnsi" w:cstheme="majorHAnsi"/>
                <w:b/>
                <w:bCs/>
                <w:sz w:val="18"/>
                <w:szCs w:val="18"/>
              </w:rPr>
            </w:pPr>
          </w:p>
        </w:tc>
      </w:tr>
      <w:tr w:rsidR="00BC4A0C" w:rsidRPr="00BC4A0C" w14:paraId="35F36813" w14:textId="77777777" w:rsidTr="00CD657D">
        <w:tc>
          <w:tcPr>
            <w:tcW w:w="6096" w:type="dxa"/>
          </w:tcPr>
          <w:p w14:paraId="7772F613"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t>Máří Magdalena Šulcová, Na Hrabovce 152, Kostomlaty nad Labem</w:t>
            </w:r>
          </w:p>
          <w:p w14:paraId="10573C81" w14:textId="77777777" w:rsidR="00BC4A0C" w:rsidRPr="00BC4A0C" w:rsidRDefault="00BC4A0C" w:rsidP="00BC4A0C">
            <w:pPr>
              <w:rPr>
                <w:rFonts w:asciiTheme="majorHAnsi" w:hAnsiTheme="majorHAnsi" w:cstheme="majorHAnsi"/>
                <w:b/>
                <w:bCs/>
                <w:sz w:val="18"/>
                <w:szCs w:val="18"/>
              </w:rPr>
            </w:pPr>
          </w:p>
        </w:tc>
        <w:tc>
          <w:tcPr>
            <w:tcW w:w="3118" w:type="dxa"/>
          </w:tcPr>
          <w:p w14:paraId="7DB8CF3E" w14:textId="77777777" w:rsidR="00BC4A0C" w:rsidRPr="00BC4A0C" w:rsidRDefault="00BC4A0C" w:rsidP="00BC4A0C">
            <w:pPr>
              <w:rPr>
                <w:rFonts w:asciiTheme="majorHAnsi" w:hAnsiTheme="majorHAnsi" w:cstheme="majorHAnsi"/>
                <w:sz w:val="18"/>
                <w:szCs w:val="18"/>
              </w:rPr>
            </w:pPr>
          </w:p>
        </w:tc>
      </w:tr>
      <w:tr w:rsidR="00BC4A0C" w:rsidRPr="00BC4A0C" w14:paraId="6AC1FE91" w14:textId="77777777" w:rsidTr="00CD657D">
        <w:trPr>
          <w:trHeight w:val="6078"/>
        </w:trPr>
        <w:tc>
          <w:tcPr>
            <w:tcW w:w="6096" w:type="dxa"/>
          </w:tcPr>
          <w:p w14:paraId="55EC5FC4"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Námitka:</w:t>
            </w:r>
          </w:p>
          <w:p w14:paraId="6822CB40"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Požaduji pozemky parc. č. 272/4, 272/5 a 272/1 /k.ú. Lány u Kostomlat) zařadit jako pozemky pro rodinné bydlení, minimálně část pozemku p. č. 272/4 v rozsahu min. 6 000 m2 – pro výstavbu rodinných domů. Část </w:t>
            </w:r>
            <w:proofErr w:type="gramStart"/>
            <w:r w:rsidRPr="00BC4A0C">
              <w:rPr>
                <w:rFonts w:asciiTheme="majorHAnsi" w:hAnsiTheme="majorHAnsi" w:cstheme="majorHAnsi"/>
                <w:sz w:val="18"/>
                <w:szCs w:val="18"/>
              </w:rPr>
              <w:t>pozemků  p.</w:t>
            </w:r>
            <w:proofErr w:type="gramEnd"/>
            <w:r w:rsidRPr="00BC4A0C">
              <w:rPr>
                <w:rFonts w:asciiTheme="majorHAnsi" w:hAnsiTheme="majorHAnsi" w:cstheme="majorHAnsi"/>
                <w:sz w:val="18"/>
                <w:szCs w:val="18"/>
              </w:rPr>
              <w:t xml:space="preserve"> č. 272/4 by byla využita jako příjezdová cesta. N uvedených pozemcích by mohly postavit rodinné domy moji rodinní příslušníci (vnoučata). Změna účelu využití pozemků by nesloužila pro komerční účely (prodej pozemků po rozdělení). Zbylá část pozemku by měla stejné využití jako doposud, </w:t>
            </w:r>
            <w:proofErr w:type="gramStart"/>
            <w:r w:rsidRPr="00BC4A0C">
              <w:rPr>
                <w:rFonts w:asciiTheme="majorHAnsi" w:hAnsiTheme="majorHAnsi" w:cstheme="majorHAnsi"/>
                <w:sz w:val="18"/>
                <w:szCs w:val="18"/>
              </w:rPr>
              <w:t>t. j.</w:t>
            </w:r>
            <w:proofErr w:type="gramEnd"/>
            <w:r w:rsidRPr="00BC4A0C">
              <w:rPr>
                <w:rFonts w:asciiTheme="majorHAnsi" w:hAnsiTheme="majorHAnsi" w:cstheme="majorHAnsi"/>
                <w:sz w:val="18"/>
                <w:szCs w:val="18"/>
              </w:rPr>
              <w:t xml:space="preserve"> bude obhospodařována pro zemědělské účely. </w:t>
            </w:r>
          </w:p>
          <w:p w14:paraId="19DC496B"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32F94851"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205818FB" w14:textId="77777777" w:rsidR="00BC4A0C" w:rsidRPr="00BC4A0C" w:rsidRDefault="00BC4A0C" w:rsidP="00BC4A0C">
            <w:pPr>
              <w:rPr>
                <w:rFonts w:asciiTheme="majorHAnsi" w:hAnsiTheme="majorHAnsi" w:cstheme="majorHAnsi"/>
                <w:b/>
                <w:bCs/>
                <w:sz w:val="18"/>
                <w:szCs w:val="18"/>
              </w:rPr>
            </w:pPr>
          </w:p>
          <w:p w14:paraId="6EC30895"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4B2D2D32"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Krajský úřad Středočeského kraje, odbor životního prostředí a zemědělství ve svém stanovisku č. j. 100272/2024/KUSK ze dne 20.08.2024</w:t>
            </w:r>
          </w:p>
          <w:p w14:paraId="1F2BB4C0" w14:textId="77777777" w:rsidR="00BC4A0C" w:rsidRPr="00BC4A0C" w:rsidRDefault="00BC4A0C" w:rsidP="00BC4A0C">
            <w:pPr>
              <w:rPr>
                <w:rFonts w:asciiTheme="majorHAnsi" w:hAnsiTheme="majorHAnsi" w:cstheme="majorHAnsi"/>
                <w:sz w:val="18"/>
                <w:szCs w:val="18"/>
                <w:highlight w:val="yellow"/>
              </w:rPr>
            </w:pPr>
            <w:r w:rsidRPr="00BC4A0C">
              <w:rPr>
                <w:rFonts w:asciiTheme="majorHAnsi" w:hAnsiTheme="majorHAnsi" w:cstheme="majorHAnsi"/>
                <w:sz w:val="18"/>
                <w:szCs w:val="18"/>
              </w:rPr>
              <w:t>vyslovil nesouhlas se záborem ZPF nad rámec ploch odsouhlasených k nezemědělskému využití v rámci projednání návrhu ÚP před veřejným projednání. Orgán ochrany ZPF považuje další vymezení zastavitelných ploch jako zbytné. Dle ustanovení § 4 odst. 1 zákona o ochraně ZPF může k odnětí zemědělské půdy dojít pouze v nezbytném případě.</w:t>
            </w:r>
          </w:p>
        </w:tc>
      </w:tr>
      <w:tr w:rsidR="00BC4A0C" w:rsidRPr="00BC4A0C" w14:paraId="0272A042" w14:textId="77777777" w:rsidTr="00CD657D">
        <w:tc>
          <w:tcPr>
            <w:tcW w:w="6096" w:type="dxa"/>
          </w:tcPr>
          <w:p w14:paraId="2F4FF232"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t>Vladimír Zalabák, Lány 50</w:t>
            </w:r>
          </w:p>
          <w:p w14:paraId="290B22C2"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2B4147F7" w14:textId="77777777" w:rsidR="00BC4A0C" w:rsidRPr="00BC4A0C" w:rsidRDefault="00BC4A0C" w:rsidP="00BC4A0C">
            <w:pPr>
              <w:rPr>
                <w:rFonts w:asciiTheme="majorHAnsi" w:hAnsiTheme="majorHAnsi" w:cstheme="majorHAnsi"/>
                <w:b/>
                <w:bCs/>
                <w:sz w:val="18"/>
                <w:szCs w:val="18"/>
              </w:rPr>
            </w:pPr>
          </w:p>
        </w:tc>
      </w:tr>
      <w:tr w:rsidR="00BC4A0C" w:rsidRPr="00BC4A0C" w14:paraId="3C261CC0" w14:textId="77777777" w:rsidTr="00CD657D">
        <w:tc>
          <w:tcPr>
            <w:tcW w:w="6096" w:type="dxa"/>
          </w:tcPr>
          <w:p w14:paraId="027AA912" w14:textId="77777777" w:rsidR="00BC4A0C" w:rsidRPr="00BC4A0C" w:rsidRDefault="00BC4A0C" w:rsidP="00BC4A0C">
            <w:pPr>
              <w:rPr>
                <w:rFonts w:asciiTheme="majorHAnsi" w:hAnsiTheme="majorHAnsi" w:cstheme="majorHAnsi"/>
                <w:sz w:val="18"/>
                <w:szCs w:val="18"/>
              </w:rPr>
            </w:pPr>
          </w:p>
          <w:p w14:paraId="36B4C7A5"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č. 1:</w:t>
            </w:r>
          </w:p>
          <w:p w14:paraId="505BE6F1"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Budu dotčen zhoršením rozsahu, resp. provázanosti dopravního skeletu, kdy je navrhována přeložka délky cca 1,4 km silnice III. třídy č. 3317 mající za cíl umožnění zrušení úrovňového přejezdu mezi Lány a Kostomlaty nad Labem vyvolávající zajížďku cca 2,1 km. Bude dotčena stávající kvalita a úroveň místního pohybu po obci nutného pro základní fungování místní části Lány přímo závislé na Kostomlatech nad Labem z hlediska služeb, školství a obecně místní vybavenosti. Zásah bude znamenat zvýšené náklady na paliva a čas neproduktivně strávený přesuny. Dojde ke ztrátě soudržnosti místních částí a bude založeno na trvalý rozkol. Pohyb po obci bude ztížen, zhoršen. (zkráceno, celé znění námitky viz spis).</w:t>
            </w:r>
          </w:p>
          <w:p w14:paraId="70B7943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Navrhuji: </w:t>
            </w:r>
          </w:p>
          <w:p w14:paraId="4DBE4565" w14:textId="77777777" w:rsidR="00BC4A0C" w:rsidRPr="00BC4A0C" w:rsidRDefault="00BC4A0C" w:rsidP="00BC4A0C">
            <w:pPr>
              <w:pStyle w:val="Odstavecseseznamem"/>
              <w:numPr>
                <w:ilvl w:val="0"/>
                <w:numId w:val="52"/>
              </w:numPr>
              <w:rPr>
                <w:rFonts w:asciiTheme="majorHAnsi" w:hAnsiTheme="majorHAnsi" w:cstheme="majorHAnsi"/>
                <w:sz w:val="18"/>
                <w:szCs w:val="18"/>
              </w:rPr>
            </w:pPr>
            <w:r w:rsidRPr="00BC4A0C">
              <w:rPr>
                <w:rFonts w:asciiTheme="majorHAnsi" w:hAnsiTheme="majorHAnsi" w:cstheme="majorHAnsi"/>
                <w:sz w:val="18"/>
                <w:szCs w:val="18"/>
              </w:rPr>
              <w:t>pro zajištění spojení v Hronětické ulici mezi Lány a Kostomlaty navrhuji umístit do hlavního výkresu UP v místě stávajícího přejezdu v Hronětické ulici značku/ symbol, který bude v legendě a ve výrokové textové části vysvětlen jako místo s nutností zachování dopravního spojení v ose Hronětické ulice alespoň pro pěší, cyklisty a osobní automobily. Krom přejezdu je dle prostorového a výškového prověření s vysokou mírou pravděpodobnosti proveditelný i podjezd pro os. Automobily, který má podjezdnou výšku blízkou podchozí výšce. Lze koncipovat jako obousměrný dvoupruhový pro os. Automobily i se stezkou pro chodce a cyklisty. Odvodnit jej lze gravitačně do přilehlého toku.</w:t>
            </w:r>
          </w:p>
          <w:p w14:paraId="177902BE" w14:textId="77777777" w:rsidR="00BC4A0C" w:rsidRPr="00BC4A0C" w:rsidRDefault="00BC4A0C" w:rsidP="00BC4A0C">
            <w:pPr>
              <w:pStyle w:val="Odstavecseseznamem"/>
              <w:numPr>
                <w:ilvl w:val="0"/>
                <w:numId w:val="52"/>
              </w:numPr>
              <w:rPr>
                <w:rFonts w:asciiTheme="majorHAnsi" w:hAnsiTheme="majorHAnsi" w:cstheme="majorHAnsi"/>
                <w:sz w:val="18"/>
                <w:szCs w:val="18"/>
              </w:rPr>
            </w:pPr>
            <w:r w:rsidRPr="00BC4A0C">
              <w:rPr>
                <w:rFonts w:asciiTheme="majorHAnsi" w:hAnsiTheme="majorHAnsi" w:cstheme="majorHAnsi"/>
                <w:sz w:val="18"/>
                <w:szCs w:val="18"/>
              </w:rPr>
              <w:t xml:space="preserve">Současně navrhuji, aby byla odvedena nutná koncepční a projekční práce na možnostech podob mimoúrovňových a dalších křížení s železnicí, kterou za obec, resp. zpracovatele nikdo neodvede, a která zjednodušeně řečeno musí být odvedena, aby byl nový územní plán schválitelný a aby bylo co schvalovat. Od toho územní plán je. Tato věc k řešení vyplývá i </w:t>
            </w:r>
            <w:proofErr w:type="gramStart"/>
            <w:r w:rsidRPr="00BC4A0C">
              <w:rPr>
                <w:rFonts w:asciiTheme="majorHAnsi" w:hAnsiTheme="majorHAnsi" w:cstheme="majorHAnsi"/>
                <w:sz w:val="18"/>
                <w:szCs w:val="18"/>
              </w:rPr>
              <w:t>ze  zadání</w:t>
            </w:r>
            <w:proofErr w:type="gramEnd"/>
            <w:r w:rsidRPr="00BC4A0C">
              <w:rPr>
                <w:rFonts w:asciiTheme="majorHAnsi" w:hAnsiTheme="majorHAnsi" w:cstheme="majorHAnsi"/>
                <w:sz w:val="18"/>
                <w:szCs w:val="18"/>
              </w:rPr>
              <w:t xml:space="preserve">: „chránit a rozvíjet systémy dopravní </w:t>
            </w:r>
            <w:proofErr w:type="gramStart"/>
            <w:r w:rsidRPr="00BC4A0C">
              <w:rPr>
                <w:rFonts w:asciiTheme="majorHAnsi" w:hAnsiTheme="majorHAnsi" w:cstheme="majorHAnsi"/>
                <w:sz w:val="18"/>
                <w:szCs w:val="18"/>
              </w:rPr>
              <w:t>infrastruktury ,</w:t>
            </w:r>
            <w:proofErr w:type="gramEnd"/>
            <w:r w:rsidRPr="00BC4A0C">
              <w:rPr>
                <w:rFonts w:asciiTheme="majorHAnsi" w:hAnsiTheme="majorHAnsi" w:cstheme="majorHAnsi"/>
                <w:sz w:val="18"/>
                <w:szCs w:val="18"/>
              </w:rPr>
              <w:t xml:space="preserve"> zajistit jejich funkčnost, zejména: silnice II., III. třídy, </w:t>
            </w:r>
            <w:r w:rsidRPr="00BC4A0C">
              <w:rPr>
                <w:rFonts w:asciiTheme="majorHAnsi" w:hAnsiTheme="majorHAnsi" w:cstheme="majorHAnsi"/>
                <w:sz w:val="18"/>
                <w:szCs w:val="18"/>
              </w:rPr>
              <w:lastRenderedPageBreak/>
              <w:t>místní a účelové komunikace, železniční trať včetně souvisejících staveb.“ Nakolik byli v tomto směru „odpracováno“ zadání je vidět na stávající verzi návrhu. Tedy navrhuji v tomto ohledu optimálně zadat vypracování architektonicko-dopravní studie, včetně posouzení variant, vizualizací staveb atp. Tím by bylo možné v návrhu ÚP ošetřit i možnosti, se kterými Správa železnic nepřišla, avšak nabízejí se.</w:t>
            </w:r>
          </w:p>
          <w:p w14:paraId="186AFEB4" w14:textId="77777777" w:rsidR="00BC4A0C" w:rsidRPr="00BC4A0C" w:rsidRDefault="00BC4A0C" w:rsidP="00BC4A0C">
            <w:pPr>
              <w:pStyle w:val="Odstavecseseznamem"/>
              <w:numPr>
                <w:ilvl w:val="0"/>
                <w:numId w:val="52"/>
              </w:numPr>
              <w:rPr>
                <w:rFonts w:asciiTheme="majorHAnsi" w:hAnsiTheme="majorHAnsi" w:cstheme="majorHAnsi"/>
                <w:sz w:val="18"/>
                <w:szCs w:val="18"/>
              </w:rPr>
            </w:pPr>
            <w:r w:rsidRPr="00BC4A0C">
              <w:rPr>
                <w:rFonts w:asciiTheme="majorHAnsi" w:hAnsiTheme="majorHAnsi" w:cstheme="majorHAnsi"/>
                <w:sz w:val="18"/>
                <w:szCs w:val="18"/>
              </w:rPr>
              <w:t>Pro zlepšení dopravní provázanosti dvou místních částí zároveň navrhuji uvést do hlavního výkresu návrh vzniku podchodu pod železniční stanicí Kostomlaty nad Labem v plné délce, tedy takový, který vyústí jak na jižní, tak na severní straně stanice či zastávky. Lze tak učinit např. „koncepční šipkou“. Tím bude zlepšena prostupnost území ve směru Lány vč. Pomyslného zpřístupnění dalších území vhodných např. i pro místní rekreaci, které dráha dosud logicky omezuje.</w:t>
            </w:r>
          </w:p>
          <w:p w14:paraId="5BBA0466" w14:textId="77777777" w:rsidR="00BC4A0C" w:rsidRPr="00BC4A0C" w:rsidRDefault="00BC4A0C" w:rsidP="00BC4A0C">
            <w:pPr>
              <w:pStyle w:val="Odstavecseseznamem"/>
              <w:numPr>
                <w:ilvl w:val="0"/>
                <w:numId w:val="52"/>
              </w:numPr>
              <w:rPr>
                <w:rFonts w:asciiTheme="majorHAnsi" w:hAnsiTheme="majorHAnsi" w:cstheme="majorHAnsi"/>
                <w:sz w:val="18"/>
                <w:szCs w:val="18"/>
              </w:rPr>
            </w:pPr>
            <w:r w:rsidRPr="00BC4A0C">
              <w:rPr>
                <w:rFonts w:asciiTheme="majorHAnsi" w:hAnsiTheme="majorHAnsi" w:cstheme="majorHAnsi"/>
                <w:sz w:val="18"/>
                <w:szCs w:val="18"/>
              </w:rPr>
              <w:t>K železniční stanici zároveň navrhuji umístit značku B+R (parkoviště bike and ride, resp. kolárna).</w:t>
            </w:r>
          </w:p>
          <w:p w14:paraId="0A47A210" w14:textId="77777777" w:rsidR="00BC4A0C" w:rsidRPr="00BC4A0C" w:rsidRDefault="00BC4A0C" w:rsidP="00BC4A0C">
            <w:pPr>
              <w:rPr>
                <w:rFonts w:asciiTheme="majorHAnsi" w:hAnsiTheme="majorHAnsi" w:cstheme="majorHAnsi"/>
                <w:sz w:val="18"/>
                <w:szCs w:val="18"/>
              </w:rPr>
            </w:pPr>
          </w:p>
          <w:p w14:paraId="7920ED97" w14:textId="77777777" w:rsidR="00BC4A0C" w:rsidRPr="00BC4A0C" w:rsidRDefault="00BC4A0C" w:rsidP="00BC4A0C">
            <w:pPr>
              <w:rPr>
                <w:rFonts w:asciiTheme="majorHAnsi" w:hAnsiTheme="majorHAnsi" w:cstheme="majorHAnsi"/>
                <w:sz w:val="18"/>
                <w:szCs w:val="18"/>
              </w:rPr>
            </w:pPr>
          </w:p>
          <w:p w14:paraId="7F47B961"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č. 2:</w:t>
            </w:r>
          </w:p>
          <w:p w14:paraId="7D9FC46E"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U regulativu výroby lehké (VL) namítám maximální výšku </w:t>
            </w:r>
            <w:proofErr w:type="gramStart"/>
            <w:r w:rsidRPr="00BC4A0C">
              <w:rPr>
                <w:rFonts w:asciiTheme="majorHAnsi" w:hAnsiTheme="majorHAnsi" w:cstheme="majorHAnsi"/>
                <w:sz w:val="18"/>
                <w:szCs w:val="18"/>
              </w:rPr>
              <w:t>zástavby  (</w:t>
            </w:r>
            <w:proofErr w:type="gramEnd"/>
            <w:r w:rsidRPr="00BC4A0C">
              <w:rPr>
                <w:rFonts w:asciiTheme="majorHAnsi" w:hAnsiTheme="majorHAnsi" w:cstheme="majorHAnsi"/>
                <w:sz w:val="18"/>
                <w:szCs w:val="18"/>
              </w:rPr>
              <w:t>12 m) jako přílišnou a teoreticky poškozující místní ráz. Namítám, že maximální výška 10 m uspokojí potřeby takové plochy.</w:t>
            </w:r>
          </w:p>
          <w:p w14:paraId="753FBC73"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V některých místech (v mém sousedství např. vrch Šibice) je lehká výroba situována bez clon či na návrších (původně statky), odkud je dobře viditelná. Stavby lehké výroby jsou povětšinou účelové, nedosahují vysokých architektonických kvalit, a proto není účelné je příliš vyzdvihovat. Při dané výšce 10 m je možné uspokojit potřeby plochy a počítat s cloněním přilehlou zelení.</w:t>
            </w:r>
          </w:p>
          <w:p w14:paraId="292D77CC"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Navrhuji upravit regulativ lehké výroby na maximální výšku zástavby 10 m.</w:t>
            </w:r>
          </w:p>
          <w:p w14:paraId="505995DD" w14:textId="77777777" w:rsidR="00BC4A0C" w:rsidRPr="00BC4A0C" w:rsidRDefault="00BC4A0C" w:rsidP="00BC4A0C">
            <w:pPr>
              <w:rPr>
                <w:rFonts w:asciiTheme="majorHAnsi" w:hAnsiTheme="majorHAnsi" w:cstheme="majorHAnsi"/>
                <w:sz w:val="18"/>
                <w:szCs w:val="18"/>
              </w:rPr>
            </w:pPr>
          </w:p>
          <w:p w14:paraId="17D72770"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č. 3:</w:t>
            </w:r>
          </w:p>
          <w:p w14:paraId="3410B99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Namítám, že by bylo účelné veřejně prospěšné stavby či veřejně prospěšná prostranství rozšířit o prostor stávající silniční komunikace z Vápenska do Milovic a Zbožíčka na území katastru Hronětic, která je v havarijním stavu, a která čeká na svou rekonstrukci či přestavbu do doby vyřešení majetkoprávních souvislostí. Nevymezení této komunikace mezi veřejně prospěšné pokládám za chybu či nedopatření, které by znamenalo oddalování či znemožnění rekonstrukce této komunikace, čímž se cítí dotčeno mnoho jejích uživatelů z našich obcí i okolí, včetně mě. Obec si tímto postupem, kdy ji nevymezí jako veřejně prospěšnou, komplikuje práci. Při stávající situaci by výkupy mohly trvat další desítky let.</w:t>
            </w:r>
          </w:p>
          <w:p w14:paraId="00ACE81F"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Navrhuji vymezené veřejně prospěšné stavby či veřejně prospěšná prostranství rozšířit o prostor stávající silniční komunikace z Vápenska do Milovic a Zbožíčka na území katastru Hronětic.</w:t>
            </w:r>
          </w:p>
          <w:p w14:paraId="04518FF5" w14:textId="77777777" w:rsidR="00BC4A0C" w:rsidRPr="00BC4A0C" w:rsidRDefault="00BC4A0C" w:rsidP="00BC4A0C">
            <w:pPr>
              <w:rPr>
                <w:rFonts w:asciiTheme="majorHAnsi" w:hAnsiTheme="majorHAnsi" w:cstheme="majorHAnsi"/>
                <w:sz w:val="18"/>
                <w:szCs w:val="18"/>
              </w:rPr>
            </w:pPr>
          </w:p>
          <w:p w14:paraId="480C614D" w14:textId="77777777" w:rsidR="00BC4A0C" w:rsidRPr="00BC4A0C" w:rsidRDefault="00BC4A0C" w:rsidP="00BC4A0C">
            <w:pPr>
              <w:rPr>
                <w:rFonts w:asciiTheme="majorHAnsi" w:hAnsiTheme="majorHAnsi" w:cstheme="majorHAnsi"/>
                <w:sz w:val="18"/>
                <w:szCs w:val="18"/>
              </w:rPr>
            </w:pPr>
          </w:p>
          <w:p w14:paraId="1DFDAE42" w14:textId="77777777" w:rsidR="00BC4A0C" w:rsidRPr="00BC4A0C" w:rsidRDefault="00BC4A0C" w:rsidP="00BC4A0C">
            <w:pPr>
              <w:rPr>
                <w:rFonts w:asciiTheme="majorHAnsi" w:hAnsiTheme="majorHAnsi" w:cstheme="majorHAnsi"/>
                <w:sz w:val="18"/>
                <w:szCs w:val="18"/>
              </w:rPr>
            </w:pPr>
          </w:p>
          <w:p w14:paraId="2812E80E" w14:textId="77777777" w:rsidR="00BC4A0C" w:rsidRPr="00BC4A0C" w:rsidRDefault="00BC4A0C" w:rsidP="00BC4A0C">
            <w:pPr>
              <w:rPr>
                <w:rFonts w:asciiTheme="majorHAnsi" w:hAnsiTheme="majorHAnsi" w:cstheme="majorHAnsi"/>
                <w:sz w:val="18"/>
                <w:szCs w:val="18"/>
              </w:rPr>
            </w:pPr>
          </w:p>
          <w:p w14:paraId="785D1EE6" w14:textId="77777777" w:rsidR="00BC4A0C" w:rsidRPr="00BC4A0C" w:rsidRDefault="00BC4A0C" w:rsidP="00BC4A0C">
            <w:pPr>
              <w:rPr>
                <w:rFonts w:asciiTheme="majorHAnsi" w:hAnsiTheme="majorHAnsi" w:cstheme="majorHAnsi"/>
                <w:sz w:val="18"/>
                <w:szCs w:val="18"/>
              </w:rPr>
            </w:pPr>
          </w:p>
          <w:p w14:paraId="27775824"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č.4:</w:t>
            </w:r>
          </w:p>
          <w:p w14:paraId="287D16D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Návrh neřeší dostatečně bezmotorové propojení z Vápenska na polní cestu od Milovic, čímž se cítím dotčen jako uživatel této relace při dopravní či rekreační cestě na jízdním kole. (zkráceno, celé znění námitky viz spis).</w:t>
            </w:r>
          </w:p>
          <w:p w14:paraId="61E25E65"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Navrhuji vymezit, alespoň „</w:t>
            </w:r>
            <w:bookmarkStart w:id="485" w:name="_Hlk175903518"/>
            <w:r w:rsidRPr="00BC4A0C">
              <w:rPr>
                <w:rFonts w:asciiTheme="majorHAnsi" w:hAnsiTheme="majorHAnsi" w:cstheme="majorHAnsi"/>
                <w:sz w:val="18"/>
                <w:szCs w:val="18"/>
              </w:rPr>
              <w:t xml:space="preserve">koncepční šipkou“ cestu k obnově pro účely bezmotorového </w:t>
            </w:r>
            <w:proofErr w:type="gramStart"/>
            <w:r w:rsidRPr="00BC4A0C">
              <w:rPr>
                <w:rFonts w:asciiTheme="majorHAnsi" w:hAnsiTheme="majorHAnsi" w:cstheme="majorHAnsi"/>
                <w:sz w:val="18"/>
                <w:szCs w:val="18"/>
              </w:rPr>
              <w:t>spojení  a</w:t>
            </w:r>
            <w:proofErr w:type="gramEnd"/>
            <w:r w:rsidRPr="00BC4A0C">
              <w:rPr>
                <w:rFonts w:asciiTheme="majorHAnsi" w:hAnsiTheme="majorHAnsi" w:cstheme="majorHAnsi"/>
                <w:sz w:val="18"/>
                <w:szCs w:val="18"/>
              </w:rPr>
              <w:t xml:space="preserve"> rekreace v k. ú. Hronětice na pozemcích parc. </w:t>
            </w:r>
            <w:proofErr w:type="gramStart"/>
            <w:r w:rsidRPr="00BC4A0C">
              <w:rPr>
                <w:rFonts w:asciiTheme="majorHAnsi" w:hAnsiTheme="majorHAnsi" w:cstheme="majorHAnsi"/>
                <w:sz w:val="18"/>
                <w:szCs w:val="18"/>
              </w:rPr>
              <w:t>č. :</w:t>
            </w:r>
            <w:proofErr w:type="gramEnd"/>
            <w:r w:rsidRPr="00BC4A0C">
              <w:rPr>
                <w:rFonts w:asciiTheme="majorHAnsi" w:hAnsiTheme="majorHAnsi" w:cstheme="majorHAnsi"/>
                <w:sz w:val="18"/>
                <w:szCs w:val="18"/>
              </w:rPr>
              <w:t xml:space="preserve"> 453, 316/116, 316/64, 316/103.</w:t>
            </w:r>
          </w:p>
          <w:bookmarkEnd w:id="485"/>
          <w:p w14:paraId="444C212F" w14:textId="77777777" w:rsidR="00BC4A0C" w:rsidRPr="00BC4A0C" w:rsidRDefault="00BC4A0C" w:rsidP="00BC4A0C">
            <w:pPr>
              <w:rPr>
                <w:rFonts w:asciiTheme="majorHAnsi" w:hAnsiTheme="majorHAnsi" w:cstheme="majorHAnsi"/>
                <w:sz w:val="18"/>
                <w:szCs w:val="18"/>
              </w:rPr>
            </w:pPr>
          </w:p>
          <w:p w14:paraId="37A1CF68" w14:textId="77777777" w:rsidR="00BC4A0C" w:rsidRPr="00BC4A0C" w:rsidRDefault="00BC4A0C" w:rsidP="00BC4A0C">
            <w:pPr>
              <w:rPr>
                <w:rFonts w:asciiTheme="majorHAnsi" w:hAnsiTheme="majorHAnsi" w:cstheme="majorHAnsi"/>
                <w:sz w:val="18"/>
                <w:szCs w:val="18"/>
              </w:rPr>
            </w:pPr>
          </w:p>
          <w:p w14:paraId="559E9F9F" w14:textId="77777777" w:rsidR="00BC4A0C" w:rsidRPr="00BC4A0C" w:rsidRDefault="00BC4A0C" w:rsidP="00BC4A0C">
            <w:pPr>
              <w:rPr>
                <w:rFonts w:asciiTheme="majorHAnsi" w:hAnsiTheme="majorHAnsi" w:cstheme="majorHAnsi"/>
                <w:sz w:val="18"/>
                <w:szCs w:val="18"/>
              </w:rPr>
            </w:pPr>
          </w:p>
          <w:p w14:paraId="415E849B" w14:textId="77777777" w:rsidR="00BC4A0C" w:rsidRPr="00BC4A0C" w:rsidRDefault="00BC4A0C" w:rsidP="00BC4A0C">
            <w:pPr>
              <w:rPr>
                <w:rFonts w:asciiTheme="majorHAnsi" w:hAnsiTheme="majorHAnsi" w:cstheme="majorHAnsi"/>
                <w:sz w:val="18"/>
                <w:szCs w:val="18"/>
              </w:rPr>
            </w:pPr>
          </w:p>
          <w:p w14:paraId="62121316" w14:textId="77777777" w:rsidR="00BC4A0C" w:rsidRPr="00BC4A0C" w:rsidRDefault="00BC4A0C" w:rsidP="00BC4A0C">
            <w:pPr>
              <w:rPr>
                <w:rFonts w:asciiTheme="majorHAnsi" w:hAnsiTheme="majorHAnsi" w:cstheme="majorHAnsi"/>
                <w:sz w:val="18"/>
                <w:szCs w:val="18"/>
              </w:rPr>
            </w:pPr>
          </w:p>
          <w:p w14:paraId="6A731898" w14:textId="77777777" w:rsidR="00BC4A0C" w:rsidRPr="00BC4A0C" w:rsidRDefault="00BC4A0C" w:rsidP="00BC4A0C">
            <w:pPr>
              <w:rPr>
                <w:rFonts w:asciiTheme="majorHAnsi" w:hAnsiTheme="majorHAnsi" w:cstheme="majorHAnsi"/>
                <w:sz w:val="18"/>
                <w:szCs w:val="18"/>
              </w:rPr>
            </w:pPr>
          </w:p>
          <w:p w14:paraId="5C8364BF" w14:textId="77777777" w:rsidR="00BC4A0C" w:rsidRPr="00BC4A0C" w:rsidRDefault="00BC4A0C" w:rsidP="00BC4A0C">
            <w:pPr>
              <w:rPr>
                <w:rFonts w:asciiTheme="majorHAnsi" w:hAnsiTheme="majorHAnsi" w:cstheme="majorHAnsi"/>
                <w:sz w:val="18"/>
                <w:szCs w:val="18"/>
              </w:rPr>
            </w:pPr>
          </w:p>
          <w:p w14:paraId="37BCD1F2"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č. 5:</w:t>
            </w:r>
          </w:p>
          <w:p w14:paraId="61CF1398"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lastRenderedPageBreak/>
              <w:t>Namítám nevymezení bezmotorové spojnice („koncepční šipky“) či cyklostezky podél jižní strany železniční trati mezi přejezdem u Rozkoše a západním okrajem katastrálního území Lány u Kostomlat nad Labem. Jako uživatel této relace na jízdním kole se cítím dotčen neřešením problematiky bezpečné přímé bezmotorové regionální trasy do Lysé nad Labem, resp. mezi Nymburkem a Lysou nad Labem, a to nikoliv podél řeky Labe, kdy tato trasa je vlivem meandrování o desítky procent delší. (zkráceno, celé znění námitky viz spis).</w:t>
            </w:r>
          </w:p>
          <w:p w14:paraId="602F9086"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Navrhuje vymezit alespoň „koncepční šipkou“ či cyklostezkou poptávané bezmotorové spojení mezi Kostomlaty nad </w:t>
            </w:r>
            <w:proofErr w:type="gramStart"/>
            <w:r w:rsidRPr="00BC4A0C">
              <w:rPr>
                <w:rFonts w:asciiTheme="majorHAnsi" w:hAnsiTheme="majorHAnsi" w:cstheme="majorHAnsi"/>
                <w:sz w:val="18"/>
                <w:szCs w:val="18"/>
              </w:rPr>
              <w:t>Labem ,</w:t>
            </w:r>
            <w:proofErr w:type="gramEnd"/>
            <w:r w:rsidRPr="00BC4A0C">
              <w:rPr>
                <w:rFonts w:asciiTheme="majorHAnsi" w:hAnsiTheme="majorHAnsi" w:cstheme="majorHAnsi"/>
                <w:sz w:val="18"/>
                <w:szCs w:val="18"/>
              </w:rPr>
              <w:t xml:space="preserve"> Ostrou a Lysou nad Labem po pozemcích v katastrálním území Kostomlaty nad Labem parc. </w:t>
            </w:r>
            <w:proofErr w:type="gramStart"/>
            <w:r w:rsidRPr="00BC4A0C">
              <w:rPr>
                <w:rFonts w:asciiTheme="majorHAnsi" w:hAnsiTheme="majorHAnsi" w:cstheme="majorHAnsi"/>
                <w:sz w:val="18"/>
                <w:szCs w:val="18"/>
              </w:rPr>
              <w:t>č. :</w:t>
            </w:r>
            <w:proofErr w:type="gramEnd"/>
            <w:r w:rsidRPr="00BC4A0C">
              <w:rPr>
                <w:rFonts w:asciiTheme="majorHAnsi" w:hAnsiTheme="majorHAnsi" w:cstheme="majorHAnsi"/>
                <w:sz w:val="18"/>
                <w:szCs w:val="18"/>
              </w:rPr>
              <w:t xml:space="preserve"> 905/96, 905/95, 942/25, 942/22, 905/97, 905/93, 942/23 a v k. ú. Lány u Kostomlaty nad Labem p. č. 357/1, 332, 400/4, 326/6, 400/3, 400/1, 357/5, 357/4, 357/3.</w:t>
            </w:r>
          </w:p>
          <w:p w14:paraId="1BC84A83" w14:textId="77777777" w:rsidR="00BC4A0C" w:rsidRPr="00BC4A0C" w:rsidRDefault="00BC4A0C" w:rsidP="00BC4A0C">
            <w:pPr>
              <w:rPr>
                <w:rFonts w:asciiTheme="majorHAnsi" w:hAnsiTheme="majorHAnsi" w:cstheme="majorHAnsi"/>
                <w:sz w:val="18"/>
                <w:szCs w:val="18"/>
              </w:rPr>
            </w:pPr>
          </w:p>
          <w:p w14:paraId="6DDF314B"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č. 6:</w:t>
            </w:r>
          </w:p>
          <w:p w14:paraId="267302CF"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Jako uživatel jízdního kola v dané relaci se cítím dotčen nevymezením „koncepční šipky“ či cyklotrasy po stávajících málo sjízdných cestních pozemcích západně od Rozkoše, které jsou v majetku obce, a na které obec Stratov navázala vymezením cestních pozemků k železniční zastávce Stratov. Spolu s obyvateli Rozkoše bych se tak mohl z Lán dostat bez ztracených spádů na železniční zastávku Stratov či dále do Ostré. Pro </w:t>
            </w:r>
            <w:proofErr w:type="gramStart"/>
            <w:r w:rsidRPr="00BC4A0C">
              <w:rPr>
                <w:rFonts w:asciiTheme="majorHAnsi" w:hAnsiTheme="majorHAnsi" w:cstheme="majorHAnsi"/>
                <w:sz w:val="18"/>
                <w:szCs w:val="18"/>
              </w:rPr>
              <w:t>mě</w:t>
            </w:r>
            <w:proofErr w:type="gramEnd"/>
            <w:r w:rsidRPr="00BC4A0C">
              <w:rPr>
                <w:rFonts w:asciiTheme="majorHAnsi" w:hAnsiTheme="majorHAnsi" w:cstheme="majorHAnsi"/>
                <w:sz w:val="18"/>
                <w:szCs w:val="18"/>
              </w:rPr>
              <w:t xml:space="preserve"> a hlavně pro obyvatele Rozkoše tato spojnice dává smysl, neboť zastávka Stratov je po ní z Rozkoše rychleji dostupná než železniční stanice Kostomlaty nad Labem. Územní plán tak dle mého názoru nedostatečně iniciuje zlepšení dopravní obslužnosti místní části Rozkoš vč. Zlepšení dalších relací, pokud by tato cesta doznala vyšší míry zpevnění, resp. kdyby s ní bylo koncepčně počítáno.</w:t>
            </w:r>
          </w:p>
          <w:p w14:paraId="253F7CB8"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Navrhuji vymezit alespoň „koncepční šipkou“ či cyklostezkou poptávané bezmotorové spojení mezi Rozkoší a železniční zastávkou Stratov po pozemku v k. ú. Lány u Kostomlat nad Labem parc. č. 399.</w:t>
            </w:r>
          </w:p>
          <w:p w14:paraId="0FA05731" w14:textId="77777777" w:rsidR="00BC4A0C" w:rsidRPr="00BC4A0C" w:rsidRDefault="00BC4A0C" w:rsidP="00BC4A0C">
            <w:pPr>
              <w:rPr>
                <w:rFonts w:asciiTheme="majorHAnsi" w:hAnsiTheme="majorHAnsi" w:cstheme="majorHAnsi"/>
                <w:sz w:val="18"/>
                <w:szCs w:val="18"/>
              </w:rPr>
            </w:pPr>
          </w:p>
          <w:p w14:paraId="153DBD0F"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7C8A9C25" w14:textId="77777777" w:rsidR="00BC4A0C" w:rsidRPr="00BC4A0C" w:rsidRDefault="00BC4A0C" w:rsidP="00BC4A0C">
            <w:pPr>
              <w:rPr>
                <w:rFonts w:asciiTheme="majorHAnsi" w:hAnsiTheme="majorHAnsi" w:cstheme="majorHAnsi"/>
                <w:b/>
                <w:bCs/>
                <w:sz w:val="18"/>
                <w:szCs w:val="18"/>
              </w:rPr>
            </w:pPr>
          </w:p>
          <w:p w14:paraId="6C954461"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 xml:space="preserve">Rozhodnutí: </w:t>
            </w:r>
          </w:p>
          <w:p w14:paraId="356D30B4"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 xml:space="preserve">Námitce se vyhovuje v tom, že </w:t>
            </w:r>
            <w:bookmarkStart w:id="486" w:name="_Hlk175903461"/>
            <w:r w:rsidRPr="00BC4A0C">
              <w:rPr>
                <w:rFonts w:asciiTheme="majorHAnsi" w:hAnsiTheme="majorHAnsi" w:cstheme="majorHAnsi"/>
                <w:b/>
                <w:bCs/>
                <w:sz w:val="18"/>
                <w:szCs w:val="18"/>
              </w:rPr>
              <w:t>v místě stávajícího úrovňového přejezdu a v místě železniční stanice bude v územním plánu vyznačena koncepční šipka</w:t>
            </w:r>
            <w:r w:rsidRPr="00BC4A0C">
              <w:rPr>
                <w:rFonts w:asciiTheme="majorHAnsi" w:hAnsiTheme="majorHAnsi" w:cstheme="majorHAnsi"/>
                <w:b/>
                <w:bCs/>
                <w:sz w:val="18"/>
                <w:szCs w:val="18"/>
                <w:highlight w:val="yellow"/>
              </w:rPr>
              <w:t>.</w:t>
            </w:r>
          </w:p>
          <w:bookmarkEnd w:id="486"/>
          <w:p w14:paraId="38F23FC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Ostatní části námitky se zamítají.</w:t>
            </w:r>
          </w:p>
          <w:p w14:paraId="4085C60E"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 </w:t>
            </w:r>
          </w:p>
          <w:p w14:paraId="670BDE3A"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4D593A6D"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Podmínky ploch DD a DZ a stanovený koridor KDZ1 umístění podjezdu pro osobní automobily v místě stávajícího přejezdu mezi Lány a Kostomlaty nad Labem územní plán umožňují. </w:t>
            </w:r>
          </w:p>
          <w:p w14:paraId="73233BE4"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Projekční práce mimoúrovňových křížení s železnicí – viz odůvodnění námitky č. V.</w:t>
            </w:r>
          </w:p>
          <w:p w14:paraId="29BD80EE"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Umístění parkoviště B+R je mimo podrobnost územního plánu.</w:t>
            </w:r>
          </w:p>
          <w:p w14:paraId="660801E6" w14:textId="77777777" w:rsidR="00BC4A0C" w:rsidRPr="00BC4A0C" w:rsidRDefault="00BC4A0C" w:rsidP="00BC4A0C">
            <w:pPr>
              <w:rPr>
                <w:rFonts w:asciiTheme="majorHAnsi" w:hAnsiTheme="majorHAnsi" w:cstheme="majorHAnsi"/>
                <w:b/>
                <w:bCs/>
                <w:sz w:val="18"/>
                <w:szCs w:val="18"/>
              </w:rPr>
            </w:pPr>
          </w:p>
          <w:p w14:paraId="5C3DD3C8" w14:textId="77777777" w:rsidR="00BC4A0C" w:rsidRPr="00BC4A0C" w:rsidRDefault="00BC4A0C" w:rsidP="00BC4A0C">
            <w:pPr>
              <w:rPr>
                <w:rFonts w:asciiTheme="majorHAnsi" w:hAnsiTheme="majorHAnsi" w:cstheme="majorHAnsi"/>
                <w:b/>
                <w:bCs/>
                <w:sz w:val="18"/>
                <w:szCs w:val="18"/>
              </w:rPr>
            </w:pPr>
          </w:p>
          <w:p w14:paraId="4AF289D4" w14:textId="77777777" w:rsidR="00BC4A0C" w:rsidRPr="00BC4A0C" w:rsidRDefault="00BC4A0C" w:rsidP="00BC4A0C">
            <w:pPr>
              <w:rPr>
                <w:rFonts w:asciiTheme="majorHAnsi" w:hAnsiTheme="majorHAnsi" w:cstheme="majorHAnsi"/>
                <w:b/>
                <w:bCs/>
                <w:sz w:val="18"/>
                <w:szCs w:val="18"/>
              </w:rPr>
            </w:pPr>
          </w:p>
          <w:p w14:paraId="559E729D" w14:textId="77777777" w:rsidR="00BC4A0C" w:rsidRPr="00BC4A0C" w:rsidRDefault="00BC4A0C" w:rsidP="00BC4A0C">
            <w:pPr>
              <w:rPr>
                <w:rFonts w:asciiTheme="majorHAnsi" w:hAnsiTheme="majorHAnsi" w:cstheme="majorHAnsi"/>
                <w:b/>
                <w:bCs/>
                <w:sz w:val="18"/>
                <w:szCs w:val="18"/>
              </w:rPr>
            </w:pPr>
          </w:p>
          <w:p w14:paraId="3A9FE0C1" w14:textId="77777777" w:rsidR="00BC4A0C" w:rsidRPr="00BC4A0C" w:rsidRDefault="00BC4A0C" w:rsidP="00BC4A0C">
            <w:pPr>
              <w:rPr>
                <w:rFonts w:asciiTheme="majorHAnsi" w:hAnsiTheme="majorHAnsi" w:cstheme="majorHAnsi"/>
                <w:b/>
                <w:bCs/>
                <w:sz w:val="18"/>
                <w:szCs w:val="18"/>
              </w:rPr>
            </w:pPr>
          </w:p>
          <w:p w14:paraId="227E1F49" w14:textId="77777777" w:rsidR="00BC4A0C" w:rsidRPr="00BC4A0C" w:rsidRDefault="00BC4A0C" w:rsidP="00BC4A0C">
            <w:pPr>
              <w:rPr>
                <w:rFonts w:asciiTheme="majorHAnsi" w:hAnsiTheme="majorHAnsi" w:cstheme="majorHAnsi"/>
                <w:b/>
                <w:bCs/>
                <w:sz w:val="18"/>
                <w:szCs w:val="18"/>
              </w:rPr>
            </w:pPr>
          </w:p>
          <w:p w14:paraId="5B82FED2" w14:textId="77777777" w:rsidR="00BC4A0C" w:rsidRPr="00BC4A0C" w:rsidRDefault="00BC4A0C" w:rsidP="00BC4A0C">
            <w:pPr>
              <w:rPr>
                <w:rFonts w:asciiTheme="majorHAnsi" w:hAnsiTheme="majorHAnsi" w:cstheme="majorHAnsi"/>
                <w:b/>
                <w:bCs/>
                <w:sz w:val="18"/>
                <w:szCs w:val="18"/>
              </w:rPr>
            </w:pPr>
          </w:p>
          <w:p w14:paraId="4B76AD2F" w14:textId="77777777" w:rsidR="00BC4A0C" w:rsidRPr="00BC4A0C" w:rsidRDefault="00BC4A0C" w:rsidP="00BC4A0C">
            <w:pPr>
              <w:rPr>
                <w:rFonts w:asciiTheme="majorHAnsi" w:hAnsiTheme="majorHAnsi" w:cstheme="majorHAnsi"/>
                <w:b/>
                <w:bCs/>
                <w:sz w:val="18"/>
                <w:szCs w:val="18"/>
              </w:rPr>
            </w:pPr>
          </w:p>
          <w:p w14:paraId="22DEB752" w14:textId="77777777" w:rsidR="00BC4A0C" w:rsidRPr="00BC4A0C" w:rsidRDefault="00BC4A0C" w:rsidP="00BC4A0C">
            <w:pPr>
              <w:rPr>
                <w:rFonts w:asciiTheme="majorHAnsi" w:hAnsiTheme="majorHAnsi" w:cstheme="majorHAnsi"/>
                <w:b/>
                <w:bCs/>
                <w:sz w:val="18"/>
                <w:szCs w:val="18"/>
              </w:rPr>
            </w:pPr>
          </w:p>
          <w:p w14:paraId="552B970F" w14:textId="77777777" w:rsidR="00BC4A0C" w:rsidRPr="00BC4A0C" w:rsidRDefault="00BC4A0C" w:rsidP="00BC4A0C">
            <w:pPr>
              <w:rPr>
                <w:rFonts w:asciiTheme="majorHAnsi" w:hAnsiTheme="majorHAnsi" w:cstheme="majorHAnsi"/>
                <w:b/>
                <w:bCs/>
                <w:sz w:val="18"/>
                <w:szCs w:val="18"/>
              </w:rPr>
            </w:pPr>
          </w:p>
          <w:p w14:paraId="044F053A" w14:textId="77777777" w:rsidR="00BC4A0C" w:rsidRPr="00BC4A0C" w:rsidRDefault="00BC4A0C" w:rsidP="00BC4A0C">
            <w:pPr>
              <w:rPr>
                <w:rFonts w:asciiTheme="majorHAnsi" w:hAnsiTheme="majorHAnsi" w:cstheme="majorHAnsi"/>
                <w:b/>
                <w:bCs/>
                <w:sz w:val="18"/>
                <w:szCs w:val="18"/>
              </w:rPr>
            </w:pPr>
          </w:p>
          <w:p w14:paraId="66882F53" w14:textId="77777777" w:rsidR="00BC4A0C" w:rsidRPr="00BC4A0C" w:rsidRDefault="00BC4A0C" w:rsidP="00BC4A0C">
            <w:pPr>
              <w:rPr>
                <w:rFonts w:asciiTheme="majorHAnsi" w:hAnsiTheme="majorHAnsi" w:cstheme="majorHAnsi"/>
                <w:b/>
                <w:bCs/>
                <w:sz w:val="18"/>
                <w:szCs w:val="18"/>
              </w:rPr>
            </w:pPr>
          </w:p>
          <w:p w14:paraId="118C7845" w14:textId="77777777" w:rsidR="00BC4A0C" w:rsidRPr="00BC4A0C" w:rsidRDefault="00BC4A0C" w:rsidP="00BC4A0C">
            <w:pPr>
              <w:rPr>
                <w:rFonts w:asciiTheme="majorHAnsi" w:hAnsiTheme="majorHAnsi" w:cstheme="majorHAnsi"/>
                <w:b/>
                <w:bCs/>
                <w:sz w:val="18"/>
                <w:szCs w:val="18"/>
              </w:rPr>
            </w:pPr>
          </w:p>
          <w:p w14:paraId="54EE9EDF" w14:textId="77777777" w:rsidR="00BC4A0C" w:rsidRPr="00BC4A0C" w:rsidRDefault="00BC4A0C" w:rsidP="00BC4A0C">
            <w:pPr>
              <w:rPr>
                <w:rFonts w:asciiTheme="majorHAnsi" w:hAnsiTheme="majorHAnsi" w:cstheme="majorHAnsi"/>
                <w:b/>
                <w:bCs/>
                <w:sz w:val="18"/>
                <w:szCs w:val="18"/>
              </w:rPr>
            </w:pPr>
          </w:p>
          <w:p w14:paraId="6151A681" w14:textId="77777777" w:rsidR="00BC4A0C" w:rsidRPr="00BC4A0C" w:rsidRDefault="00BC4A0C" w:rsidP="00BC4A0C">
            <w:pPr>
              <w:rPr>
                <w:rFonts w:asciiTheme="majorHAnsi" w:hAnsiTheme="majorHAnsi" w:cstheme="majorHAnsi"/>
                <w:b/>
                <w:bCs/>
                <w:sz w:val="18"/>
                <w:szCs w:val="18"/>
              </w:rPr>
            </w:pPr>
          </w:p>
          <w:p w14:paraId="146D865F" w14:textId="77777777" w:rsidR="00BC4A0C" w:rsidRPr="00BC4A0C" w:rsidRDefault="00BC4A0C" w:rsidP="00BC4A0C">
            <w:pPr>
              <w:rPr>
                <w:rFonts w:asciiTheme="majorHAnsi" w:hAnsiTheme="majorHAnsi" w:cstheme="majorHAnsi"/>
                <w:b/>
                <w:bCs/>
                <w:sz w:val="18"/>
                <w:szCs w:val="18"/>
              </w:rPr>
            </w:pPr>
          </w:p>
          <w:p w14:paraId="48C8A661" w14:textId="77777777" w:rsidR="00BC4A0C" w:rsidRPr="00BC4A0C" w:rsidRDefault="00BC4A0C" w:rsidP="00BC4A0C">
            <w:pPr>
              <w:rPr>
                <w:rFonts w:asciiTheme="majorHAnsi" w:hAnsiTheme="majorHAnsi" w:cstheme="majorHAnsi"/>
                <w:b/>
                <w:bCs/>
                <w:sz w:val="18"/>
                <w:szCs w:val="18"/>
              </w:rPr>
            </w:pPr>
          </w:p>
          <w:p w14:paraId="54A3B619" w14:textId="77777777" w:rsidR="00BC4A0C" w:rsidRPr="00BC4A0C" w:rsidRDefault="00BC4A0C" w:rsidP="00BC4A0C">
            <w:pPr>
              <w:rPr>
                <w:rFonts w:asciiTheme="majorHAnsi" w:hAnsiTheme="majorHAnsi" w:cstheme="majorHAnsi"/>
                <w:b/>
                <w:bCs/>
                <w:sz w:val="18"/>
                <w:szCs w:val="18"/>
              </w:rPr>
            </w:pPr>
          </w:p>
          <w:p w14:paraId="278DB546" w14:textId="77777777" w:rsidR="00BC4A0C" w:rsidRPr="00BC4A0C" w:rsidRDefault="00BC4A0C" w:rsidP="00BC4A0C">
            <w:pPr>
              <w:rPr>
                <w:rFonts w:asciiTheme="majorHAnsi" w:hAnsiTheme="majorHAnsi" w:cstheme="majorHAnsi"/>
                <w:b/>
                <w:bCs/>
                <w:sz w:val="18"/>
                <w:szCs w:val="18"/>
              </w:rPr>
            </w:pPr>
          </w:p>
          <w:p w14:paraId="02701041" w14:textId="77777777" w:rsidR="00BC4A0C" w:rsidRPr="00BC4A0C" w:rsidRDefault="00BC4A0C" w:rsidP="00BC4A0C">
            <w:pPr>
              <w:rPr>
                <w:rFonts w:asciiTheme="majorHAnsi" w:hAnsiTheme="majorHAnsi" w:cstheme="majorHAnsi"/>
                <w:b/>
                <w:bCs/>
                <w:sz w:val="18"/>
                <w:szCs w:val="18"/>
              </w:rPr>
            </w:pPr>
          </w:p>
          <w:p w14:paraId="202C4E94" w14:textId="77777777" w:rsidR="00BC4A0C" w:rsidRPr="00BC4A0C" w:rsidRDefault="00BC4A0C" w:rsidP="00BC4A0C">
            <w:pPr>
              <w:rPr>
                <w:rFonts w:asciiTheme="majorHAnsi" w:hAnsiTheme="majorHAnsi" w:cstheme="majorHAnsi"/>
                <w:b/>
                <w:bCs/>
                <w:sz w:val="18"/>
                <w:szCs w:val="18"/>
              </w:rPr>
            </w:pPr>
          </w:p>
          <w:p w14:paraId="5ECF49C0" w14:textId="77777777" w:rsidR="00BC4A0C" w:rsidRPr="00BC4A0C" w:rsidRDefault="00BC4A0C" w:rsidP="00BC4A0C">
            <w:pPr>
              <w:rPr>
                <w:rFonts w:asciiTheme="majorHAnsi" w:hAnsiTheme="majorHAnsi" w:cstheme="majorHAnsi"/>
                <w:b/>
                <w:bCs/>
                <w:sz w:val="18"/>
                <w:szCs w:val="18"/>
              </w:rPr>
            </w:pPr>
          </w:p>
          <w:p w14:paraId="514D2E41" w14:textId="77777777" w:rsidR="00BC4A0C" w:rsidRPr="00BC4A0C" w:rsidRDefault="00BC4A0C" w:rsidP="00BC4A0C">
            <w:pPr>
              <w:rPr>
                <w:rFonts w:asciiTheme="majorHAnsi" w:hAnsiTheme="majorHAnsi" w:cstheme="majorHAnsi"/>
                <w:b/>
                <w:bCs/>
                <w:sz w:val="18"/>
                <w:szCs w:val="18"/>
              </w:rPr>
            </w:pPr>
          </w:p>
          <w:p w14:paraId="18F455D9" w14:textId="77777777" w:rsidR="00BC4A0C" w:rsidRPr="00BC4A0C" w:rsidRDefault="00BC4A0C" w:rsidP="00BC4A0C">
            <w:pPr>
              <w:rPr>
                <w:rFonts w:asciiTheme="majorHAnsi" w:hAnsiTheme="majorHAnsi" w:cstheme="majorHAnsi"/>
                <w:b/>
                <w:bCs/>
                <w:sz w:val="18"/>
                <w:szCs w:val="18"/>
              </w:rPr>
            </w:pPr>
          </w:p>
          <w:p w14:paraId="708E1E53" w14:textId="77777777" w:rsidR="00BC4A0C" w:rsidRPr="00BC4A0C" w:rsidRDefault="00BC4A0C" w:rsidP="00BC4A0C">
            <w:pPr>
              <w:rPr>
                <w:rFonts w:asciiTheme="majorHAnsi" w:hAnsiTheme="majorHAnsi" w:cstheme="majorHAnsi"/>
                <w:b/>
                <w:bCs/>
                <w:sz w:val="18"/>
                <w:szCs w:val="18"/>
              </w:rPr>
            </w:pPr>
          </w:p>
          <w:p w14:paraId="172E54B6" w14:textId="77777777" w:rsidR="00BC4A0C" w:rsidRPr="00BC4A0C" w:rsidRDefault="00BC4A0C" w:rsidP="00BC4A0C">
            <w:pPr>
              <w:rPr>
                <w:rFonts w:asciiTheme="majorHAnsi" w:hAnsiTheme="majorHAnsi" w:cstheme="majorHAnsi"/>
                <w:b/>
                <w:bCs/>
                <w:sz w:val="18"/>
                <w:szCs w:val="18"/>
              </w:rPr>
            </w:pPr>
          </w:p>
          <w:p w14:paraId="677475A6" w14:textId="77777777" w:rsidR="00BC4A0C" w:rsidRPr="00BC4A0C" w:rsidRDefault="00BC4A0C" w:rsidP="00BC4A0C">
            <w:pPr>
              <w:rPr>
                <w:rFonts w:asciiTheme="majorHAnsi" w:hAnsiTheme="majorHAnsi" w:cstheme="majorHAnsi"/>
                <w:b/>
                <w:bCs/>
                <w:sz w:val="18"/>
                <w:szCs w:val="18"/>
              </w:rPr>
            </w:pPr>
          </w:p>
          <w:p w14:paraId="79D24F99" w14:textId="77777777" w:rsidR="00BC4A0C" w:rsidRPr="00BC4A0C" w:rsidRDefault="00BC4A0C" w:rsidP="00BC4A0C">
            <w:pPr>
              <w:rPr>
                <w:rFonts w:asciiTheme="majorHAnsi" w:hAnsiTheme="majorHAnsi" w:cstheme="majorHAnsi"/>
                <w:b/>
                <w:bCs/>
                <w:sz w:val="18"/>
                <w:szCs w:val="18"/>
              </w:rPr>
            </w:pPr>
          </w:p>
          <w:p w14:paraId="144488CF" w14:textId="77777777" w:rsidR="00BC4A0C" w:rsidRPr="00BC4A0C" w:rsidRDefault="00BC4A0C" w:rsidP="00BC4A0C">
            <w:pPr>
              <w:rPr>
                <w:rFonts w:asciiTheme="majorHAnsi" w:hAnsiTheme="majorHAnsi" w:cstheme="majorHAnsi"/>
                <w:b/>
                <w:bCs/>
                <w:sz w:val="18"/>
                <w:szCs w:val="18"/>
              </w:rPr>
            </w:pPr>
          </w:p>
          <w:p w14:paraId="24413A27" w14:textId="77777777" w:rsidR="00BC4A0C" w:rsidRPr="00BC4A0C" w:rsidRDefault="00BC4A0C" w:rsidP="00BC4A0C">
            <w:pPr>
              <w:rPr>
                <w:rFonts w:asciiTheme="majorHAnsi" w:hAnsiTheme="majorHAnsi" w:cstheme="majorHAnsi"/>
                <w:b/>
                <w:bCs/>
                <w:sz w:val="18"/>
                <w:szCs w:val="18"/>
              </w:rPr>
            </w:pPr>
          </w:p>
          <w:p w14:paraId="7560B28C" w14:textId="77777777" w:rsidR="00BC4A0C" w:rsidRPr="00BC4A0C" w:rsidRDefault="00BC4A0C" w:rsidP="00BC4A0C">
            <w:pPr>
              <w:rPr>
                <w:rFonts w:asciiTheme="majorHAnsi" w:hAnsiTheme="majorHAnsi" w:cstheme="majorHAnsi"/>
                <w:b/>
                <w:bCs/>
                <w:sz w:val="18"/>
                <w:szCs w:val="18"/>
              </w:rPr>
            </w:pPr>
          </w:p>
          <w:p w14:paraId="19AE9089" w14:textId="77777777" w:rsidR="00BC4A0C" w:rsidRPr="00BC4A0C" w:rsidRDefault="00BC4A0C" w:rsidP="00BC4A0C">
            <w:pPr>
              <w:rPr>
                <w:rFonts w:asciiTheme="majorHAnsi" w:hAnsiTheme="majorHAnsi" w:cstheme="majorHAnsi"/>
                <w:b/>
                <w:bCs/>
                <w:sz w:val="18"/>
                <w:szCs w:val="18"/>
              </w:rPr>
            </w:pPr>
          </w:p>
          <w:p w14:paraId="58EB8BFE" w14:textId="77777777" w:rsidR="00BC4A0C" w:rsidRPr="00BC4A0C" w:rsidRDefault="00BC4A0C" w:rsidP="00BC4A0C">
            <w:pPr>
              <w:rPr>
                <w:rFonts w:asciiTheme="majorHAnsi" w:hAnsiTheme="majorHAnsi" w:cstheme="majorHAnsi"/>
                <w:b/>
                <w:bCs/>
                <w:sz w:val="18"/>
                <w:szCs w:val="18"/>
              </w:rPr>
            </w:pPr>
          </w:p>
          <w:p w14:paraId="5F668044" w14:textId="77777777" w:rsidR="00BC4A0C" w:rsidRPr="00BC4A0C" w:rsidRDefault="00BC4A0C" w:rsidP="00BC4A0C">
            <w:pPr>
              <w:rPr>
                <w:rFonts w:asciiTheme="majorHAnsi" w:hAnsiTheme="majorHAnsi" w:cstheme="majorHAnsi"/>
                <w:b/>
                <w:bCs/>
                <w:sz w:val="18"/>
                <w:szCs w:val="18"/>
              </w:rPr>
            </w:pPr>
          </w:p>
          <w:p w14:paraId="7A53873E" w14:textId="77777777" w:rsidR="00BC4A0C" w:rsidRPr="00BC4A0C" w:rsidRDefault="00BC4A0C" w:rsidP="00BC4A0C">
            <w:pPr>
              <w:rPr>
                <w:rFonts w:asciiTheme="majorHAnsi" w:hAnsiTheme="majorHAnsi" w:cstheme="majorHAnsi"/>
                <w:b/>
                <w:bCs/>
                <w:sz w:val="18"/>
                <w:szCs w:val="18"/>
              </w:rPr>
            </w:pPr>
          </w:p>
          <w:p w14:paraId="71784DDB"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2F4FBFF9" w14:textId="77777777" w:rsidR="00BC4A0C" w:rsidRPr="00BC4A0C" w:rsidRDefault="00BC4A0C" w:rsidP="00BC4A0C">
            <w:pPr>
              <w:rPr>
                <w:rFonts w:asciiTheme="majorHAnsi" w:hAnsiTheme="majorHAnsi" w:cstheme="majorHAnsi"/>
                <w:b/>
                <w:bCs/>
                <w:sz w:val="18"/>
                <w:szCs w:val="18"/>
              </w:rPr>
            </w:pPr>
          </w:p>
          <w:p w14:paraId="21847F36"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73110697"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Ve stabilizovaných plochách lehké výroby (VL) jsou stávající stavby s větší výškou než 10 m.</w:t>
            </w:r>
          </w:p>
          <w:p w14:paraId="6F36D619" w14:textId="77777777" w:rsidR="00BC4A0C" w:rsidRPr="00BC4A0C" w:rsidRDefault="00BC4A0C" w:rsidP="00BC4A0C">
            <w:pPr>
              <w:rPr>
                <w:rFonts w:asciiTheme="majorHAnsi" w:hAnsiTheme="majorHAnsi" w:cstheme="majorHAnsi"/>
                <w:b/>
                <w:bCs/>
                <w:sz w:val="18"/>
                <w:szCs w:val="18"/>
              </w:rPr>
            </w:pPr>
          </w:p>
          <w:p w14:paraId="25C0780B" w14:textId="77777777" w:rsidR="00BC4A0C" w:rsidRPr="00BC4A0C" w:rsidRDefault="00BC4A0C" w:rsidP="00BC4A0C">
            <w:pPr>
              <w:rPr>
                <w:rFonts w:asciiTheme="majorHAnsi" w:hAnsiTheme="majorHAnsi" w:cstheme="majorHAnsi"/>
                <w:b/>
                <w:bCs/>
                <w:sz w:val="18"/>
                <w:szCs w:val="18"/>
              </w:rPr>
            </w:pPr>
          </w:p>
          <w:p w14:paraId="63C9F451" w14:textId="77777777" w:rsidR="00BC4A0C" w:rsidRPr="00BC4A0C" w:rsidRDefault="00BC4A0C" w:rsidP="00BC4A0C">
            <w:pPr>
              <w:rPr>
                <w:rFonts w:asciiTheme="majorHAnsi" w:hAnsiTheme="majorHAnsi" w:cstheme="majorHAnsi"/>
                <w:b/>
                <w:bCs/>
                <w:sz w:val="18"/>
                <w:szCs w:val="18"/>
              </w:rPr>
            </w:pPr>
          </w:p>
          <w:p w14:paraId="55AEBBB7" w14:textId="77777777" w:rsidR="00BC4A0C" w:rsidRPr="00BC4A0C" w:rsidRDefault="00BC4A0C" w:rsidP="00BC4A0C">
            <w:pPr>
              <w:rPr>
                <w:rFonts w:asciiTheme="majorHAnsi" w:hAnsiTheme="majorHAnsi" w:cstheme="majorHAnsi"/>
                <w:b/>
                <w:bCs/>
                <w:sz w:val="18"/>
                <w:szCs w:val="18"/>
              </w:rPr>
            </w:pPr>
          </w:p>
          <w:p w14:paraId="2B6431B9" w14:textId="77777777" w:rsidR="00BC4A0C" w:rsidRPr="00BC4A0C" w:rsidRDefault="00BC4A0C" w:rsidP="00BC4A0C">
            <w:pPr>
              <w:rPr>
                <w:rFonts w:asciiTheme="majorHAnsi" w:hAnsiTheme="majorHAnsi" w:cstheme="majorHAnsi"/>
                <w:b/>
                <w:bCs/>
                <w:sz w:val="18"/>
                <w:szCs w:val="18"/>
              </w:rPr>
            </w:pPr>
          </w:p>
          <w:p w14:paraId="3DD462AB" w14:textId="77777777" w:rsidR="00BC4A0C" w:rsidRPr="00BC4A0C" w:rsidRDefault="00BC4A0C" w:rsidP="00BC4A0C">
            <w:pPr>
              <w:rPr>
                <w:rFonts w:asciiTheme="majorHAnsi" w:hAnsiTheme="majorHAnsi" w:cstheme="majorHAnsi"/>
                <w:b/>
                <w:bCs/>
                <w:sz w:val="18"/>
                <w:szCs w:val="18"/>
              </w:rPr>
            </w:pPr>
          </w:p>
          <w:p w14:paraId="17DA1982" w14:textId="77777777" w:rsidR="00BC4A0C" w:rsidRPr="00BC4A0C" w:rsidRDefault="00BC4A0C" w:rsidP="00BC4A0C">
            <w:pPr>
              <w:rPr>
                <w:rFonts w:asciiTheme="majorHAnsi" w:hAnsiTheme="majorHAnsi" w:cstheme="majorHAnsi"/>
                <w:b/>
                <w:bCs/>
                <w:sz w:val="18"/>
                <w:szCs w:val="18"/>
              </w:rPr>
            </w:pPr>
          </w:p>
          <w:p w14:paraId="25114C7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 xml:space="preserve">Rozhodnutí: Námitce se vyhovuje. </w:t>
            </w:r>
            <w:bookmarkStart w:id="487" w:name="_Hlk175903482"/>
            <w:r w:rsidRPr="00BC4A0C">
              <w:rPr>
                <w:rFonts w:asciiTheme="majorHAnsi" w:hAnsiTheme="majorHAnsi" w:cstheme="majorHAnsi"/>
                <w:b/>
                <w:bCs/>
                <w:sz w:val="18"/>
                <w:szCs w:val="18"/>
              </w:rPr>
              <w:t>Rekonstrukce komunikace z Vápenska směrem do Milovic a Zbožíčka bude vymezena jako veřejně prospěšná stavba, pro kterou lze uplatnit předkupní právo.</w:t>
            </w:r>
            <w:bookmarkEnd w:id="487"/>
          </w:p>
          <w:p w14:paraId="23AF72EF" w14:textId="77777777" w:rsidR="00BC4A0C" w:rsidRPr="00BC4A0C" w:rsidRDefault="00BC4A0C" w:rsidP="00BC4A0C">
            <w:pPr>
              <w:rPr>
                <w:rFonts w:asciiTheme="majorHAnsi" w:hAnsiTheme="majorHAnsi" w:cstheme="majorHAnsi"/>
                <w:b/>
                <w:bCs/>
                <w:sz w:val="18"/>
                <w:szCs w:val="18"/>
              </w:rPr>
            </w:pPr>
          </w:p>
          <w:p w14:paraId="1CD8FE69"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4BA4D5D7"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Jedná se o poměrně často využívanou komunikaci ve špatném technickém stavu. Komunikace je rozdělena na několik pozemků, které mají různé majitele (fyzické osoby). Zařazení rekonstrukce této silnice jako veřejně prospěšné stavby zjednoduší případné vypořádání vlastnických práv při přípravě stavby a umožní na stavbu čerpat dotace.</w:t>
            </w:r>
          </w:p>
          <w:p w14:paraId="0DAC6ED4" w14:textId="77777777" w:rsidR="00BC4A0C" w:rsidRPr="00BC4A0C" w:rsidRDefault="00BC4A0C" w:rsidP="00BC4A0C">
            <w:pPr>
              <w:rPr>
                <w:rFonts w:asciiTheme="majorHAnsi" w:hAnsiTheme="majorHAnsi" w:cstheme="majorHAnsi"/>
                <w:sz w:val="18"/>
                <w:szCs w:val="18"/>
              </w:rPr>
            </w:pPr>
          </w:p>
          <w:p w14:paraId="2B2466B3" w14:textId="77777777" w:rsidR="00BC4A0C" w:rsidRPr="00BC4A0C" w:rsidRDefault="00BC4A0C" w:rsidP="00BC4A0C">
            <w:pPr>
              <w:rPr>
                <w:rFonts w:asciiTheme="majorHAnsi" w:hAnsiTheme="majorHAnsi" w:cstheme="majorHAnsi"/>
                <w:sz w:val="18"/>
                <w:szCs w:val="18"/>
              </w:rPr>
            </w:pPr>
          </w:p>
          <w:p w14:paraId="2E84B6E6"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 Námitce se vyhovuje. Do návrhu ÚP bude umístěna koncepční šipka.</w:t>
            </w:r>
          </w:p>
          <w:p w14:paraId="34694F2D" w14:textId="77777777" w:rsidR="00BC4A0C" w:rsidRPr="00BC4A0C" w:rsidRDefault="00BC4A0C" w:rsidP="00BC4A0C">
            <w:pPr>
              <w:rPr>
                <w:rFonts w:asciiTheme="majorHAnsi" w:hAnsiTheme="majorHAnsi" w:cstheme="majorHAnsi"/>
                <w:b/>
                <w:bCs/>
                <w:sz w:val="18"/>
                <w:szCs w:val="18"/>
              </w:rPr>
            </w:pPr>
          </w:p>
          <w:p w14:paraId="470F3EF9"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lastRenderedPageBreak/>
              <w:t>Odůvodnění:</w:t>
            </w:r>
          </w:p>
          <w:p w14:paraId="2EEFB731"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Umístěním koncepční šipky bude naznačen směr vhodného prostupu územím s návazností na cyklostezku podél vodního toku Mlynařice v k. ú. Milovice.</w:t>
            </w:r>
          </w:p>
          <w:p w14:paraId="3D539962" w14:textId="77777777" w:rsidR="00BC4A0C" w:rsidRPr="00BC4A0C" w:rsidRDefault="00BC4A0C" w:rsidP="00BC4A0C">
            <w:pPr>
              <w:rPr>
                <w:rFonts w:asciiTheme="majorHAnsi" w:hAnsiTheme="majorHAnsi" w:cstheme="majorHAnsi"/>
                <w:b/>
                <w:bCs/>
                <w:sz w:val="18"/>
                <w:szCs w:val="18"/>
              </w:rPr>
            </w:pPr>
          </w:p>
          <w:p w14:paraId="4B30227D" w14:textId="77777777" w:rsidR="00BC4A0C" w:rsidRPr="00BC4A0C" w:rsidRDefault="00BC4A0C" w:rsidP="00BC4A0C">
            <w:pPr>
              <w:rPr>
                <w:rFonts w:asciiTheme="majorHAnsi" w:hAnsiTheme="majorHAnsi" w:cstheme="majorHAnsi"/>
                <w:b/>
                <w:bCs/>
                <w:sz w:val="18"/>
                <w:szCs w:val="18"/>
              </w:rPr>
            </w:pPr>
          </w:p>
          <w:p w14:paraId="10A7DFBE" w14:textId="77777777" w:rsidR="00BC4A0C" w:rsidRPr="00BC4A0C" w:rsidRDefault="00BC4A0C" w:rsidP="00BC4A0C">
            <w:pPr>
              <w:rPr>
                <w:rFonts w:asciiTheme="majorHAnsi" w:hAnsiTheme="majorHAnsi" w:cstheme="majorHAnsi"/>
                <w:b/>
                <w:bCs/>
                <w:sz w:val="18"/>
                <w:szCs w:val="18"/>
              </w:rPr>
            </w:pPr>
          </w:p>
          <w:p w14:paraId="133F36B2" w14:textId="77777777" w:rsidR="00BC4A0C" w:rsidRPr="00BC4A0C" w:rsidRDefault="00BC4A0C" w:rsidP="00BC4A0C">
            <w:pPr>
              <w:rPr>
                <w:rFonts w:asciiTheme="majorHAnsi" w:hAnsiTheme="majorHAnsi" w:cstheme="majorHAnsi"/>
                <w:b/>
                <w:bCs/>
                <w:sz w:val="18"/>
                <w:szCs w:val="18"/>
              </w:rPr>
            </w:pPr>
          </w:p>
          <w:p w14:paraId="7B2206C1" w14:textId="77777777" w:rsidR="00BC4A0C" w:rsidRPr="00BC4A0C" w:rsidRDefault="00BC4A0C" w:rsidP="00BC4A0C">
            <w:pPr>
              <w:rPr>
                <w:rFonts w:asciiTheme="majorHAnsi" w:hAnsiTheme="majorHAnsi" w:cstheme="majorHAnsi"/>
                <w:b/>
                <w:bCs/>
                <w:sz w:val="18"/>
                <w:szCs w:val="18"/>
              </w:rPr>
            </w:pPr>
          </w:p>
          <w:p w14:paraId="636A0DE0"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76A33CA3" w14:textId="77777777" w:rsidR="00BC4A0C" w:rsidRPr="00BC4A0C" w:rsidRDefault="00BC4A0C" w:rsidP="00BC4A0C">
            <w:pPr>
              <w:rPr>
                <w:rFonts w:asciiTheme="majorHAnsi" w:hAnsiTheme="majorHAnsi" w:cstheme="majorHAnsi"/>
                <w:b/>
                <w:bCs/>
                <w:sz w:val="18"/>
                <w:szCs w:val="18"/>
              </w:rPr>
            </w:pPr>
          </w:p>
          <w:p w14:paraId="6F5A397D"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735C6F6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Umístění cyklostezky nebo komunikace pro pěší je umožněno podmínkami stanovenými pro plochy DZ i podmínkami v rámci koridoru KDZ1.</w:t>
            </w:r>
          </w:p>
          <w:p w14:paraId="3C2B0ADA" w14:textId="77777777" w:rsidR="00BC4A0C" w:rsidRPr="00BC4A0C" w:rsidRDefault="00BC4A0C" w:rsidP="00BC4A0C">
            <w:pPr>
              <w:rPr>
                <w:rFonts w:asciiTheme="majorHAnsi" w:hAnsiTheme="majorHAnsi" w:cstheme="majorHAnsi"/>
                <w:sz w:val="18"/>
                <w:szCs w:val="18"/>
              </w:rPr>
            </w:pPr>
          </w:p>
          <w:p w14:paraId="5A4C22D6" w14:textId="77777777" w:rsidR="00BC4A0C" w:rsidRPr="00BC4A0C" w:rsidRDefault="00BC4A0C" w:rsidP="00BC4A0C">
            <w:pPr>
              <w:rPr>
                <w:rFonts w:asciiTheme="majorHAnsi" w:hAnsiTheme="majorHAnsi" w:cstheme="majorHAnsi"/>
                <w:sz w:val="18"/>
                <w:szCs w:val="18"/>
              </w:rPr>
            </w:pPr>
          </w:p>
          <w:p w14:paraId="35E15D2F" w14:textId="77777777" w:rsidR="00BC4A0C" w:rsidRPr="00BC4A0C" w:rsidRDefault="00BC4A0C" w:rsidP="00BC4A0C">
            <w:pPr>
              <w:rPr>
                <w:rFonts w:asciiTheme="majorHAnsi" w:hAnsiTheme="majorHAnsi" w:cstheme="majorHAnsi"/>
                <w:sz w:val="18"/>
                <w:szCs w:val="18"/>
              </w:rPr>
            </w:pPr>
          </w:p>
          <w:p w14:paraId="21C0AE11" w14:textId="77777777" w:rsidR="00BC4A0C" w:rsidRPr="00BC4A0C" w:rsidRDefault="00BC4A0C" w:rsidP="00BC4A0C">
            <w:pPr>
              <w:rPr>
                <w:rFonts w:asciiTheme="majorHAnsi" w:hAnsiTheme="majorHAnsi" w:cstheme="majorHAnsi"/>
                <w:sz w:val="18"/>
                <w:szCs w:val="18"/>
              </w:rPr>
            </w:pPr>
          </w:p>
          <w:p w14:paraId="77E27B6B" w14:textId="77777777" w:rsidR="00BC4A0C" w:rsidRPr="00BC4A0C" w:rsidRDefault="00BC4A0C" w:rsidP="00BC4A0C">
            <w:pPr>
              <w:rPr>
                <w:rFonts w:asciiTheme="majorHAnsi" w:hAnsiTheme="majorHAnsi" w:cstheme="majorHAnsi"/>
                <w:sz w:val="18"/>
                <w:szCs w:val="18"/>
              </w:rPr>
            </w:pPr>
          </w:p>
          <w:p w14:paraId="46A5AF62" w14:textId="77777777" w:rsidR="00BC4A0C" w:rsidRPr="00BC4A0C" w:rsidRDefault="00BC4A0C" w:rsidP="00BC4A0C">
            <w:pPr>
              <w:rPr>
                <w:rFonts w:asciiTheme="majorHAnsi" w:hAnsiTheme="majorHAnsi" w:cstheme="majorHAnsi"/>
                <w:sz w:val="18"/>
                <w:szCs w:val="18"/>
              </w:rPr>
            </w:pPr>
          </w:p>
          <w:p w14:paraId="5D4611A6" w14:textId="77777777" w:rsidR="00BC4A0C" w:rsidRPr="00BC4A0C" w:rsidRDefault="00BC4A0C" w:rsidP="00BC4A0C">
            <w:pPr>
              <w:rPr>
                <w:rFonts w:asciiTheme="majorHAnsi" w:hAnsiTheme="majorHAnsi" w:cstheme="majorHAnsi"/>
                <w:sz w:val="18"/>
                <w:szCs w:val="18"/>
              </w:rPr>
            </w:pPr>
          </w:p>
          <w:p w14:paraId="641FFF58" w14:textId="77777777" w:rsidR="00BC4A0C" w:rsidRPr="00BC4A0C" w:rsidRDefault="00BC4A0C" w:rsidP="00BC4A0C">
            <w:pPr>
              <w:rPr>
                <w:rFonts w:asciiTheme="majorHAnsi" w:hAnsiTheme="majorHAnsi" w:cstheme="majorHAnsi"/>
                <w:sz w:val="18"/>
                <w:szCs w:val="18"/>
              </w:rPr>
            </w:pPr>
          </w:p>
          <w:p w14:paraId="3A93BE57"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50F9F49C" w14:textId="77777777" w:rsidR="00BC4A0C" w:rsidRPr="00BC4A0C" w:rsidRDefault="00BC4A0C" w:rsidP="00BC4A0C">
            <w:pPr>
              <w:rPr>
                <w:rFonts w:asciiTheme="majorHAnsi" w:hAnsiTheme="majorHAnsi" w:cstheme="majorHAnsi"/>
                <w:b/>
                <w:bCs/>
                <w:sz w:val="18"/>
                <w:szCs w:val="18"/>
              </w:rPr>
            </w:pPr>
          </w:p>
          <w:p w14:paraId="2029D8D2"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006FA318"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Umístění cyklostezky nebo komunikace pro pěší je umožněno podmínkami stanovenými pro plochy DZ i podmínkami v rámci koridoru KDZ1.</w:t>
            </w:r>
          </w:p>
          <w:p w14:paraId="55D0890A" w14:textId="77777777" w:rsidR="00BC4A0C" w:rsidRPr="00BC4A0C" w:rsidRDefault="00BC4A0C" w:rsidP="00BC4A0C">
            <w:pPr>
              <w:rPr>
                <w:rFonts w:asciiTheme="majorHAnsi" w:hAnsiTheme="majorHAnsi" w:cstheme="majorHAnsi"/>
                <w:b/>
                <w:bCs/>
                <w:sz w:val="18"/>
                <w:szCs w:val="18"/>
              </w:rPr>
            </w:pPr>
          </w:p>
        </w:tc>
      </w:tr>
      <w:tr w:rsidR="00BC4A0C" w:rsidRPr="00BC4A0C" w14:paraId="557E7405" w14:textId="77777777" w:rsidTr="00CD657D">
        <w:tc>
          <w:tcPr>
            <w:tcW w:w="6096" w:type="dxa"/>
          </w:tcPr>
          <w:p w14:paraId="1D29C812"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lastRenderedPageBreak/>
              <w:t>Jan Kučera, Kostomlaty nad Labem, 9. května 380</w:t>
            </w:r>
          </w:p>
          <w:p w14:paraId="66ED179B" w14:textId="77777777" w:rsidR="00BC4A0C" w:rsidRPr="00BC4A0C" w:rsidRDefault="00BC4A0C" w:rsidP="00BC4A0C">
            <w:pPr>
              <w:rPr>
                <w:rFonts w:asciiTheme="majorHAnsi" w:hAnsiTheme="majorHAnsi" w:cstheme="majorHAnsi"/>
                <w:sz w:val="18"/>
                <w:szCs w:val="18"/>
              </w:rPr>
            </w:pPr>
          </w:p>
        </w:tc>
        <w:tc>
          <w:tcPr>
            <w:tcW w:w="3118" w:type="dxa"/>
          </w:tcPr>
          <w:p w14:paraId="30AF7093" w14:textId="77777777" w:rsidR="00BC4A0C" w:rsidRPr="00BC4A0C" w:rsidRDefault="00BC4A0C" w:rsidP="00BC4A0C">
            <w:pPr>
              <w:rPr>
                <w:rFonts w:asciiTheme="majorHAnsi" w:hAnsiTheme="majorHAnsi" w:cstheme="majorHAnsi"/>
                <w:b/>
                <w:bCs/>
                <w:sz w:val="18"/>
                <w:szCs w:val="18"/>
              </w:rPr>
            </w:pPr>
          </w:p>
        </w:tc>
      </w:tr>
      <w:tr w:rsidR="00BC4A0C" w:rsidRPr="00BC4A0C" w14:paraId="57D78511" w14:textId="77777777" w:rsidTr="00CD657D">
        <w:tc>
          <w:tcPr>
            <w:tcW w:w="6096" w:type="dxa"/>
          </w:tcPr>
          <w:p w14:paraId="6F35BBA1"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Připomínky:</w:t>
            </w:r>
          </w:p>
          <w:p w14:paraId="7B6C0B31" w14:textId="77777777" w:rsidR="00BC4A0C" w:rsidRPr="00BC4A0C" w:rsidRDefault="00BC4A0C" w:rsidP="00BC4A0C">
            <w:pPr>
              <w:pStyle w:val="Odstavecseseznamem"/>
              <w:numPr>
                <w:ilvl w:val="0"/>
                <w:numId w:val="53"/>
              </w:numPr>
              <w:rPr>
                <w:rFonts w:asciiTheme="majorHAnsi" w:hAnsiTheme="majorHAnsi" w:cstheme="majorHAnsi"/>
                <w:sz w:val="18"/>
                <w:szCs w:val="18"/>
              </w:rPr>
            </w:pPr>
            <w:r w:rsidRPr="00BC4A0C">
              <w:rPr>
                <w:rFonts w:asciiTheme="majorHAnsi" w:hAnsiTheme="majorHAnsi" w:cstheme="majorHAnsi"/>
                <w:sz w:val="18"/>
                <w:szCs w:val="18"/>
              </w:rPr>
              <w:t xml:space="preserve">Zachování územní rezervy pro koridor jižního obchvatu Kostomlat n/L dle stávajícího ÚP s úpravami dle nových skutečností v území. Napojení na komunikaci 331 v rámci k. ú.  Kostomlaty. Napojení na navrhované koridory pro budoucí mimoúrovňové křížení na chystané modernizaci traťového úseku Lysá n/L – Nymburk. Posunutí koridoru pro budoucí nadjezd/podjezd směrem západně od zástavby i pro lepší napojení na obchvat tak, aby nevznikaly dvě křížení při komunikaci 331. </w:t>
            </w:r>
          </w:p>
          <w:p w14:paraId="7AF652CE" w14:textId="77777777" w:rsidR="00BC4A0C" w:rsidRPr="00BC4A0C" w:rsidRDefault="00BC4A0C" w:rsidP="00BC4A0C">
            <w:pPr>
              <w:pStyle w:val="Odstavecseseznamem"/>
              <w:ind w:left="360"/>
              <w:rPr>
                <w:rFonts w:asciiTheme="majorHAnsi" w:hAnsiTheme="majorHAnsi" w:cstheme="majorHAnsi"/>
                <w:sz w:val="18"/>
                <w:szCs w:val="18"/>
              </w:rPr>
            </w:pPr>
          </w:p>
          <w:p w14:paraId="56D39A5A" w14:textId="77777777" w:rsidR="00BC4A0C" w:rsidRPr="00BC4A0C" w:rsidRDefault="00BC4A0C" w:rsidP="00BC4A0C">
            <w:pPr>
              <w:pStyle w:val="Odstavecseseznamem"/>
              <w:ind w:left="360"/>
              <w:rPr>
                <w:rFonts w:asciiTheme="majorHAnsi" w:hAnsiTheme="majorHAnsi" w:cstheme="majorHAnsi"/>
                <w:sz w:val="18"/>
                <w:szCs w:val="18"/>
              </w:rPr>
            </w:pPr>
          </w:p>
          <w:p w14:paraId="0ED54FBB" w14:textId="77777777" w:rsidR="00BC4A0C" w:rsidRPr="00BC4A0C" w:rsidRDefault="00BC4A0C" w:rsidP="00BC4A0C">
            <w:pPr>
              <w:pStyle w:val="Odstavecseseznamem"/>
              <w:ind w:left="360"/>
              <w:rPr>
                <w:rFonts w:asciiTheme="majorHAnsi" w:hAnsiTheme="majorHAnsi" w:cstheme="majorHAnsi"/>
                <w:sz w:val="18"/>
                <w:szCs w:val="18"/>
              </w:rPr>
            </w:pPr>
          </w:p>
          <w:p w14:paraId="28607507" w14:textId="77777777" w:rsidR="00BC4A0C" w:rsidRPr="00BC4A0C" w:rsidRDefault="00BC4A0C" w:rsidP="00BC4A0C">
            <w:pPr>
              <w:pStyle w:val="Odstavecseseznamem"/>
              <w:numPr>
                <w:ilvl w:val="0"/>
                <w:numId w:val="53"/>
              </w:numPr>
              <w:rPr>
                <w:rFonts w:asciiTheme="majorHAnsi" w:hAnsiTheme="majorHAnsi" w:cstheme="majorHAnsi"/>
                <w:sz w:val="18"/>
                <w:szCs w:val="18"/>
              </w:rPr>
            </w:pPr>
            <w:r w:rsidRPr="00BC4A0C">
              <w:rPr>
                <w:rFonts w:asciiTheme="majorHAnsi" w:hAnsiTheme="majorHAnsi" w:cstheme="majorHAnsi"/>
                <w:sz w:val="18"/>
                <w:szCs w:val="18"/>
              </w:rPr>
              <w:t>Zrušení varianty sever při plánované přeložce III/3317, která je v kolizi s již plánovanou výstavbou, dle aktuálního územního plánu vedena jako návrh pro bydlení č. 6. zrušení plochy pro bydlení Z.15, která je v kolizi s variantou střed, ale stávajícím plánu není zahrnuta.</w:t>
            </w:r>
          </w:p>
          <w:p w14:paraId="17765AF2" w14:textId="77777777" w:rsidR="00BC4A0C" w:rsidRPr="00BC4A0C" w:rsidRDefault="00BC4A0C" w:rsidP="00BC4A0C">
            <w:pPr>
              <w:pStyle w:val="Odstavecseseznamem"/>
              <w:numPr>
                <w:ilvl w:val="0"/>
                <w:numId w:val="53"/>
              </w:numPr>
              <w:rPr>
                <w:rFonts w:asciiTheme="majorHAnsi" w:hAnsiTheme="majorHAnsi" w:cstheme="majorHAnsi"/>
                <w:sz w:val="18"/>
                <w:szCs w:val="18"/>
              </w:rPr>
            </w:pPr>
            <w:r w:rsidRPr="00BC4A0C">
              <w:rPr>
                <w:rFonts w:asciiTheme="majorHAnsi" w:hAnsiTheme="majorHAnsi" w:cstheme="majorHAnsi"/>
                <w:sz w:val="18"/>
                <w:szCs w:val="18"/>
              </w:rPr>
              <w:t>Do navrhovaného plánu umístit možnost varianty podjezdu v místě rušeného železničního přejezdu v ulici Hronětická. V místě plánovaného pěšího podchodu zachovat možnost i pro případný podjezd pro osobní automobily s minimálně jedním jízdním pruhem.</w:t>
            </w:r>
          </w:p>
          <w:p w14:paraId="328BC1BE" w14:textId="77777777" w:rsidR="00BC4A0C" w:rsidRPr="00BC4A0C" w:rsidRDefault="00BC4A0C" w:rsidP="00BC4A0C">
            <w:pPr>
              <w:pStyle w:val="Odstavecseseznamem"/>
              <w:ind w:left="360"/>
              <w:rPr>
                <w:rFonts w:asciiTheme="majorHAnsi" w:hAnsiTheme="majorHAnsi" w:cstheme="majorHAnsi"/>
                <w:sz w:val="18"/>
                <w:szCs w:val="18"/>
              </w:rPr>
            </w:pPr>
          </w:p>
          <w:p w14:paraId="369468F8" w14:textId="77777777" w:rsidR="00BC4A0C" w:rsidRPr="00BC4A0C" w:rsidRDefault="00BC4A0C" w:rsidP="00BC4A0C">
            <w:pPr>
              <w:pStyle w:val="Odstavecseseznamem"/>
              <w:numPr>
                <w:ilvl w:val="0"/>
                <w:numId w:val="53"/>
              </w:numPr>
              <w:rPr>
                <w:rFonts w:asciiTheme="majorHAnsi" w:hAnsiTheme="majorHAnsi" w:cstheme="majorHAnsi"/>
                <w:sz w:val="18"/>
                <w:szCs w:val="18"/>
              </w:rPr>
            </w:pPr>
            <w:bookmarkStart w:id="488" w:name="_Hlk175903552"/>
            <w:r w:rsidRPr="00BC4A0C">
              <w:rPr>
                <w:rFonts w:asciiTheme="majorHAnsi" w:hAnsiTheme="majorHAnsi" w:cstheme="majorHAnsi"/>
                <w:sz w:val="18"/>
                <w:szCs w:val="18"/>
              </w:rPr>
              <w:t>Zachovat v návrhu ÚP obce rezervu plochy pro bydlení dle stávajícího ÚP západní části k. ú. Kostomlaty, též zvaném Na Skřemeni (2.04.01-IV).</w:t>
            </w:r>
          </w:p>
          <w:p w14:paraId="768BCEDA" w14:textId="77777777" w:rsidR="00BC4A0C" w:rsidRPr="00BC4A0C" w:rsidRDefault="00BC4A0C" w:rsidP="00BC4A0C">
            <w:pPr>
              <w:pStyle w:val="Odstavecseseznamem"/>
              <w:ind w:left="360"/>
              <w:rPr>
                <w:rFonts w:asciiTheme="majorHAnsi" w:hAnsiTheme="majorHAnsi" w:cstheme="majorHAnsi"/>
                <w:sz w:val="18"/>
                <w:szCs w:val="18"/>
              </w:rPr>
            </w:pPr>
          </w:p>
          <w:p w14:paraId="6C8B7C73" w14:textId="77777777" w:rsidR="00BC4A0C" w:rsidRPr="00BC4A0C" w:rsidRDefault="00BC4A0C" w:rsidP="00BC4A0C">
            <w:pPr>
              <w:pStyle w:val="Odstavecseseznamem"/>
              <w:numPr>
                <w:ilvl w:val="0"/>
                <w:numId w:val="53"/>
              </w:numPr>
              <w:rPr>
                <w:rFonts w:asciiTheme="majorHAnsi" w:hAnsiTheme="majorHAnsi" w:cstheme="majorHAnsi"/>
                <w:sz w:val="18"/>
                <w:szCs w:val="18"/>
              </w:rPr>
            </w:pPr>
            <w:r w:rsidRPr="00BC4A0C">
              <w:rPr>
                <w:rFonts w:asciiTheme="majorHAnsi" w:hAnsiTheme="majorHAnsi" w:cstheme="majorHAnsi"/>
                <w:sz w:val="18"/>
                <w:szCs w:val="18"/>
              </w:rPr>
              <w:lastRenderedPageBreak/>
              <w:t>Odstranit územní rezervu plochy pro bydlení označenou jako R.1 z návrhu územního plánu. Rozvojových ploch pro bydlení je plánováno již dostatek v závislosti na občanskou vybavenost obce, zejména pak MŠ, ZŠ a ČOV.</w:t>
            </w:r>
          </w:p>
          <w:p w14:paraId="3E324056" w14:textId="77777777" w:rsidR="00BC4A0C" w:rsidRPr="00BC4A0C" w:rsidRDefault="00BC4A0C" w:rsidP="00BC4A0C">
            <w:pPr>
              <w:rPr>
                <w:rFonts w:asciiTheme="majorHAnsi" w:hAnsiTheme="majorHAnsi" w:cstheme="majorHAnsi"/>
                <w:sz w:val="18"/>
                <w:szCs w:val="18"/>
              </w:rPr>
            </w:pPr>
          </w:p>
          <w:p w14:paraId="28DB0720" w14:textId="77777777" w:rsidR="00BC4A0C" w:rsidRPr="00BC4A0C" w:rsidRDefault="00BC4A0C" w:rsidP="00BC4A0C">
            <w:pPr>
              <w:pStyle w:val="Odstavecseseznamem"/>
              <w:numPr>
                <w:ilvl w:val="0"/>
                <w:numId w:val="53"/>
              </w:numPr>
              <w:rPr>
                <w:rFonts w:asciiTheme="majorHAnsi" w:hAnsiTheme="majorHAnsi" w:cstheme="majorHAnsi"/>
                <w:sz w:val="18"/>
                <w:szCs w:val="18"/>
              </w:rPr>
            </w:pPr>
            <w:r w:rsidRPr="00BC4A0C">
              <w:rPr>
                <w:rFonts w:asciiTheme="majorHAnsi" w:hAnsiTheme="majorHAnsi" w:cstheme="majorHAnsi"/>
                <w:sz w:val="18"/>
                <w:szCs w:val="18"/>
              </w:rPr>
              <w:t xml:space="preserve">Zahrnout do návrhu již hotové a zkolaudované stavby. Lávka přes Vlkavu </w:t>
            </w:r>
            <w:proofErr w:type="gramStart"/>
            <w:r w:rsidRPr="00BC4A0C">
              <w:rPr>
                <w:rFonts w:asciiTheme="majorHAnsi" w:hAnsiTheme="majorHAnsi" w:cstheme="majorHAnsi"/>
                <w:sz w:val="18"/>
                <w:szCs w:val="18"/>
              </w:rPr>
              <w:t>CNU.KD.S</w:t>
            </w:r>
            <w:proofErr w:type="gramEnd"/>
            <w:r w:rsidRPr="00BC4A0C">
              <w:rPr>
                <w:rFonts w:asciiTheme="majorHAnsi" w:hAnsiTheme="majorHAnsi" w:cstheme="majorHAnsi"/>
                <w:sz w:val="18"/>
                <w:szCs w:val="18"/>
              </w:rPr>
              <w:t xml:space="preserve">1, křižovatka 9. května/Doubravská/Školní </w:t>
            </w:r>
            <w:proofErr w:type="gramStart"/>
            <w:r w:rsidRPr="00BC4A0C">
              <w:rPr>
                <w:rFonts w:asciiTheme="majorHAnsi" w:hAnsiTheme="majorHAnsi" w:cstheme="majorHAnsi"/>
                <w:sz w:val="18"/>
                <w:szCs w:val="18"/>
              </w:rPr>
              <w:t>CNU.KD.S</w:t>
            </w:r>
            <w:proofErr w:type="gramEnd"/>
            <w:r w:rsidRPr="00BC4A0C">
              <w:rPr>
                <w:rFonts w:asciiTheme="majorHAnsi" w:hAnsiTheme="majorHAnsi" w:cstheme="majorHAnsi"/>
                <w:sz w:val="18"/>
                <w:szCs w:val="18"/>
              </w:rPr>
              <w:t>2.</w:t>
            </w:r>
          </w:p>
          <w:bookmarkEnd w:id="488"/>
          <w:p w14:paraId="75AD0EF8" w14:textId="77777777" w:rsidR="00BC4A0C" w:rsidRPr="00BC4A0C" w:rsidRDefault="00BC4A0C" w:rsidP="00BC4A0C">
            <w:pPr>
              <w:pStyle w:val="Odstavecseseznamem"/>
              <w:rPr>
                <w:rFonts w:asciiTheme="majorHAnsi" w:hAnsiTheme="majorHAnsi" w:cstheme="majorHAnsi"/>
                <w:sz w:val="18"/>
                <w:szCs w:val="18"/>
              </w:rPr>
            </w:pPr>
          </w:p>
          <w:p w14:paraId="0B2430B7" w14:textId="77777777" w:rsidR="00BC4A0C" w:rsidRPr="00BC4A0C" w:rsidRDefault="00BC4A0C" w:rsidP="00BC4A0C">
            <w:pPr>
              <w:pStyle w:val="Odstavecseseznamem"/>
              <w:ind w:left="360"/>
              <w:rPr>
                <w:rFonts w:asciiTheme="majorHAnsi" w:hAnsiTheme="majorHAnsi" w:cstheme="majorHAnsi"/>
                <w:sz w:val="18"/>
                <w:szCs w:val="18"/>
              </w:rPr>
            </w:pPr>
          </w:p>
          <w:p w14:paraId="066D9042" w14:textId="77777777" w:rsidR="00BC4A0C" w:rsidRPr="00BC4A0C" w:rsidRDefault="00BC4A0C" w:rsidP="00BC4A0C">
            <w:pPr>
              <w:pStyle w:val="Odstavecseseznamem"/>
              <w:numPr>
                <w:ilvl w:val="0"/>
                <w:numId w:val="53"/>
              </w:numPr>
              <w:rPr>
                <w:rFonts w:asciiTheme="majorHAnsi" w:hAnsiTheme="majorHAnsi" w:cstheme="majorHAnsi"/>
                <w:sz w:val="18"/>
                <w:szCs w:val="18"/>
              </w:rPr>
            </w:pPr>
            <w:r w:rsidRPr="00BC4A0C">
              <w:rPr>
                <w:rFonts w:asciiTheme="majorHAnsi" w:hAnsiTheme="majorHAnsi" w:cstheme="majorHAnsi"/>
                <w:sz w:val="18"/>
                <w:szCs w:val="18"/>
              </w:rPr>
              <w:t xml:space="preserve">V textové části navrhovaného ÚP upravit slovo </w:t>
            </w:r>
            <w:r w:rsidRPr="00BC4A0C">
              <w:rPr>
                <w:rFonts w:asciiTheme="majorHAnsi" w:hAnsiTheme="majorHAnsi" w:cstheme="majorHAnsi"/>
                <w:i/>
                <w:iCs/>
                <w:sz w:val="18"/>
                <w:szCs w:val="18"/>
              </w:rPr>
              <w:t xml:space="preserve">umožnit realizaci protihlukových opatření </w:t>
            </w:r>
            <w:r w:rsidRPr="00BC4A0C">
              <w:rPr>
                <w:rFonts w:asciiTheme="majorHAnsi" w:hAnsiTheme="majorHAnsi" w:cstheme="majorHAnsi"/>
                <w:sz w:val="18"/>
                <w:szCs w:val="18"/>
              </w:rPr>
              <w:t xml:space="preserve">podél modernizovaného železničního koridoru na </w:t>
            </w:r>
            <w:r w:rsidRPr="00BC4A0C">
              <w:rPr>
                <w:rFonts w:asciiTheme="majorHAnsi" w:hAnsiTheme="majorHAnsi" w:cstheme="majorHAnsi"/>
                <w:i/>
                <w:iCs/>
                <w:sz w:val="18"/>
                <w:szCs w:val="18"/>
              </w:rPr>
              <w:t>nezbytnou realizaci účinných</w:t>
            </w:r>
            <w:r w:rsidRPr="00BC4A0C">
              <w:rPr>
                <w:rFonts w:asciiTheme="majorHAnsi" w:hAnsiTheme="majorHAnsi" w:cstheme="majorHAnsi"/>
                <w:sz w:val="18"/>
                <w:szCs w:val="18"/>
              </w:rPr>
              <w:t xml:space="preserve"> </w:t>
            </w:r>
            <w:r w:rsidRPr="00BC4A0C">
              <w:rPr>
                <w:rFonts w:asciiTheme="majorHAnsi" w:hAnsiTheme="majorHAnsi" w:cstheme="majorHAnsi"/>
                <w:i/>
                <w:iCs/>
                <w:sz w:val="18"/>
                <w:szCs w:val="18"/>
              </w:rPr>
              <w:t>protihlukových opatření</w:t>
            </w:r>
            <w:r w:rsidRPr="00BC4A0C">
              <w:rPr>
                <w:rFonts w:asciiTheme="majorHAnsi" w:hAnsiTheme="majorHAnsi" w:cstheme="majorHAnsi"/>
                <w:sz w:val="18"/>
                <w:szCs w:val="18"/>
              </w:rPr>
              <w:t>.</w:t>
            </w:r>
          </w:p>
          <w:p w14:paraId="3443FB29"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2F071CCD"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Rozhodnutí: Námitka se zamítá</w:t>
            </w:r>
          </w:p>
          <w:p w14:paraId="3EE8B432"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0055C633"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Územní rezerva pro koridor silničního obchvatu na jih od obce nebude do územního plánu zanesena. Zastupitelstvo obce nemá v úmyslu tuto stavbu realizovat. Silniční obchvat obce není zanesen v ZÚR Středočeského kraje, ani v územně plánovací dokumentaci navazujících obcí.</w:t>
            </w:r>
          </w:p>
          <w:p w14:paraId="75A13272" w14:textId="77777777" w:rsidR="00BC4A0C" w:rsidRPr="00BC4A0C" w:rsidRDefault="00BC4A0C" w:rsidP="00BC4A0C">
            <w:pPr>
              <w:rPr>
                <w:rFonts w:asciiTheme="majorHAnsi" w:hAnsiTheme="majorHAnsi" w:cstheme="majorHAnsi"/>
                <w:color w:val="FF0000"/>
                <w:sz w:val="18"/>
                <w:szCs w:val="18"/>
              </w:rPr>
            </w:pPr>
          </w:p>
          <w:p w14:paraId="441927CA" w14:textId="77777777" w:rsidR="00BC4A0C" w:rsidRPr="00BC4A0C" w:rsidRDefault="00BC4A0C" w:rsidP="00BC4A0C">
            <w:pPr>
              <w:rPr>
                <w:rFonts w:asciiTheme="majorHAnsi" w:hAnsiTheme="majorHAnsi" w:cstheme="majorHAnsi"/>
                <w:color w:val="FF0000"/>
                <w:sz w:val="18"/>
                <w:szCs w:val="18"/>
              </w:rPr>
            </w:pPr>
          </w:p>
          <w:p w14:paraId="141859A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053463BE" w14:textId="77777777" w:rsidR="00BC4A0C" w:rsidRPr="00BC4A0C" w:rsidRDefault="00BC4A0C" w:rsidP="00BC4A0C">
            <w:pPr>
              <w:rPr>
                <w:rFonts w:asciiTheme="majorHAnsi" w:hAnsiTheme="majorHAnsi" w:cstheme="majorHAnsi"/>
                <w:b/>
                <w:bCs/>
                <w:sz w:val="18"/>
                <w:szCs w:val="18"/>
              </w:rPr>
            </w:pPr>
          </w:p>
          <w:p w14:paraId="45E31E1B"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viz námitka č. I</w:t>
            </w:r>
          </w:p>
          <w:p w14:paraId="3506C07C" w14:textId="77777777" w:rsidR="00BC4A0C" w:rsidRPr="00BC4A0C" w:rsidRDefault="00BC4A0C" w:rsidP="00BC4A0C">
            <w:pPr>
              <w:rPr>
                <w:rFonts w:asciiTheme="majorHAnsi" w:hAnsiTheme="majorHAnsi" w:cstheme="majorHAnsi"/>
                <w:color w:val="C00000"/>
                <w:sz w:val="18"/>
                <w:szCs w:val="18"/>
              </w:rPr>
            </w:pPr>
          </w:p>
          <w:p w14:paraId="5F13243F" w14:textId="77777777" w:rsidR="00BC4A0C" w:rsidRPr="00BC4A0C" w:rsidRDefault="00BC4A0C" w:rsidP="00BC4A0C">
            <w:pPr>
              <w:rPr>
                <w:rFonts w:asciiTheme="majorHAnsi" w:hAnsiTheme="majorHAnsi" w:cstheme="majorHAnsi"/>
                <w:color w:val="C00000"/>
                <w:sz w:val="18"/>
                <w:szCs w:val="18"/>
              </w:rPr>
            </w:pPr>
          </w:p>
          <w:p w14:paraId="7C625E7F"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64D037A1" w14:textId="77777777" w:rsidR="00BC4A0C" w:rsidRPr="00BC4A0C" w:rsidRDefault="00BC4A0C" w:rsidP="00BC4A0C">
            <w:pPr>
              <w:rPr>
                <w:rFonts w:asciiTheme="majorHAnsi" w:hAnsiTheme="majorHAnsi" w:cstheme="majorHAnsi"/>
                <w:b/>
                <w:bCs/>
                <w:sz w:val="18"/>
                <w:szCs w:val="18"/>
              </w:rPr>
            </w:pPr>
          </w:p>
          <w:p w14:paraId="22F30151"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viz námitka č. VIII. 1.</w:t>
            </w:r>
          </w:p>
          <w:p w14:paraId="5F86547E" w14:textId="77777777" w:rsidR="00BC4A0C" w:rsidRPr="00BC4A0C" w:rsidRDefault="00BC4A0C" w:rsidP="00BC4A0C">
            <w:pPr>
              <w:rPr>
                <w:rFonts w:asciiTheme="majorHAnsi" w:hAnsiTheme="majorHAnsi" w:cstheme="majorHAnsi"/>
                <w:sz w:val="18"/>
                <w:szCs w:val="18"/>
              </w:rPr>
            </w:pPr>
          </w:p>
          <w:p w14:paraId="3F645E55" w14:textId="77777777" w:rsidR="00BC4A0C" w:rsidRPr="00BC4A0C" w:rsidRDefault="00BC4A0C" w:rsidP="00BC4A0C">
            <w:pPr>
              <w:rPr>
                <w:rFonts w:asciiTheme="majorHAnsi" w:hAnsiTheme="majorHAnsi" w:cstheme="majorHAnsi"/>
                <w:sz w:val="18"/>
                <w:szCs w:val="18"/>
              </w:rPr>
            </w:pPr>
          </w:p>
          <w:p w14:paraId="0883C6B0"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b/>
                <w:bCs/>
                <w:sz w:val="18"/>
                <w:szCs w:val="18"/>
              </w:rPr>
              <w:t>Námitce se vyhovuje</w:t>
            </w:r>
            <w:r w:rsidRPr="00BC4A0C">
              <w:rPr>
                <w:rFonts w:asciiTheme="majorHAnsi" w:hAnsiTheme="majorHAnsi" w:cstheme="majorHAnsi"/>
                <w:sz w:val="18"/>
                <w:szCs w:val="18"/>
              </w:rPr>
              <w:t>.</w:t>
            </w:r>
          </w:p>
          <w:p w14:paraId="4269FF51"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Stejný požadavek uplatnila obec z rozhodnutí zastupitelstva.</w:t>
            </w:r>
          </w:p>
          <w:p w14:paraId="777494CC" w14:textId="77777777" w:rsidR="00BC4A0C" w:rsidRPr="00BC4A0C" w:rsidRDefault="00BC4A0C" w:rsidP="00BC4A0C">
            <w:pPr>
              <w:rPr>
                <w:rFonts w:asciiTheme="majorHAnsi" w:hAnsiTheme="majorHAnsi" w:cstheme="majorHAnsi"/>
                <w:sz w:val="18"/>
                <w:szCs w:val="18"/>
              </w:rPr>
            </w:pPr>
          </w:p>
          <w:p w14:paraId="4E7D562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b/>
                <w:bCs/>
                <w:sz w:val="18"/>
                <w:szCs w:val="18"/>
              </w:rPr>
              <w:t>Námitce se vyhovuje</w:t>
            </w:r>
            <w:r w:rsidRPr="00BC4A0C">
              <w:rPr>
                <w:rFonts w:asciiTheme="majorHAnsi" w:hAnsiTheme="majorHAnsi" w:cstheme="majorHAnsi"/>
                <w:sz w:val="18"/>
                <w:szCs w:val="18"/>
              </w:rPr>
              <w:t>.</w:t>
            </w:r>
          </w:p>
          <w:p w14:paraId="395F4D12"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Stejný požadavek uplatnila obec z rozhodnutí zastupitelstva.</w:t>
            </w:r>
          </w:p>
          <w:p w14:paraId="181C6DC7" w14:textId="77777777" w:rsidR="00BC4A0C" w:rsidRPr="00BC4A0C" w:rsidRDefault="00BC4A0C" w:rsidP="00BC4A0C">
            <w:pPr>
              <w:rPr>
                <w:rFonts w:asciiTheme="majorHAnsi" w:hAnsiTheme="majorHAnsi" w:cstheme="majorHAnsi"/>
                <w:sz w:val="18"/>
                <w:szCs w:val="18"/>
              </w:rPr>
            </w:pPr>
          </w:p>
          <w:p w14:paraId="15AC34A7"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Námitce se vyhovuje.</w:t>
            </w:r>
          </w:p>
          <w:p w14:paraId="0A6C977B"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Koridory pro provedené a dokončené stavby budou vypuštěny.</w:t>
            </w:r>
          </w:p>
          <w:p w14:paraId="02FBEEA1" w14:textId="77777777" w:rsidR="00BC4A0C" w:rsidRPr="00BC4A0C" w:rsidRDefault="00BC4A0C" w:rsidP="00BC4A0C">
            <w:pPr>
              <w:rPr>
                <w:rFonts w:asciiTheme="majorHAnsi" w:hAnsiTheme="majorHAnsi" w:cstheme="majorHAnsi"/>
                <w:sz w:val="18"/>
                <w:szCs w:val="18"/>
              </w:rPr>
            </w:pPr>
          </w:p>
          <w:p w14:paraId="15FE38A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54D05847"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O realizaci protihlukových opatření bude rozhodováno dle potřeby v konkrétních místech zástavby.</w:t>
            </w:r>
          </w:p>
        </w:tc>
      </w:tr>
      <w:tr w:rsidR="00BC4A0C" w:rsidRPr="00BC4A0C" w14:paraId="38CEDB64" w14:textId="77777777" w:rsidTr="00CD657D">
        <w:tc>
          <w:tcPr>
            <w:tcW w:w="6096" w:type="dxa"/>
          </w:tcPr>
          <w:p w14:paraId="0218BEE3" w14:textId="77777777" w:rsidR="00BC4A0C" w:rsidRPr="00BC4A0C" w:rsidRDefault="00BC4A0C" w:rsidP="00BC4A0C">
            <w:pPr>
              <w:pStyle w:val="Odstavecseseznamem"/>
              <w:ind w:left="0"/>
              <w:rPr>
                <w:rFonts w:asciiTheme="majorHAnsi" w:hAnsiTheme="majorHAnsi" w:cstheme="majorHAnsi"/>
                <w:sz w:val="18"/>
                <w:szCs w:val="18"/>
              </w:rPr>
            </w:pPr>
            <w:r w:rsidRPr="00BC4A0C">
              <w:rPr>
                <w:rFonts w:asciiTheme="majorHAnsi" w:hAnsiTheme="majorHAnsi" w:cstheme="majorHAnsi"/>
                <w:sz w:val="18"/>
                <w:szCs w:val="18"/>
              </w:rPr>
              <w:lastRenderedPageBreak/>
              <w:t>Odůvodnění připomínek:</w:t>
            </w:r>
          </w:p>
          <w:p w14:paraId="0A5FB88D" w14:textId="77777777" w:rsidR="00BC4A0C" w:rsidRPr="00BC4A0C" w:rsidRDefault="00BC4A0C" w:rsidP="00BC4A0C">
            <w:pPr>
              <w:pStyle w:val="Odstavecseseznamem"/>
              <w:ind w:left="0"/>
              <w:rPr>
                <w:rFonts w:asciiTheme="majorHAnsi" w:hAnsiTheme="majorHAnsi" w:cstheme="majorHAnsi"/>
                <w:sz w:val="18"/>
                <w:szCs w:val="18"/>
              </w:rPr>
            </w:pPr>
            <w:r w:rsidRPr="00BC4A0C">
              <w:rPr>
                <w:rFonts w:asciiTheme="majorHAnsi" w:hAnsiTheme="majorHAnsi" w:cstheme="majorHAnsi"/>
                <w:sz w:val="18"/>
                <w:szCs w:val="18"/>
              </w:rPr>
              <w:t>Ad1) zachování a prověření trasy budoucího obchvatu bylo součástí zadání ÚP schválené zastupitelstvem obce. Zpracovatelé s tím pracovali a připravili variantu jižního obchvatu. Na veřejném projednání nebylo dostatečně vysvětleny důvody k vypouštění z návrhu ÚP a o tomto důležitém bodu, strategickém koridoru/ územní rezervě nejednalo ani nehlasovalo zastupitelstvo obce. Umístění a napojení by mělo být v koordinaci se Správou Železnice a.s. a chystanou modernizací traťového úseku. Mimoúrovňová křížení a nové komunikace by měly přímo navazovat na navržený obchvat tak, aby nevznikaly na komunikaci 331 další křížení.</w:t>
            </w:r>
          </w:p>
          <w:p w14:paraId="1537A18A" w14:textId="77777777" w:rsidR="00BC4A0C" w:rsidRPr="00BC4A0C" w:rsidRDefault="00BC4A0C" w:rsidP="00BC4A0C">
            <w:pPr>
              <w:pStyle w:val="Odstavecseseznamem"/>
              <w:ind w:left="0"/>
              <w:rPr>
                <w:rFonts w:asciiTheme="majorHAnsi" w:hAnsiTheme="majorHAnsi" w:cstheme="majorHAnsi"/>
                <w:sz w:val="18"/>
                <w:szCs w:val="18"/>
              </w:rPr>
            </w:pPr>
            <w:r w:rsidRPr="00BC4A0C">
              <w:rPr>
                <w:rFonts w:asciiTheme="majorHAnsi" w:hAnsiTheme="majorHAnsi" w:cstheme="majorHAnsi"/>
                <w:sz w:val="18"/>
                <w:szCs w:val="18"/>
              </w:rPr>
              <w:t xml:space="preserve">Ad2) varianta sever při přeložce silnice III/3317 je v kolizi s platným ÚP a plochou pro bydlení. V místě již probíhá stavební řízení a v době realizace modernizace je předpoklad dokončení rodinného domu. Napojení přeložky silnice v zatáčce není vhodné i z hlediska bezpečnosti na pozemních komunikacích. Zachování varianty přeložky „střed“ a zrušení plochy pro bydlení Z15, tak aby nedošlo ke </w:t>
            </w:r>
            <w:proofErr w:type="gramStart"/>
            <w:r w:rsidRPr="00BC4A0C">
              <w:rPr>
                <w:rFonts w:asciiTheme="majorHAnsi" w:hAnsiTheme="majorHAnsi" w:cstheme="majorHAnsi"/>
                <w:sz w:val="18"/>
                <w:szCs w:val="18"/>
              </w:rPr>
              <w:t>kolizi</w:t>
            </w:r>
            <w:proofErr w:type="gramEnd"/>
            <w:r w:rsidRPr="00BC4A0C">
              <w:rPr>
                <w:rFonts w:asciiTheme="majorHAnsi" w:hAnsiTheme="majorHAnsi" w:cstheme="majorHAnsi"/>
                <w:sz w:val="18"/>
                <w:szCs w:val="18"/>
              </w:rPr>
              <w:t xml:space="preserve"> resp. stavební uzávěře do doby realizace modernizace trati.  Doplnění ploch pro bydlení je možné v dalším ÚP po dokončení modernizace traťového úseku.</w:t>
            </w:r>
          </w:p>
          <w:p w14:paraId="123CEAF7" w14:textId="77777777" w:rsidR="00BC4A0C" w:rsidRPr="00BC4A0C" w:rsidRDefault="00BC4A0C" w:rsidP="00BC4A0C">
            <w:pPr>
              <w:pStyle w:val="Odstavecseseznamem"/>
              <w:ind w:left="0"/>
              <w:rPr>
                <w:rFonts w:asciiTheme="majorHAnsi" w:hAnsiTheme="majorHAnsi" w:cstheme="majorHAnsi"/>
                <w:sz w:val="18"/>
                <w:szCs w:val="18"/>
              </w:rPr>
            </w:pPr>
            <w:r w:rsidRPr="00BC4A0C">
              <w:rPr>
                <w:rFonts w:asciiTheme="majorHAnsi" w:hAnsiTheme="majorHAnsi" w:cstheme="majorHAnsi"/>
                <w:sz w:val="18"/>
                <w:szCs w:val="18"/>
              </w:rPr>
              <w:t xml:space="preserve">Ad3) umožnit v navrhovaném ÚP možnost vybudování podjezdu pro osobní automobilovou dopravu nebo alespoň ponechat tuto variantu jako </w:t>
            </w:r>
            <w:proofErr w:type="gramStart"/>
            <w:r w:rsidRPr="00BC4A0C">
              <w:rPr>
                <w:rFonts w:asciiTheme="majorHAnsi" w:hAnsiTheme="majorHAnsi" w:cstheme="majorHAnsi"/>
                <w:sz w:val="18"/>
                <w:szCs w:val="18"/>
              </w:rPr>
              <w:t>přípustnou</w:t>
            </w:r>
            <w:proofErr w:type="gramEnd"/>
            <w:r w:rsidRPr="00BC4A0C">
              <w:rPr>
                <w:rFonts w:asciiTheme="majorHAnsi" w:hAnsiTheme="majorHAnsi" w:cstheme="majorHAnsi"/>
                <w:sz w:val="18"/>
                <w:szCs w:val="18"/>
              </w:rPr>
              <w:t xml:space="preserve"> než dojde k jejímu prověření dopravně technickým řešením.</w:t>
            </w:r>
          </w:p>
          <w:p w14:paraId="460EC708" w14:textId="77777777" w:rsidR="00BC4A0C" w:rsidRPr="00BC4A0C" w:rsidRDefault="00BC4A0C" w:rsidP="00BC4A0C">
            <w:pPr>
              <w:pStyle w:val="Odstavecseseznamem"/>
              <w:ind w:left="0"/>
              <w:rPr>
                <w:rFonts w:asciiTheme="majorHAnsi" w:hAnsiTheme="majorHAnsi" w:cstheme="majorHAnsi"/>
                <w:sz w:val="18"/>
                <w:szCs w:val="18"/>
              </w:rPr>
            </w:pPr>
            <w:r w:rsidRPr="00BC4A0C">
              <w:rPr>
                <w:rFonts w:asciiTheme="majorHAnsi" w:hAnsiTheme="majorHAnsi" w:cstheme="majorHAnsi"/>
                <w:sz w:val="18"/>
                <w:szCs w:val="18"/>
              </w:rPr>
              <w:t xml:space="preserve">Ad4) zachovat plochu pro bydlení z platného ÚP, kde bude navazovat na plochu pro </w:t>
            </w:r>
            <w:proofErr w:type="gramStart"/>
            <w:r w:rsidRPr="00BC4A0C">
              <w:rPr>
                <w:rFonts w:asciiTheme="majorHAnsi" w:hAnsiTheme="majorHAnsi" w:cstheme="majorHAnsi"/>
                <w:sz w:val="18"/>
                <w:szCs w:val="18"/>
              </w:rPr>
              <w:t>bydlení  Z.07</w:t>
            </w:r>
            <w:proofErr w:type="gramEnd"/>
            <w:r w:rsidRPr="00BC4A0C">
              <w:rPr>
                <w:rFonts w:asciiTheme="majorHAnsi" w:hAnsiTheme="majorHAnsi" w:cstheme="majorHAnsi"/>
                <w:sz w:val="18"/>
                <w:szCs w:val="18"/>
              </w:rPr>
              <w:t xml:space="preserve"> z návrhu ÚP. Jedná se půdy nižší ochrany zemědělského půdního fondu, konkrétně IV. třídy.</w:t>
            </w:r>
          </w:p>
          <w:p w14:paraId="3FF65011" w14:textId="77777777" w:rsidR="00BC4A0C" w:rsidRPr="00BC4A0C" w:rsidRDefault="00BC4A0C" w:rsidP="00BC4A0C">
            <w:pPr>
              <w:pStyle w:val="Odstavecseseznamem"/>
              <w:ind w:left="0"/>
              <w:rPr>
                <w:rFonts w:asciiTheme="majorHAnsi" w:hAnsiTheme="majorHAnsi" w:cstheme="majorHAnsi"/>
                <w:sz w:val="18"/>
                <w:szCs w:val="18"/>
              </w:rPr>
            </w:pPr>
            <w:r w:rsidRPr="00BC4A0C">
              <w:rPr>
                <w:rFonts w:asciiTheme="majorHAnsi" w:hAnsiTheme="majorHAnsi" w:cstheme="majorHAnsi"/>
                <w:sz w:val="18"/>
                <w:szCs w:val="18"/>
              </w:rPr>
              <w:t>Ad5) plochu R.1 z navrhovaného ÚP odstranit, plán již navrhuje dost rozvojových ploch tak, aby je obec byla schopna pojmout v následujících letech především s přihlédnutím na kapacitu občanské vybavenosti MŠ, ZŠ a ČOV.</w:t>
            </w:r>
          </w:p>
          <w:p w14:paraId="676A695A" w14:textId="77777777" w:rsidR="00BC4A0C" w:rsidRPr="00BC4A0C" w:rsidRDefault="00BC4A0C" w:rsidP="00BC4A0C">
            <w:pPr>
              <w:pStyle w:val="Odstavecseseznamem"/>
              <w:ind w:left="0"/>
              <w:rPr>
                <w:rFonts w:asciiTheme="majorHAnsi" w:hAnsiTheme="majorHAnsi" w:cstheme="majorHAnsi"/>
                <w:sz w:val="18"/>
                <w:szCs w:val="18"/>
              </w:rPr>
            </w:pPr>
            <w:r w:rsidRPr="00BC4A0C">
              <w:rPr>
                <w:rFonts w:asciiTheme="majorHAnsi" w:hAnsiTheme="majorHAnsi" w:cstheme="majorHAnsi"/>
                <w:sz w:val="18"/>
                <w:szCs w:val="18"/>
              </w:rPr>
              <w:t>Ad6) zapracovat hotové a zkolaudované stavby do návrhu ÚP.</w:t>
            </w:r>
          </w:p>
          <w:p w14:paraId="78587EFA" w14:textId="77777777" w:rsidR="00BC4A0C" w:rsidRPr="00BC4A0C" w:rsidRDefault="00BC4A0C" w:rsidP="00BC4A0C">
            <w:pPr>
              <w:pStyle w:val="Odstavecseseznamem"/>
              <w:ind w:left="0"/>
              <w:rPr>
                <w:rFonts w:asciiTheme="majorHAnsi" w:hAnsiTheme="majorHAnsi" w:cstheme="majorHAnsi"/>
                <w:sz w:val="18"/>
                <w:szCs w:val="18"/>
              </w:rPr>
            </w:pPr>
            <w:r w:rsidRPr="00BC4A0C">
              <w:rPr>
                <w:rFonts w:asciiTheme="majorHAnsi" w:hAnsiTheme="majorHAnsi" w:cstheme="majorHAnsi"/>
                <w:sz w:val="18"/>
                <w:szCs w:val="18"/>
              </w:rPr>
              <w:t>Ad7) v obci jsou dlouhodobě hlukové limity na hraně hygienických norem. S přidáním další koleje, zvýšením rychlosti a kapacity trati by mohlo dojít k překračování těchto limitů.</w:t>
            </w:r>
          </w:p>
          <w:p w14:paraId="760C427D" w14:textId="77777777" w:rsidR="00BC4A0C" w:rsidRPr="00BC4A0C" w:rsidRDefault="00BC4A0C" w:rsidP="00BC4A0C">
            <w:pPr>
              <w:rPr>
                <w:rFonts w:asciiTheme="majorHAnsi" w:hAnsiTheme="majorHAnsi" w:cstheme="majorHAnsi"/>
                <w:sz w:val="18"/>
                <w:szCs w:val="18"/>
              </w:rPr>
            </w:pPr>
          </w:p>
          <w:p w14:paraId="4F5FB769" w14:textId="77777777" w:rsidR="00BC4A0C" w:rsidRPr="00BC4A0C" w:rsidRDefault="00BC4A0C" w:rsidP="00BC4A0C">
            <w:pPr>
              <w:rPr>
                <w:rFonts w:asciiTheme="majorHAnsi" w:hAnsiTheme="majorHAnsi" w:cstheme="majorHAnsi"/>
                <w:b/>
                <w:bCs/>
                <w:sz w:val="18"/>
                <w:szCs w:val="18"/>
              </w:rPr>
            </w:pPr>
          </w:p>
        </w:tc>
        <w:tc>
          <w:tcPr>
            <w:tcW w:w="3118" w:type="dxa"/>
          </w:tcPr>
          <w:p w14:paraId="260C16AE" w14:textId="77777777" w:rsidR="00BC4A0C" w:rsidRPr="00BC4A0C" w:rsidRDefault="00BC4A0C" w:rsidP="00BC4A0C">
            <w:pPr>
              <w:rPr>
                <w:rFonts w:asciiTheme="majorHAnsi" w:hAnsiTheme="majorHAnsi" w:cstheme="majorHAnsi"/>
                <w:b/>
                <w:bCs/>
                <w:sz w:val="18"/>
                <w:szCs w:val="18"/>
              </w:rPr>
            </w:pPr>
          </w:p>
        </w:tc>
      </w:tr>
      <w:tr w:rsidR="00BC4A0C" w:rsidRPr="00BC4A0C" w14:paraId="78A49B30" w14:textId="77777777" w:rsidTr="00CD657D">
        <w:tc>
          <w:tcPr>
            <w:tcW w:w="6096" w:type="dxa"/>
          </w:tcPr>
          <w:p w14:paraId="72C35E6C"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t>Josef Touš, 9. května, Kostomlaty nad Labem</w:t>
            </w:r>
          </w:p>
          <w:p w14:paraId="4C0A3FEF" w14:textId="77777777" w:rsidR="00BC4A0C" w:rsidRPr="00BC4A0C" w:rsidRDefault="00BC4A0C" w:rsidP="00BC4A0C">
            <w:pPr>
              <w:pStyle w:val="Odstavecseseznamem"/>
              <w:ind w:left="0"/>
              <w:rPr>
                <w:rFonts w:asciiTheme="majorHAnsi" w:hAnsiTheme="majorHAnsi" w:cstheme="majorHAnsi"/>
                <w:sz w:val="18"/>
                <w:szCs w:val="18"/>
              </w:rPr>
            </w:pPr>
          </w:p>
        </w:tc>
        <w:tc>
          <w:tcPr>
            <w:tcW w:w="3118" w:type="dxa"/>
          </w:tcPr>
          <w:p w14:paraId="4043807A" w14:textId="77777777" w:rsidR="00BC4A0C" w:rsidRPr="00BC4A0C" w:rsidRDefault="00BC4A0C" w:rsidP="00BC4A0C">
            <w:pPr>
              <w:rPr>
                <w:rFonts w:asciiTheme="majorHAnsi" w:hAnsiTheme="majorHAnsi" w:cstheme="majorHAnsi"/>
                <w:b/>
                <w:bCs/>
                <w:sz w:val="18"/>
                <w:szCs w:val="18"/>
              </w:rPr>
            </w:pPr>
          </w:p>
        </w:tc>
      </w:tr>
      <w:tr w:rsidR="00BC4A0C" w:rsidRPr="00BC4A0C" w14:paraId="50774F37" w14:textId="77777777" w:rsidTr="00CD657D">
        <w:tc>
          <w:tcPr>
            <w:tcW w:w="6096" w:type="dxa"/>
          </w:tcPr>
          <w:p w14:paraId="5DE27C98"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Námitky:</w:t>
            </w:r>
          </w:p>
          <w:p w14:paraId="54D2AC4F" w14:textId="77777777" w:rsidR="00BC4A0C" w:rsidRPr="00BC4A0C" w:rsidRDefault="00BC4A0C" w:rsidP="00BC4A0C">
            <w:pPr>
              <w:pStyle w:val="Odstavecseseznamem"/>
              <w:numPr>
                <w:ilvl w:val="0"/>
                <w:numId w:val="54"/>
              </w:numPr>
              <w:rPr>
                <w:rFonts w:asciiTheme="majorHAnsi" w:hAnsiTheme="majorHAnsi" w:cstheme="majorHAnsi"/>
                <w:sz w:val="18"/>
                <w:szCs w:val="18"/>
              </w:rPr>
            </w:pPr>
            <w:r w:rsidRPr="00BC4A0C">
              <w:rPr>
                <w:rFonts w:asciiTheme="majorHAnsi" w:hAnsiTheme="majorHAnsi" w:cstheme="majorHAnsi"/>
                <w:sz w:val="18"/>
                <w:szCs w:val="18"/>
              </w:rPr>
              <w:t>Požaduji ponechat v ÚP obce existující rezervu pro koridor jižního silničního obchvatu obce a zahájit jednání o jeho propojení do ÚP na východě sousedícího území a následně jeho promítnutí do plánovací dokumentace na úrovni kraje.</w:t>
            </w:r>
          </w:p>
          <w:p w14:paraId="31292B6A" w14:textId="77777777" w:rsidR="00BC4A0C" w:rsidRPr="00BC4A0C" w:rsidRDefault="00BC4A0C" w:rsidP="00BC4A0C">
            <w:pPr>
              <w:pStyle w:val="Odstavecseseznamem"/>
              <w:numPr>
                <w:ilvl w:val="0"/>
                <w:numId w:val="54"/>
              </w:numPr>
              <w:rPr>
                <w:rFonts w:asciiTheme="majorHAnsi" w:hAnsiTheme="majorHAnsi" w:cstheme="majorHAnsi"/>
                <w:sz w:val="18"/>
                <w:szCs w:val="18"/>
              </w:rPr>
            </w:pPr>
            <w:bookmarkStart w:id="489" w:name="_Hlk175903575"/>
            <w:r w:rsidRPr="00BC4A0C">
              <w:rPr>
                <w:rFonts w:asciiTheme="majorHAnsi" w:hAnsiTheme="majorHAnsi" w:cstheme="majorHAnsi"/>
                <w:sz w:val="18"/>
                <w:szCs w:val="18"/>
              </w:rPr>
              <w:t>Ponechat v ÚP obce existující rezervní plochu další bytové zástavby v západní části obce v místě nazvaném Na Skřemeni (na mapě též označení a.21.10-IV) a odstranit z projednávaného ÚP obce rezervní plochy další zástavby ve východní části obce (označené jako Z14 a R.1)</w:t>
            </w:r>
          </w:p>
          <w:bookmarkEnd w:id="489"/>
          <w:p w14:paraId="13735DBF" w14:textId="77777777" w:rsidR="00BC4A0C" w:rsidRPr="00BC4A0C" w:rsidRDefault="00BC4A0C" w:rsidP="00BC4A0C">
            <w:pPr>
              <w:pStyle w:val="Odstavecseseznamem"/>
              <w:numPr>
                <w:ilvl w:val="0"/>
                <w:numId w:val="54"/>
              </w:numPr>
              <w:rPr>
                <w:rFonts w:asciiTheme="majorHAnsi" w:hAnsiTheme="majorHAnsi" w:cstheme="majorHAnsi"/>
                <w:sz w:val="18"/>
                <w:szCs w:val="18"/>
              </w:rPr>
            </w:pPr>
            <w:r w:rsidRPr="00BC4A0C">
              <w:rPr>
                <w:rFonts w:asciiTheme="majorHAnsi" w:hAnsiTheme="majorHAnsi" w:cstheme="majorHAnsi"/>
                <w:sz w:val="18"/>
                <w:szCs w:val="18"/>
              </w:rPr>
              <w:t>Vypustit z rezervy území pro stavbu přípojné silnice – plocha CNU.</w:t>
            </w:r>
            <w:proofErr w:type="gramStart"/>
            <w:r w:rsidRPr="00BC4A0C">
              <w:rPr>
                <w:rFonts w:asciiTheme="majorHAnsi" w:hAnsiTheme="majorHAnsi" w:cstheme="majorHAnsi"/>
                <w:sz w:val="18"/>
                <w:szCs w:val="18"/>
              </w:rPr>
              <w:t>KDZ1 -v</w:t>
            </w:r>
            <w:proofErr w:type="gramEnd"/>
            <w:r w:rsidRPr="00BC4A0C">
              <w:rPr>
                <w:rFonts w:asciiTheme="majorHAnsi" w:hAnsiTheme="majorHAnsi" w:cstheme="majorHAnsi"/>
                <w:sz w:val="18"/>
                <w:szCs w:val="18"/>
              </w:rPr>
              <w:t xml:space="preserve"> úseku od plánovaného mimoúrovňového křížení silnice č. III/3317 s plánovaným koridorem trojkolejné železniční tratu do části obce Lány; na projednávaném ÚP označené jako přeložka III/3317 – varianta A. když nic jiného, alespoň zmírnit mnohem menší negativní dopady na biosféru při </w:t>
            </w:r>
            <w:r w:rsidRPr="00BC4A0C">
              <w:rPr>
                <w:rFonts w:asciiTheme="majorHAnsi" w:hAnsiTheme="majorHAnsi" w:cstheme="majorHAnsi"/>
                <w:sz w:val="18"/>
                <w:szCs w:val="18"/>
              </w:rPr>
              <w:lastRenderedPageBreak/>
              <w:t>realizaci křížení železničního koridoru silničním podjezdem v porovnání se stavbou nadjezdu.</w:t>
            </w:r>
          </w:p>
          <w:p w14:paraId="4BE032DD" w14:textId="77777777" w:rsidR="00BC4A0C" w:rsidRPr="00BC4A0C" w:rsidRDefault="00BC4A0C" w:rsidP="00BC4A0C">
            <w:pPr>
              <w:pStyle w:val="Odstavecseseznamem"/>
              <w:numPr>
                <w:ilvl w:val="0"/>
                <w:numId w:val="54"/>
              </w:numPr>
              <w:rPr>
                <w:rFonts w:asciiTheme="majorHAnsi" w:hAnsiTheme="majorHAnsi" w:cstheme="majorHAnsi"/>
                <w:sz w:val="18"/>
                <w:szCs w:val="18"/>
              </w:rPr>
            </w:pPr>
            <w:r w:rsidRPr="00BC4A0C">
              <w:rPr>
                <w:rFonts w:asciiTheme="majorHAnsi" w:hAnsiTheme="majorHAnsi" w:cstheme="majorHAnsi"/>
                <w:sz w:val="18"/>
                <w:szCs w:val="18"/>
              </w:rPr>
              <w:t>Doplnit do ÚP v něm chybějící podstatné informace týkající se železniční trati o jejím současném negativním vlivu na životy obyvatel obce a zejména pak o těch, které ve velmi krátké době reálně hrozí nastat. A z této nové reality vyvodit i odpovídající dopady do nového ÚP.</w:t>
            </w:r>
          </w:p>
          <w:p w14:paraId="730C3740" w14:textId="77777777" w:rsidR="00BC4A0C" w:rsidRPr="00BC4A0C" w:rsidRDefault="00BC4A0C" w:rsidP="00BC4A0C">
            <w:pPr>
              <w:pStyle w:val="Odstavecseseznamem"/>
              <w:ind w:left="360"/>
              <w:rPr>
                <w:rFonts w:asciiTheme="majorHAnsi" w:hAnsiTheme="majorHAnsi" w:cstheme="majorHAnsi"/>
                <w:sz w:val="18"/>
                <w:szCs w:val="18"/>
              </w:rPr>
            </w:pPr>
          </w:p>
          <w:p w14:paraId="36B092D4" w14:textId="77777777" w:rsidR="00BC4A0C" w:rsidRPr="00BC4A0C" w:rsidRDefault="00BC4A0C" w:rsidP="00BC4A0C">
            <w:pPr>
              <w:pStyle w:val="Odstavecseseznamem"/>
              <w:numPr>
                <w:ilvl w:val="0"/>
                <w:numId w:val="54"/>
              </w:numPr>
              <w:rPr>
                <w:rFonts w:asciiTheme="majorHAnsi" w:hAnsiTheme="majorHAnsi" w:cstheme="majorHAnsi"/>
                <w:sz w:val="18"/>
                <w:szCs w:val="18"/>
              </w:rPr>
            </w:pPr>
            <w:r w:rsidRPr="00BC4A0C">
              <w:rPr>
                <w:rFonts w:asciiTheme="majorHAnsi" w:hAnsiTheme="majorHAnsi" w:cstheme="majorHAnsi"/>
                <w:sz w:val="18"/>
                <w:szCs w:val="18"/>
              </w:rPr>
              <w:t xml:space="preserve">Přidat do navrhovaného ÚP obce v místě dnešního úrovňového křížení silnice č. III/3317 s železnicí (ulice Hronětická u OÚ) kromě SŽ přislíbeného podchodu pro pěší a cyklisty též </w:t>
            </w:r>
            <w:r w:rsidRPr="00BC4A0C">
              <w:rPr>
                <w:rFonts w:asciiTheme="majorHAnsi" w:hAnsiTheme="majorHAnsi" w:cstheme="majorHAnsi"/>
                <w:b/>
                <w:bCs/>
                <w:sz w:val="18"/>
                <w:szCs w:val="18"/>
              </w:rPr>
              <w:t>silniční podjezd, minimálně jeden jízdní pruh pro osobní automobily</w:t>
            </w:r>
            <w:r w:rsidRPr="00BC4A0C">
              <w:rPr>
                <w:rFonts w:asciiTheme="majorHAnsi" w:hAnsiTheme="majorHAnsi" w:cstheme="majorHAnsi"/>
                <w:sz w:val="18"/>
                <w:szCs w:val="18"/>
              </w:rPr>
              <w:t>.</w:t>
            </w:r>
          </w:p>
          <w:p w14:paraId="2EFD9D2B" w14:textId="77777777" w:rsidR="00BC4A0C" w:rsidRPr="00BC4A0C" w:rsidRDefault="00BC4A0C" w:rsidP="00BC4A0C">
            <w:pPr>
              <w:rPr>
                <w:rFonts w:asciiTheme="majorHAnsi" w:hAnsiTheme="majorHAnsi" w:cstheme="majorHAnsi"/>
                <w:sz w:val="18"/>
                <w:szCs w:val="18"/>
              </w:rPr>
            </w:pPr>
          </w:p>
          <w:p w14:paraId="52833F68" w14:textId="77777777" w:rsidR="00BC4A0C" w:rsidRPr="00BC4A0C" w:rsidRDefault="00BC4A0C" w:rsidP="00BC4A0C">
            <w:pPr>
              <w:pStyle w:val="Odstavecseseznamem"/>
              <w:numPr>
                <w:ilvl w:val="0"/>
                <w:numId w:val="54"/>
              </w:numPr>
              <w:rPr>
                <w:rFonts w:asciiTheme="majorHAnsi" w:hAnsiTheme="majorHAnsi" w:cstheme="majorHAnsi"/>
                <w:sz w:val="18"/>
                <w:szCs w:val="18"/>
              </w:rPr>
            </w:pPr>
            <w:r w:rsidRPr="00BC4A0C">
              <w:rPr>
                <w:rFonts w:asciiTheme="majorHAnsi" w:hAnsiTheme="majorHAnsi" w:cstheme="majorHAnsi"/>
                <w:sz w:val="18"/>
                <w:szCs w:val="18"/>
              </w:rPr>
              <w:t xml:space="preserve">Změnit text v komentáři navrhovaného ÚP </w:t>
            </w:r>
            <w:r w:rsidRPr="00BC4A0C">
              <w:rPr>
                <w:rFonts w:asciiTheme="majorHAnsi" w:hAnsiTheme="majorHAnsi" w:cstheme="majorHAnsi"/>
                <w:b/>
                <w:bCs/>
                <w:sz w:val="18"/>
                <w:szCs w:val="18"/>
              </w:rPr>
              <w:t xml:space="preserve">umožnit </w:t>
            </w:r>
            <w:r w:rsidRPr="00BC4A0C">
              <w:rPr>
                <w:rFonts w:asciiTheme="majorHAnsi" w:hAnsiTheme="majorHAnsi" w:cstheme="majorHAnsi"/>
                <w:i/>
                <w:iCs/>
                <w:sz w:val="18"/>
                <w:szCs w:val="18"/>
              </w:rPr>
              <w:t>realizaci protihlukových opatření</w:t>
            </w:r>
            <w:r w:rsidRPr="00BC4A0C">
              <w:rPr>
                <w:rFonts w:asciiTheme="majorHAnsi" w:hAnsiTheme="majorHAnsi" w:cstheme="majorHAnsi"/>
                <w:sz w:val="18"/>
                <w:szCs w:val="18"/>
              </w:rPr>
              <w:t xml:space="preserve"> podél rekonstruovaného železničního koridoru opatření </w:t>
            </w:r>
            <w:r w:rsidRPr="00BC4A0C">
              <w:rPr>
                <w:rFonts w:asciiTheme="majorHAnsi" w:hAnsiTheme="majorHAnsi" w:cstheme="majorHAnsi"/>
                <w:i/>
                <w:iCs/>
                <w:sz w:val="18"/>
                <w:szCs w:val="18"/>
              </w:rPr>
              <w:t xml:space="preserve">na </w:t>
            </w:r>
            <w:r w:rsidRPr="00BC4A0C">
              <w:rPr>
                <w:rFonts w:asciiTheme="majorHAnsi" w:hAnsiTheme="majorHAnsi" w:cstheme="majorHAnsi"/>
                <w:b/>
                <w:bCs/>
                <w:i/>
                <w:iCs/>
                <w:sz w:val="18"/>
                <w:szCs w:val="18"/>
              </w:rPr>
              <w:t>nezbytnost</w:t>
            </w:r>
            <w:r w:rsidRPr="00BC4A0C">
              <w:rPr>
                <w:rFonts w:asciiTheme="majorHAnsi" w:hAnsiTheme="majorHAnsi" w:cstheme="majorHAnsi"/>
                <w:i/>
                <w:iCs/>
                <w:sz w:val="18"/>
                <w:szCs w:val="18"/>
              </w:rPr>
              <w:t xml:space="preserve"> realizace účinných protihlukových opatření</w:t>
            </w:r>
            <w:r w:rsidRPr="00BC4A0C">
              <w:rPr>
                <w:rFonts w:asciiTheme="majorHAnsi" w:hAnsiTheme="majorHAnsi" w:cstheme="majorHAnsi"/>
                <w:sz w:val="18"/>
                <w:szCs w:val="18"/>
              </w:rPr>
              <w:t xml:space="preserve"> podél rekonstruovaného železničního koridoru.</w:t>
            </w:r>
          </w:p>
          <w:p w14:paraId="102448E2" w14:textId="77777777" w:rsidR="00BC4A0C" w:rsidRPr="00BC4A0C" w:rsidRDefault="00BC4A0C" w:rsidP="00BC4A0C">
            <w:pPr>
              <w:pStyle w:val="Odstavecseseznamem"/>
              <w:ind w:left="360"/>
              <w:rPr>
                <w:rFonts w:asciiTheme="majorHAnsi" w:hAnsiTheme="majorHAnsi" w:cstheme="majorHAnsi"/>
                <w:sz w:val="18"/>
                <w:szCs w:val="18"/>
              </w:rPr>
            </w:pPr>
          </w:p>
          <w:p w14:paraId="5B0CC03F" w14:textId="77777777" w:rsidR="00BC4A0C" w:rsidRPr="00BC4A0C" w:rsidRDefault="00BC4A0C" w:rsidP="00BC4A0C">
            <w:pPr>
              <w:ind w:left="360"/>
              <w:rPr>
                <w:rFonts w:asciiTheme="majorHAnsi" w:hAnsiTheme="majorHAnsi" w:cstheme="majorHAnsi"/>
                <w:sz w:val="18"/>
                <w:szCs w:val="18"/>
              </w:rPr>
            </w:pPr>
          </w:p>
          <w:p w14:paraId="133808EE" w14:textId="77777777" w:rsidR="00BC4A0C" w:rsidRPr="00BC4A0C" w:rsidRDefault="00BC4A0C" w:rsidP="00BC4A0C">
            <w:pPr>
              <w:ind w:left="360"/>
              <w:rPr>
                <w:rFonts w:asciiTheme="majorHAnsi" w:hAnsiTheme="majorHAnsi" w:cstheme="majorHAnsi"/>
                <w:sz w:val="18"/>
                <w:szCs w:val="18"/>
              </w:rPr>
            </w:pPr>
          </w:p>
          <w:p w14:paraId="67BB5658" w14:textId="77777777" w:rsidR="00BC4A0C" w:rsidRPr="00BC4A0C" w:rsidRDefault="00BC4A0C" w:rsidP="00BC4A0C">
            <w:pPr>
              <w:ind w:left="360"/>
              <w:rPr>
                <w:rFonts w:asciiTheme="majorHAnsi" w:hAnsiTheme="majorHAnsi" w:cstheme="majorHAnsi"/>
                <w:sz w:val="18"/>
                <w:szCs w:val="18"/>
              </w:rPr>
            </w:pPr>
            <w:r w:rsidRPr="00BC4A0C">
              <w:rPr>
                <w:rFonts w:asciiTheme="majorHAnsi" w:hAnsiTheme="majorHAnsi" w:cstheme="majorHAnsi"/>
                <w:sz w:val="18"/>
                <w:szCs w:val="18"/>
              </w:rPr>
              <w:t>Navrhuji:</w:t>
            </w:r>
          </w:p>
          <w:p w14:paraId="18EC5D8A"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Vypustit z navrhovaného ÚP všechna již realizovaná opatření, například rekonstrukce křižovatky, rekonstrukce mostu, vybudování inženýrských sítí v satelitních sídlech…</w:t>
            </w:r>
          </w:p>
          <w:p w14:paraId="3ECD3C5E" w14:textId="77777777" w:rsidR="00BC4A0C" w:rsidRPr="00BC4A0C" w:rsidRDefault="00BC4A0C" w:rsidP="00BC4A0C">
            <w:pPr>
              <w:rPr>
                <w:rFonts w:asciiTheme="majorHAnsi" w:hAnsiTheme="majorHAnsi" w:cstheme="majorHAnsi"/>
                <w:sz w:val="18"/>
                <w:szCs w:val="18"/>
              </w:rPr>
            </w:pPr>
          </w:p>
          <w:p w14:paraId="6291B5B1" w14:textId="77777777" w:rsidR="00BC4A0C" w:rsidRPr="00BC4A0C" w:rsidRDefault="00BC4A0C" w:rsidP="00BC4A0C">
            <w:pPr>
              <w:rPr>
                <w:rFonts w:asciiTheme="majorHAnsi" w:hAnsiTheme="majorHAnsi" w:cstheme="majorHAnsi"/>
                <w:sz w:val="18"/>
                <w:szCs w:val="18"/>
              </w:rPr>
            </w:pPr>
          </w:p>
          <w:p w14:paraId="0AF43573" w14:textId="77777777" w:rsidR="00BC4A0C" w:rsidRPr="00BC4A0C" w:rsidRDefault="00BC4A0C" w:rsidP="00BC4A0C">
            <w:pPr>
              <w:rPr>
                <w:rFonts w:asciiTheme="majorHAnsi" w:hAnsiTheme="majorHAnsi" w:cstheme="majorHAnsi"/>
                <w:sz w:val="18"/>
                <w:szCs w:val="18"/>
              </w:rPr>
            </w:pPr>
          </w:p>
          <w:p w14:paraId="55B330B4" w14:textId="77777777" w:rsidR="00BC4A0C" w:rsidRPr="00BC4A0C" w:rsidRDefault="00BC4A0C" w:rsidP="00BC4A0C">
            <w:pPr>
              <w:rPr>
                <w:rFonts w:asciiTheme="majorHAnsi" w:hAnsiTheme="majorHAnsi" w:cstheme="majorHAnsi"/>
                <w:sz w:val="18"/>
                <w:szCs w:val="18"/>
              </w:rPr>
            </w:pPr>
          </w:p>
          <w:p w14:paraId="56603E82"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Opravit záměnu v mnoha textech zmiňujících koridory CNU.KDS1 a CNU.KDS2 – jsou prohozeny texty o účelu koridorů (popisy silnic, jejich křížení, silnice 3319 nevede po mostě nad potokem Vlkava, ale na Doubravu…), viz např. v textu Odůvodnění UP v tabulce na str. 91.</w:t>
            </w:r>
          </w:p>
          <w:p w14:paraId="454AE841" w14:textId="77777777" w:rsidR="00BC4A0C" w:rsidRPr="00BC4A0C" w:rsidRDefault="00BC4A0C" w:rsidP="00BC4A0C">
            <w:pPr>
              <w:rPr>
                <w:rFonts w:asciiTheme="majorHAnsi" w:hAnsiTheme="majorHAnsi" w:cstheme="majorHAnsi"/>
                <w:sz w:val="18"/>
                <w:szCs w:val="18"/>
              </w:rPr>
            </w:pPr>
          </w:p>
          <w:p w14:paraId="65BCD616"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Doplnit do ÚP aktuální informace o existujících či neexistujících inženýrských sítích v obci, z toho vyplývající budoucí záměry. Chybí mi v něm i zmínka o potenciálních místních zdrojích obnovitelné energie…</w:t>
            </w:r>
          </w:p>
          <w:p w14:paraId="186DE6FB" w14:textId="77777777" w:rsidR="00BC4A0C" w:rsidRPr="00BC4A0C" w:rsidRDefault="00BC4A0C" w:rsidP="00BC4A0C">
            <w:pPr>
              <w:rPr>
                <w:rFonts w:asciiTheme="majorHAnsi" w:hAnsiTheme="majorHAnsi" w:cstheme="majorHAnsi"/>
                <w:sz w:val="18"/>
                <w:szCs w:val="18"/>
              </w:rPr>
            </w:pPr>
          </w:p>
          <w:p w14:paraId="4B42EE9E"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 námitky viz spis.</w:t>
            </w:r>
          </w:p>
          <w:p w14:paraId="61C90F85"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79653F46" w14:textId="77777777" w:rsidR="00BC4A0C" w:rsidRPr="00BC4A0C" w:rsidRDefault="00BC4A0C" w:rsidP="00BC4A0C">
            <w:pPr>
              <w:rPr>
                <w:rFonts w:asciiTheme="majorHAnsi" w:hAnsiTheme="majorHAnsi" w:cstheme="majorHAnsi"/>
                <w:b/>
                <w:bCs/>
                <w:sz w:val="18"/>
                <w:szCs w:val="18"/>
              </w:rPr>
            </w:pPr>
          </w:p>
          <w:p w14:paraId="3C395817"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7EF54757"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Odůvodnění viz námitka </w:t>
            </w:r>
            <w:proofErr w:type="gramStart"/>
            <w:r w:rsidRPr="00BC4A0C">
              <w:rPr>
                <w:rFonts w:asciiTheme="majorHAnsi" w:hAnsiTheme="majorHAnsi" w:cstheme="majorHAnsi"/>
                <w:sz w:val="18"/>
                <w:szCs w:val="18"/>
              </w:rPr>
              <w:t>č.IX.</w:t>
            </w:r>
            <w:proofErr w:type="gramEnd"/>
          </w:p>
          <w:p w14:paraId="22BEBE68" w14:textId="77777777" w:rsidR="00BC4A0C" w:rsidRPr="00BC4A0C" w:rsidRDefault="00BC4A0C" w:rsidP="00BC4A0C">
            <w:pPr>
              <w:rPr>
                <w:rFonts w:asciiTheme="majorHAnsi" w:hAnsiTheme="majorHAnsi" w:cstheme="majorHAnsi"/>
                <w:sz w:val="18"/>
                <w:szCs w:val="18"/>
              </w:rPr>
            </w:pPr>
          </w:p>
          <w:p w14:paraId="0A9B618B" w14:textId="77777777" w:rsidR="00BC4A0C" w:rsidRPr="00BC4A0C" w:rsidRDefault="00BC4A0C" w:rsidP="00BC4A0C">
            <w:pPr>
              <w:rPr>
                <w:rFonts w:asciiTheme="majorHAnsi" w:hAnsiTheme="majorHAnsi" w:cstheme="majorHAnsi"/>
                <w:b/>
                <w:bCs/>
                <w:sz w:val="18"/>
                <w:szCs w:val="18"/>
              </w:rPr>
            </w:pPr>
          </w:p>
          <w:p w14:paraId="05F9C91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b/>
                <w:bCs/>
                <w:sz w:val="18"/>
                <w:szCs w:val="18"/>
              </w:rPr>
              <w:t>Námitce se vyhovuje</w:t>
            </w:r>
            <w:r w:rsidRPr="00BC4A0C">
              <w:rPr>
                <w:rFonts w:asciiTheme="majorHAnsi" w:hAnsiTheme="majorHAnsi" w:cstheme="majorHAnsi"/>
                <w:sz w:val="18"/>
                <w:szCs w:val="18"/>
              </w:rPr>
              <w:t>.</w:t>
            </w:r>
          </w:p>
          <w:p w14:paraId="5AA46F04"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Stejný požadavek uplatnila obec z rozhodnutí zastupitelstva.</w:t>
            </w:r>
          </w:p>
          <w:p w14:paraId="7143C95D" w14:textId="77777777" w:rsidR="00BC4A0C" w:rsidRPr="00BC4A0C" w:rsidRDefault="00BC4A0C" w:rsidP="00BC4A0C">
            <w:pPr>
              <w:rPr>
                <w:rFonts w:asciiTheme="majorHAnsi" w:hAnsiTheme="majorHAnsi" w:cstheme="majorHAnsi"/>
                <w:sz w:val="18"/>
                <w:szCs w:val="18"/>
              </w:rPr>
            </w:pPr>
          </w:p>
          <w:p w14:paraId="5090D79D"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5FAC925A"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viz odůvodnění námitky č. I.</w:t>
            </w:r>
          </w:p>
          <w:p w14:paraId="7A776B3F" w14:textId="77777777" w:rsidR="00BC4A0C" w:rsidRPr="00BC4A0C" w:rsidRDefault="00BC4A0C" w:rsidP="00BC4A0C">
            <w:pPr>
              <w:rPr>
                <w:rFonts w:asciiTheme="majorHAnsi" w:hAnsiTheme="majorHAnsi" w:cstheme="majorHAnsi"/>
                <w:b/>
                <w:bCs/>
                <w:sz w:val="18"/>
                <w:szCs w:val="18"/>
              </w:rPr>
            </w:pPr>
          </w:p>
          <w:p w14:paraId="525A46F2" w14:textId="77777777" w:rsidR="00BC4A0C" w:rsidRPr="00BC4A0C" w:rsidRDefault="00BC4A0C" w:rsidP="00BC4A0C">
            <w:pPr>
              <w:rPr>
                <w:rFonts w:asciiTheme="majorHAnsi" w:hAnsiTheme="majorHAnsi" w:cstheme="majorHAnsi"/>
                <w:b/>
                <w:bCs/>
                <w:sz w:val="18"/>
                <w:szCs w:val="18"/>
              </w:rPr>
            </w:pPr>
          </w:p>
          <w:p w14:paraId="6C60A3E1" w14:textId="77777777" w:rsidR="00BC4A0C" w:rsidRPr="00BC4A0C" w:rsidRDefault="00BC4A0C" w:rsidP="00BC4A0C">
            <w:pPr>
              <w:rPr>
                <w:rFonts w:asciiTheme="majorHAnsi" w:hAnsiTheme="majorHAnsi" w:cstheme="majorHAnsi"/>
                <w:b/>
                <w:bCs/>
                <w:sz w:val="18"/>
                <w:szCs w:val="18"/>
              </w:rPr>
            </w:pPr>
          </w:p>
          <w:p w14:paraId="527BD324" w14:textId="77777777" w:rsidR="00BC4A0C" w:rsidRPr="00BC4A0C" w:rsidRDefault="00BC4A0C" w:rsidP="00BC4A0C">
            <w:pPr>
              <w:rPr>
                <w:rFonts w:asciiTheme="majorHAnsi" w:hAnsiTheme="majorHAnsi" w:cstheme="majorHAnsi"/>
                <w:b/>
                <w:bCs/>
                <w:sz w:val="18"/>
                <w:szCs w:val="18"/>
              </w:rPr>
            </w:pPr>
          </w:p>
          <w:p w14:paraId="735FF533" w14:textId="77777777" w:rsidR="00BC4A0C" w:rsidRPr="00BC4A0C" w:rsidRDefault="00BC4A0C" w:rsidP="00BC4A0C">
            <w:pPr>
              <w:rPr>
                <w:rFonts w:asciiTheme="majorHAnsi" w:hAnsiTheme="majorHAnsi" w:cstheme="majorHAnsi"/>
                <w:b/>
                <w:bCs/>
                <w:sz w:val="18"/>
                <w:szCs w:val="18"/>
              </w:rPr>
            </w:pPr>
          </w:p>
          <w:p w14:paraId="434E9FA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3A4FF33B"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Požadované informace ÚP obsahuje, popis současného stavu v textové části odůvodnění, kap. 11.4.3 – doprava drážní</w:t>
            </w:r>
            <w:r w:rsidRPr="00BC4A0C">
              <w:rPr>
                <w:rFonts w:asciiTheme="majorHAnsi" w:hAnsiTheme="majorHAnsi" w:cstheme="majorHAnsi"/>
                <w:b/>
                <w:bCs/>
                <w:sz w:val="18"/>
                <w:szCs w:val="18"/>
              </w:rPr>
              <w:t>.</w:t>
            </w:r>
          </w:p>
          <w:p w14:paraId="2832FA4C" w14:textId="77777777" w:rsidR="00BC4A0C" w:rsidRPr="00BC4A0C" w:rsidRDefault="00BC4A0C" w:rsidP="00BC4A0C">
            <w:pPr>
              <w:rPr>
                <w:rFonts w:asciiTheme="majorHAnsi" w:hAnsiTheme="majorHAnsi" w:cstheme="majorHAnsi"/>
                <w:b/>
                <w:bCs/>
                <w:sz w:val="18"/>
                <w:szCs w:val="18"/>
              </w:rPr>
            </w:pPr>
          </w:p>
          <w:p w14:paraId="46B9039C"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42CC54E2"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 viz námitka č. VIII.1</w:t>
            </w:r>
          </w:p>
          <w:p w14:paraId="33E13A71" w14:textId="77777777" w:rsidR="00BC4A0C" w:rsidRPr="00BC4A0C" w:rsidRDefault="00BC4A0C" w:rsidP="00BC4A0C">
            <w:pPr>
              <w:rPr>
                <w:rFonts w:asciiTheme="majorHAnsi" w:hAnsiTheme="majorHAnsi" w:cstheme="majorHAnsi"/>
                <w:sz w:val="18"/>
                <w:szCs w:val="18"/>
              </w:rPr>
            </w:pPr>
          </w:p>
          <w:p w14:paraId="628BE0CF" w14:textId="77777777" w:rsidR="00BC4A0C" w:rsidRPr="00BC4A0C" w:rsidRDefault="00BC4A0C" w:rsidP="00BC4A0C">
            <w:pPr>
              <w:rPr>
                <w:rFonts w:asciiTheme="majorHAnsi" w:hAnsiTheme="majorHAnsi" w:cstheme="majorHAnsi"/>
                <w:sz w:val="18"/>
                <w:szCs w:val="18"/>
              </w:rPr>
            </w:pPr>
          </w:p>
          <w:p w14:paraId="2B3C4449" w14:textId="77777777" w:rsidR="00BC4A0C" w:rsidRPr="00BC4A0C" w:rsidRDefault="00BC4A0C" w:rsidP="00BC4A0C">
            <w:pPr>
              <w:rPr>
                <w:rFonts w:asciiTheme="majorHAnsi" w:hAnsiTheme="majorHAnsi" w:cstheme="majorHAnsi"/>
                <w:sz w:val="18"/>
                <w:szCs w:val="18"/>
              </w:rPr>
            </w:pPr>
          </w:p>
          <w:p w14:paraId="42146B41"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24636213"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O realizaci protihlukových opatření bude rozhodováno dle potřeby v konkrétních místech zástavby.</w:t>
            </w:r>
          </w:p>
          <w:p w14:paraId="13B634FE" w14:textId="77777777" w:rsidR="00BC4A0C" w:rsidRPr="00BC4A0C" w:rsidRDefault="00BC4A0C" w:rsidP="00BC4A0C">
            <w:pPr>
              <w:rPr>
                <w:rFonts w:asciiTheme="majorHAnsi" w:hAnsiTheme="majorHAnsi" w:cstheme="majorHAnsi"/>
                <w:sz w:val="18"/>
                <w:szCs w:val="18"/>
              </w:rPr>
            </w:pPr>
          </w:p>
          <w:p w14:paraId="501BAFB1" w14:textId="77777777" w:rsidR="00BC4A0C" w:rsidRPr="00BC4A0C" w:rsidRDefault="00BC4A0C" w:rsidP="00BC4A0C">
            <w:pPr>
              <w:rPr>
                <w:rFonts w:asciiTheme="majorHAnsi" w:hAnsiTheme="majorHAnsi" w:cstheme="majorHAnsi"/>
                <w:b/>
                <w:bCs/>
                <w:sz w:val="18"/>
                <w:szCs w:val="18"/>
              </w:rPr>
            </w:pPr>
          </w:p>
          <w:p w14:paraId="512FF4B6"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Námitce se částečně vyhovuje.</w:t>
            </w:r>
          </w:p>
          <w:p w14:paraId="37CBDB0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Koridory CNU.KDS1 a CNU.KDS2 budou vypuštěny, koridor KTI1 (vodovod a kanalizace) bude ponechán, stavba není dokončena.</w:t>
            </w:r>
          </w:p>
          <w:p w14:paraId="229EB7D8" w14:textId="77777777" w:rsidR="00BC4A0C" w:rsidRPr="00BC4A0C" w:rsidRDefault="00BC4A0C" w:rsidP="00BC4A0C">
            <w:pPr>
              <w:rPr>
                <w:rFonts w:asciiTheme="majorHAnsi" w:hAnsiTheme="majorHAnsi" w:cstheme="majorHAnsi"/>
                <w:sz w:val="18"/>
                <w:szCs w:val="18"/>
              </w:rPr>
            </w:pPr>
          </w:p>
          <w:p w14:paraId="3DFFAF90" w14:textId="77777777" w:rsidR="00BC4A0C" w:rsidRPr="00BC4A0C" w:rsidRDefault="00BC4A0C" w:rsidP="00BC4A0C">
            <w:pPr>
              <w:rPr>
                <w:rFonts w:asciiTheme="majorHAnsi" w:hAnsiTheme="majorHAnsi" w:cstheme="majorHAnsi"/>
                <w:sz w:val="18"/>
                <w:szCs w:val="18"/>
              </w:rPr>
            </w:pPr>
          </w:p>
          <w:p w14:paraId="14FEF5D7" w14:textId="77777777" w:rsidR="00BC4A0C" w:rsidRPr="00BC4A0C" w:rsidRDefault="00BC4A0C" w:rsidP="00BC4A0C">
            <w:pPr>
              <w:rPr>
                <w:rFonts w:asciiTheme="majorHAnsi" w:hAnsiTheme="majorHAnsi" w:cstheme="majorHAnsi"/>
                <w:sz w:val="18"/>
                <w:szCs w:val="18"/>
              </w:rPr>
            </w:pPr>
          </w:p>
          <w:p w14:paraId="1429FA5F"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Koridory KDS1 a KDS2 budou vypuštěny.</w:t>
            </w:r>
          </w:p>
          <w:p w14:paraId="2976CA02" w14:textId="77777777" w:rsidR="00BC4A0C" w:rsidRPr="00BC4A0C" w:rsidRDefault="00BC4A0C" w:rsidP="00BC4A0C">
            <w:pPr>
              <w:rPr>
                <w:rFonts w:asciiTheme="majorHAnsi" w:hAnsiTheme="majorHAnsi" w:cstheme="majorHAnsi"/>
                <w:sz w:val="18"/>
                <w:szCs w:val="18"/>
              </w:rPr>
            </w:pPr>
          </w:p>
          <w:p w14:paraId="4D306ABE" w14:textId="77777777" w:rsidR="00BC4A0C" w:rsidRPr="00BC4A0C" w:rsidRDefault="00BC4A0C" w:rsidP="00BC4A0C">
            <w:pPr>
              <w:rPr>
                <w:rFonts w:asciiTheme="majorHAnsi" w:hAnsiTheme="majorHAnsi" w:cstheme="majorHAnsi"/>
                <w:sz w:val="18"/>
                <w:szCs w:val="18"/>
              </w:rPr>
            </w:pPr>
          </w:p>
          <w:p w14:paraId="557BE7D1" w14:textId="77777777" w:rsidR="00BC4A0C" w:rsidRPr="00BC4A0C" w:rsidRDefault="00BC4A0C" w:rsidP="00BC4A0C">
            <w:pPr>
              <w:rPr>
                <w:rFonts w:asciiTheme="majorHAnsi" w:hAnsiTheme="majorHAnsi" w:cstheme="majorHAnsi"/>
                <w:sz w:val="18"/>
                <w:szCs w:val="18"/>
              </w:rPr>
            </w:pPr>
          </w:p>
          <w:p w14:paraId="0D79333E"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7DAF7DBA"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u w:val="single"/>
              </w:rPr>
              <w:t>Odůvodnění:</w:t>
            </w:r>
            <w:r w:rsidRPr="00BC4A0C">
              <w:rPr>
                <w:rFonts w:asciiTheme="majorHAnsi" w:hAnsiTheme="majorHAnsi" w:cstheme="majorHAnsi"/>
                <w:sz w:val="18"/>
                <w:szCs w:val="18"/>
              </w:rPr>
              <w:t xml:space="preserve"> Popis současného stavu technických sítí a koncepce jejich rozšíření v souvislosti s rozvojem obce je v textové části </w:t>
            </w:r>
            <w:proofErr w:type="gramStart"/>
            <w:r w:rsidRPr="00BC4A0C">
              <w:rPr>
                <w:rFonts w:asciiTheme="majorHAnsi" w:hAnsiTheme="majorHAnsi" w:cstheme="majorHAnsi"/>
                <w:sz w:val="18"/>
                <w:szCs w:val="18"/>
              </w:rPr>
              <w:t>odůvodnění  kap.</w:t>
            </w:r>
            <w:proofErr w:type="gramEnd"/>
            <w:r w:rsidRPr="00BC4A0C">
              <w:rPr>
                <w:rFonts w:asciiTheme="majorHAnsi" w:hAnsiTheme="majorHAnsi" w:cstheme="majorHAnsi"/>
                <w:sz w:val="18"/>
                <w:szCs w:val="18"/>
              </w:rPr>
              <w:t xml:space="preserve"> 11.4.4 (str. 96 až 104).</w:t>
            </w:r>
          </w:p>
        </w:tc>
      </w:tr>
      <w:tr w:rsidR="00BC4A0C" w:rsidRPr="00BC4A0C" w14:paraId="19130C49" w14:textId="77777777" w:rsidTr="00CD657D">
        <w:tc>
          <w:tcPr>
            <w:tcW w:w="6096" w:type="dxa"/>
          </w:tcPr>
          <w:p w14:paraId="0C26DA8F"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lastRenderedPageBreak/>
              <w:t>Obec Ostrá.</w:t>
            </w:r>
          </w:p>
          <w:p w14:paraId="499B50CD" w14:textId="77777777" w:rsidR="00BC4A0C" w:rsidRPr="00BC4A0C" w:rsidRDefault="00BC4A0C" w:rsidP="00BC4A0C">
            <w:pPr>
              <w:rPr>
                <w:rFonts w:asciiTheme="majorHAnsi" w:hAnsiTheme="majorHAnsi" w:cstheme="majorHAnsi"/>
                <w:b/>
                <w:bCs/>
                <w:sz w:val="18"/>
                <w:szCs w:val="18"/>
              </w:rPr>
            </w:pPr>
          </w:p>
        </w:tc>
        <w:tc>
          <w:tcPr>
            <w:tcW w:w="3118" w:type="dxa"/>
          </w:tcPr>
          <w:p w14:paraId="6677B2CB" w14:textId="77777777" w:rsidR="00BC4A0C" w:rsidRPr="00BC4A0C" w:rsidRDefault="00BC4A0C" w:rsidP="00BC4A0C">
            <w:pPr>
              <w:rPr>
                <w:rFonts w:asciiTheme="majorHAnsi" w:hAnsiTheme="majorHAnsi" w:cstheme="majorHAnsi"/>
                <w:b/>
                <w:bCs/>
                <w:sz w:val="18"/>
                <w:szCs w:val="18"/>
              </w:rPr>
            </w:pPr>
          </w:p>
        </w:tc>
      </w:tr>
      <w:tr w:rsidR="00BC4A0C" w:rsidRPr="00BC4A0C" w14:paraId="4655F215" w14:textId="77777777" w:rsidTr="00CD657D">
        <w:tc>
          <w:tcPr>
            <w:tcW w:w="6096" w:type="dxa"/>
          </w:tcPr>
          <w:p w14:paraId="0ACB0DA3" w14:textId="77777777" w:rsidR="00BC4A0C" w:rsidRPr="00BC4A0C" w:rsidRDefault="00BC4A0C" w:rsidP="00BC4A0C">
            <w:pPr>
              <w:rPr>
                <w:rFonts w:asciiTheme="majorHAnsi" w:hAnsiTheme="majorHAnsi" w:cstheme="majorHAnsi"/>
                <w:sz w:val="18"/>
                <w:szCs w:val="18"/>
              </w:rPr>
            </w:pPr>
          </w:p>
          <w:p w14:paraId="2AD6D3C6"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w:t>
            </w:r>
          </w:p>
          <w:p w14:paraId="0E871731"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Pozemek parc. č. 1219/3 v k. ú je v KN zapsán jako ostatní plocha – ostatní komunikace, v ÚP Ostrá jako účelová komunikace. V mapě plánu společných zařízení v KPÚ je doplňkovou cestou. Po připomínce ze dne 13.7.2022 na obecní účelovou komunikaci (p. č. 1219/3) v k. ú. Ostrá navazuje ÚP Kostomlaty n. L. tzv. koncepční šipka, která </w:t>
            </w:r>
            <w:proofErr w:type="gramStart"/>
            <w:r w:rsidRPr="00BC4A0C">
              <w:rPr>
                <w:rFonts w:asciiTheme="majorHAnsi" w:hAnsiTheme="majorHAnsi" w:cstheme="majorHAnsi"/>
                <w:sz w:val="18"/>
                <w:szCs w:val="18"/>
              </w:rPr>
              <w:t>ukazuje</w:t>
            </w:r>
            <w:proofErr w:type="gramEnd"/>
            <w:r w:rsidRPr="00BC4A0C">
              <w:rPr>
                <w:rFonts w:asciiTheme="majorHAnsi" w:hAnsiTheme="majorHAnsi" w:cstheme="majorHAnsi"/>
                <w:sz w:val="18"/>
                <w:szCs w:val="18"/>
              </w:rPr>
              <w:t xml:space="preserve"> v jakém směru by „mohla“ být realizována cesta. Takto to bylo předneseno při projednávání ÚP dne 21.2.v Kostomlatech zpracovatelem ÚP Kostomlaty n. L.</w:t>
            </w:r>
          </w:p>
          <w:p w14:paraId="6F91787B"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Obec Ostrá podává následující připomínku: Na pozemek p. č. 1219/3 v ÚP Ostrá žádáme o „napojit“ v ÚP Kostomlaty n.L. místo naznačeného směru zajištění prostupnosti (</w:t>
            </w:r>
            <w:proofErr w:type="gramStart"/>
            <w:r w:rsidRPr="00BC4A0C">
              <w:rPr>
                <w:rFonts w:asciiTheme="majorHAnsi" w:hAnsiTheme="majorHAnsi" w:cstheme="majorHAnsi"/>
                <w:sz w:val="18"/>
                <w:szCs w:val="18"/>
              </w:rPr>
              <w:t>t. j.</w:t>
            </w:r>
            <w:proofErr w:type="gramEnd"/>
            <w:r w:rsidRPr="00BC4A0C">
              <w:rPr>
                <w:rFonts w:asciiTheme="majorHAnsi" w:hAnsiTheme="majorHAnsi" w:cstheme="majorHAnsi"/>
                <w:sz w:val="18"/>
                <w:szCs w:val="18"/>
              </w:rPr>
              <w:t xml:space="preserve"> místo koncepční šipky) účelovou komunikaci.</w:t>
            </w:r>
          </w:p>
          <w:p w14:paraId="3AC8040A"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264FC921"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5DE3B421"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0382383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Navazující pozemek parc. č. 905/111 v k. ú. Kostomlaty je v KN zapsán jako orná půda a je i takto využíván – je rozorán. Pozemek končí uprostřed polí a dále nenavazuje na žádnou komunikaci. V územním plánu nemůže být vyznačen jako komunikace. Koncepční šipka naznačující vhodný směr prostupnosti územím a podmínky ploch AU a MU umožňují vybudování účelové komunikace</w:t>
            </w:r>
          </w:p>
          <w:p w14:paraId="35B39B34" w14:textId="77777777" w:rsidR="00BC4A0C" w:rsidRPr="00BC4A0C" w:rsidRDefault="00BC4A0C" w:rsidP="00BC4A0C">
            <w:pPr>
              <w:rPr>
                <w:rFonts w:asciiTheme="majorHAnsi" w:hAnsiTheme="majorHAnsi" w:cstheme="majorHAnsi"/>
                <w:sz w:val="18"/>
                <w:szCs w:val="18"/>
              </w:rPr>
            </w:pPr>
          </w:p>
        </w:tc>
      </w:tr>
      <w:tr w:rsidR="00BC4A0C" w:rsidRPr="00BC4A0C" w14:paraId="6C9E053F" w14:textId="77777777" w:rsidTr="00CD657D">
        <w:tc>
          <w:tcPr>
            <w:tcW w:w="6096" w:type="dxa"/>
          </w:tcPr>
          <w:p w14:paraId="6A34E173"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t>Radoušek Kamil, Rozkoš 42, Raoušková Petra, Rozkoš 42, Radoušek Jan, Nádražní 194, Kostomlaty n. L., Radoušek Jaroslav, Sadová 2112, Nymburk.</w:t>
            </w:r>
          </w:p>
          <w:p w14:paraId="09B9E01B" w14:textId="77777777" w:rsidR="00BC4A0C" w:rsidRPr="00BC4A0C" w:rsidRDefault="00BC4A0C" w:rsidP="00BC4A0C">
            <w:pPr>
              <w:rPr>
                <w:rFonts w:asciiTheme="majorHAnsi" w:hAnsiTheme="majorHAnsi" w:cstheme="majorHAnsi"/>
                <w:sz w:val="18"/>
                <w:szCs w:val="18"/>
              </w:rPr>
            </w:pPr>
          </w:p>
        </w:tc>
        <w:tc>
          <w:tcPr>
            <w:tcW w:w="3118" w:type="dxa"/>
          </w:tcPr>
          <w:p w14:paraId="3AD731CB" w14:textId="77777777" w:rsidR="00BC4A0C" w:rsidRPr="00BC4A0C" w:rsidRDefault="00BC4A0C" w:rsidP="00BC4A0C">
            <w:pPr>
              <w:rPr>
                <w:rFonts w:asciiTheme="majorHAnsi" w:hAnsiTheme="majorHAnsi" w:cstheme="majorHAnsi"/>
                <w:b/>
                <w:bCs/>
                <w:sz w:val="18"/>
                <w:szCs w:val="18"/>
              </w:rPr>
            </w:pPr>
          </w:p>
        </w:tc>
      </w:tr>
      <w:tr w:rsidR="00BC4A0C" w:rsidRPr="00BC4A0C" w14:paraId="06AA51D0" w14:textId="77777777" w:rsidTr="00CD657D">
        <w:tc>
          <w:tcPr>
            <w:tcW w:w="6096" w:type="dxa"/>
          </w:tcPr>
          <w:p w14:paraId="053C2D30"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w:t>
            </w:r>
          </w:p>
          <w:p w14:paraId="709E421B"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V návrhu ÚP Kostomlaty nad Labem ze IV/2022 byla navržena dle naší žádosti ze dne 5.11.2020 změna území na obytnou zástavbu Z10 a následně bylo toto území </w:t>
            </w:r>
            <w:r w:rsidRPr="00BC4A0C">
              <w:rPr>
                <w:rFonts w:asciiTheme="majorHAnsi" w:hAnsiTheme="majorHAnsi" w:cstheme="majorHAnsi"/>
                <w:sz w:val="18"/>
                <w:szCs w:val="18"/>
              </w:rPr>
              <w:lastRenderedPageBreak/>
              <w:t>v posledním ÚP XI/2023 změněno na NSzp (plochy smíšené nezastavěného území – zemědělské, přírodní pozemky) – území, o které se jedná je vyznačeno v mapě v příloze (jedná se o pozemky parc. č. 455/1, 455/3, 455/4, 840/17, 701/1, 840/1, 1366/3 v majetku rodiny Radouškových a dále pak pozemky parc. č. 840/19, 840/20, 840/15, 39, 1366/3, 1454/9, 1454/38).</w:t>
            </w:r>
          </w:p>
          <w:p w14:paraId="025B0471"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Prosím o projednání a žádáme o nápravu dle ÚP IV/2022 (parc. č. 455/1, 455/3, 455/4, 840/17, 701/1, 840/1, 1366/3) z důvodu budoucí výstavby rodinných domů, (narovnání hranic pozemků). Obecní úřad by jistě také ocenil, že by obecní pozemky parc. č. 1366/1, 840815, 840/16 momentálně bez jakéhokoliv významu by byly sloučeny v jeden celek vedle ČOP, což by mohlo být v budoucnu využito pro rozšíření či potřeby ČOP.</w:t>
            </w:r>
          </w:p>
          <w:p w14:paraId="78C615A0"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62388C44"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Námitka se zamítá.</w:t>
            </w:r>
          </w:p>
          <w:p w14:paraId="2E6A0843"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34CBB9F9"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lastRenderedPageBreak/>
              <w:t>Podle stávajícího ÚP se jedná o pozemky nezastavěného území, louky, pastviny a pole. Obec nechce rozšíření obytných ploch v této lokalitě. Pozemky se nacházejí východně od stávající čističky odpadních vod, tedy ve směru převládajících větrů. Obec řeší již v současné době množství stížností vlastníků nemovitostí umístěných východně od ČOV na obtěžování zápachem. V souvislosti se stanovením nových zastavitelných ploch se počítá i se zvýšením kapacity ČOV a tím i možným nárůstem negativních vlivů na okolí. Na zařazení pozemků do zastavitelných ploch není právní nárok.</w:t>
            </w:r>
          </w:p>
        </w:tc>
      </w:tr>
      <w:tr w:rsidR="00BC4A0C" w:rsidRPr="00BC4A0C" w14:paraId="242C4154" w14:textId="77777777" w:rsidTr="00CD657D">
        <w:tc>
          <w:tcPr>
            <w:tcW w:w="6096" w:type="dxa"/>
          </w:tcPr>
          <w:p w14:paraId="4F114F8F"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lastRenderedPageBreak/>
              <w:t>Hladíková Dana, 9. května 98, Kostomlaty n. L.</w:t>
            </w:r>
          </w:p>
          <w:p w14:paraId="66260739" w14:textId="77777777" w:rsidR="00BC4A0C" w:rsidRPr="00BC4A0C" w:rsidRDefault="00BC4A0C" w:rsidP="00BC4A0C">
            <w:pPr>
              <w:rPr>
                <w:rFonts w:asciiTheme="majorHAnsi" w:hAnsiTheme="majorHAnsi" w:cstheme="majorHAnsi"/>
                <w:b/>
                <w:bCs/>
                <w:sz w:val="18"/>
                <w:szCs w:val="18"/>
              </w:rPr>
            </w:pPr>
          </w:p>
        </w:tc>
        <w:tc>
          <w:tcPr>
            <w:tcW w:w="3118" w:type="dxa"/>
          </w:tcPr>
          <w:p w14:paraId="5BF01396" w14:textId="77777777" w:rsidR="00BC4A0C" w:rsidRPr="00BC4A0C" w:rsidRDefault="00BC4A0C" w:rsidP="00BC4A0C">
            <w:pPr>
              <w:rPr>
                <w:rFonts w:asciiTheme="majorHAnsi" w:hAnsiTheme="majorHAnsi" w:cstheme="majorHAnsi"/>
                <w:b/>
                <w:bCs/>
                <w:sz w:val="18"/>
                <w:szCs w:val="18"/>
              </w:rPr>
            </w:pPr>
          </w:p>
        </w:tc>
      </w:tr>
      <w:tr w:rsidR="00BC4A0C" w:rsidRPr="00BC4A0C" w14:paraId="08809CB6" w14:textId="77777777" w:rsidTr="00CD657D">
        <w:tc>
          <w:tcPr>
            <w:tcW w:w="6096" w:type="dxa"/>
          </w:tcPr>
          <w:p w14:paraId="50D2F334" w14:textId="77777777" w:rsidR="00BC4A0C" w:rsidRPr="00BC4A0C" w:rsidRDefault="00BC4A0C" w:rsidP="00BC4A0C">
            <w:pPr>
              <w:rPr>
                <w:rFonts w:asciiTheme="majorHAnsi" w:hAnsiTheme="majorHAnsi" w:cstheme="majorHAnsi"/>
                <w:sz w:val="18"/>
                <w:szCs w:val="18"/>
              </w:rPr>
            </w:pPr>
          </w:p>
          <w:p w14:paraId="47C8FADD"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w:t>
            </w:r>
          </w:p>
          <w:p w14:paraId="044CDC7C"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sz w:val="18"/>
                <w:szCs w:val="18"/>
              </w:rPr>
              <w:t>V návaznosti na veřejné projednání nového návrhu územního plánu obce Kostomlaty nad Labem, které proběhlo dne 21.2.2024, tímto vznáším požadavek na změnu představeného územního plánu. Konkrétně navrhuji provedení změny způsobu využití území, na kterém se mimo jiné nacházejí i mnou spoluvlastněné pozemky (701/1, 840/1), a to nově na plochu určenou k zastavění. Cílem navržené změny je možnost budoucího využití uvedených pozemků pro případnou zástavbu v podobě rodinných domů. Žádám tímto o zapracování navržené změny v rámci předpokládaných dalších úprav územního plánu v návaznosti na vypořádání připomínek vzešlých z veřejného projednání</w:t>
            </w:r>
          </w:p>
        </w:tc>
        <w:tc>
          <w:tcPr>
            <w:tcW w:w="3118" w:type="dxa"/>
          </w:tcPr>
          <w:p w14:paraId="13B33F9D" w14:textId="77777777" w:rsidR="00BC4A0C" w:rsidRPr="00BC4A0C" w:rsidRDefault="00BC4A0C" w:rsidP="00BC4A0C">
            <w:pPr>
              <w:rPr>
                <w:rFonts w:asciiTheme="majorHAnsi" w:hAnsiTheme="majorHAnsi" w:cstheme="majorHAnsi"/>
                <w:b/>
                <w:bCs/>
                <w:sz w:val="18"/>
                <w:szCs w:val="18"/>
              </w:rPr>
            </w:pPr>
          </w:p>
          <w:p w14:paraId="5E9C3736"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29FEEFE8" w14:textId="77777777" w:rsidR="00BC4A0C" w:rsidRPr="00BC4A0C" w:rsidRDefault="00BC4A0C" w:rsidP="00BC4A0C">
            <w:pPr>
              <w:rPr>
                <w:rFonts w:asciiTheme="majorHAnsi" w:hAnsiTheme="majorHAnsi" w:cstheme="majorHAnsi"/>
                <w:b/>
                <w:bCs/>
                <w:sz w:val="18"/>
                <w:szCs w:val="18"/>
              </w:rPr>
            </w:pPr>
          </w:p>
          <w:p w14:paraId="3446503A"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 viz námitka č. XII.</w:t>
            </w:r>
          </w:p>
        </w:tc>
      </w:tr>
      <w:tr w:rsidR="00BC4A0C" w:rsidRPr="00BC4A0C" w14:paraId="185AB6C7" w14:textId="77777777" w:rsidTr="00CD657D">
        <w:tc>
          <w:tcPr>
            <w:tcW w:w="6096" w:type="dxa"/>
          </w:tcPr>
          <w:p w14:paraId="4908AB36"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t>Bc. Čermáková Lucie. Vichrova 1916, Lysá nad Labem</w:t>
            </w:r>
          </w:p>
          <w:p w14:paraId="6C9D2030" w14:textId="77777777" w:rsidR="00BC4A0C" w:rsidRPr="00BC4A0C" w:rsidRDefault="00BC4A0C" w:rsidP="00BC4A0C">
            <w:pPr>
              <w:rPr>
                <w:rFonts w:asciiTheme="majorHAnsi" w:hAnsiTheme="majorHAnsi" w:cstheme="majorHAnsi"/>
                <w:sz w:val="18"/>
                <w:szCs w:val="18"/>
              </w:rPr>
            </w:pPr>
          </w:p>
        </w:tc>
        <w:tc>
          <w:tcPr>
            <w:tcW w:w="3118" w:type="dxa"/>
          </w:tcPr>
          <w:p w14:paraId="62E8CF04" w14:textId="77777777" w:rsidR="00BC4A0C" w:rsidRPr="00BC4A0C" w:rsidRDefault="00BC4A0C" w:rsidP="00BC4A0C">
            <w:pPr>
              <w:rPr>
                <w:rFonts w:asciiTheme="majorHAnsi" w:hAnsiTheme="majorHAnsi" w:cstheme="majorHAnsi"/>
                <w:b/>
                <w:bCs/>
                <w:sz w:val="18"/>
                <w:szCs w:val="18"/>
              </w:rPr>
            </w:pPr>
          </w:p>
        </w:tc>
      </w:tr>
      <w:tr w:rsidR="00BC4A0C" w:rsidRPr="00BC4A0C" w14:paraId="58AB6005" w14:textId="77777777" w:rsidTr="00CD657D">
        <w:tc>
          <w:tcPr>
            <w:tcW w:w="6096" w:type="dxa"/>
          </w:tcPr>
          <w:p w14:paraId="6B22C077"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 xml:space="preserve">Námitka: </w:t>
            </w:r>
          </w:p>
          <w:p w14:paraId="2F3E7CB5"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V návaznosti na veřejné projednání nového návrhu územního plánu obce Kostomlaty nad Labem, které proběhlo dne 21.2.2024, tímto vznáším požadavek na změnu představeného územního plánu. Konkrétně navrhuji provedení změny způsobu využití území, na kterém se mimo jiné nacházejí i mnou vlastněné pozemky (1366/3, 1454/9</w:t>
            </w:r>
            <w:proofErr w:type="gramStart"/>
            <w:r w:rsidRPr="00BC4A0C">
              <w:rPr>
                <w:rFonts w:asciiTheme="majorHAnsi" w:hAnsiTheme="majorHAnsi" w:cstheme="majorHAnsi"/>
                <w:sz w:val="18"/>
                <w:szCs w:val="18"/>
              </w:rPr>
              <w:t>) ,</w:t>
            </w:r>
            <w:proofErr w:type="gramEnd"/>
            <w:r w:rsidRPr="00BC4A0C">
              <w:rPr>
                <w:rFonts w:asciiTheme="majorHAnsi" w:hAnsiTheme="majorHAnsi" w:cstheme="majorHAnsi"/>
                <w:sz w:val="18"/>
                <w:szCs w:val="18"/>
              </w:rPr>
              <w:t xml:space="preserve"> a to nově na plochu určenou k zastavění. Cílem navržené změny je možnost budoucího využití uvedených pozemků pro případnou zástavbu v podobě rodinných domů, popřípadě k jinému obdobnému využití, které není stávajícím návrhem územního plánu umožněno. Žádám tímto o zapracování navržené změny v rámci předpokládaných dalších úprav územního plánu v návaznosti na vypořádání připomínek vzešlých z veřejného projednání.</w:t>
            </w:r>
          </w:p>
          <w:p w14:paraId="0B42FFC1" w14:textId="77777777" w:rsidR="00BC4A0C" w:rsidRPr="00BC4A0C" w:rsidRDefault="00BC4A0C" w:rsidP="00BC4A0C">
            <w:pPr>
              <w:pStyle w:val="Odstavecseseznamem"/>
              <w:ind w:left="1080"/>
              <w:rPr>
                <w:rFonts w:asciiTheme="majorHAnsi" w:hAnsiTheme="majorHAnsi" w:cstheme="majorHAnsi"/>
                <w:b/>
                <w:bCs/>
                <w:sz w:val="18"/>
                <w:szCs w:val="18"/>
              </w:rPr>
            </w:pPr>
          </w:p>
        </w:tc>
        <w:tc>
          <w:tcPr>
            <w:tcW w:w="3118" w:type="dxa"/>
          </w:tcPr>
          <w:p w14:paraId="245A33FB" w14:textId="77777777" w:rsidR="00BC4A0C" w:rsidRPr="00BC4A0C" w:rsidRDefault="00BC4A0C" w:rsidP="00BC4A0C">
            <w:pPr>
              <w:rPr>
                <w:rFonts w:asciiTheme="majorHAnsi" w:hAnsiTheme="majorHAnsi" w:cstheme="majorHAnsi"/>
                <w:b/>
                <w:bCs/>
                <w:sz w:val="18"/>
                <w:szCs w:val="18"/>
              </w:rPr>
            </w:pPr>
          </w:p>
          <w:p w14:paraId="3388E5BF"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25E2A7C1" w14:textId="77777777" w:rsidR="00BC4A0C" w:rsidRPr="00BC4A0C" w:rsidRDefault="00BC4A0C" w:rsidP="00BC4A0C">
            <w:pPr>
              <w:rPr>
                <w:rFonts w:asciiTheme="majorHAnsi" w:hAnsiTheme="majorHAnsi" w:cstheme="majorHAnsi"/>
                <w:b/>
                <w:bCs/>
                <w:sz w:val="18"/>
                <w:szCs w:val="18"/>
              </w:rPr>
            </w:pPr>
          </w:p>
          <w:p w14:paraId="034A6904"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sz w:val="18"/>
                <w:szCs w:val="18"/>
              </w:rPr>
              <w:t>Odůvodnění viz námitka č. XII</w:t>
            </w:r>
          </w:p>
        </w:tc>
      </w:tr>
      <w:tr w:rsidR="00BC4A0C" w:rsidRPr="00BC4A0C" w14:paraId="5DE1FFBB" w14:textId="77777777" w:rsidTr="00CD657D">
        <w:tc>
          <w:tcPr>
            <w:tcW w:w="6096" w:type="dxa"/>
          </w:tcPr>
          <w:p w14:paraId="418F880B" w14:textId="77777777" w:rsidR="00BC4A0C" w:rsidRPr="00BC4A0C" w:rsidRDefault="00BC4A0C" w:rsidP="00BC4A0C">
            <w:pPr>
              <w:rPr>
                <w:rFonts w:asciiTheme="majorHAnsi" w:hAnsiTheme="majorHAnsi" w:cstheme="majorHAnsi"/>
                <w:b/>
                <w:bCs/>
                <w:sz w:val="18"/>
                <w:szCs w:val="18"/>
              </w:rPr>
            </w:pPr>
          </w:p>
          <w:p w14:paraId="3A62F1E0" w14:textId="77777777" w:rsidR="00BC4A0C" w:rsidRPr="00BC4A0C" w:rsidRDefault="00BC4A0C" w:rsidP="00BC4A0C">
            <w:pPr>
              <w:rPr>
                <w:rFonts w:asciiTheme="majorHAnsi" w:hAnsiTheme="majorHAnsi" w:cstheme="majorHAnsi"/>
                <w:b/>
                <w:bCs/>
                <w:sz w:val="18"/>
                <w:szCs w:val="18"/>
              </w:rPr>
            </w:pPr>
          </w:p>
          <w:p w14:paraId="00E5FD17"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Námitky došlé po termínu:</w:t>
            </w:r>
          </w:p>
          <w:p w14:paraId="122AFF40" w14:textId="77777777" w:rsidR="00BC4A0C" w:rsidRPr="00BC4A0C" w:rsidRDefault="00BC4A0C" w:rsidP="00BC4A0C">
            <w:pPr>
              <w:rPr>
                <w:rFonts w:asciiTheme="majorHAnsi" w:hAnsiTheme="majorHAnsi" w:cstheme="majorHAnsi"/>
                <w:b/>
                <w:bCs/>
                <w:sz w:val="18"/>
                <w:szCs w:val="18"/>
              </w:rPr>
            </w:pPr>
          </w:p>
          <w:p w14:paraId="168EEDF4" w14:textId="77777777" w:rsidR="00BC4A0C" w:rsidRPr="00BC4A0C" w:rsidRDefault="00BC4A0C" w:rsidP="00BC4A0C">
            <w:pPr>
              <w:rPr>
                <w:rFonts w:asciiTheme="majorHAnsi" w:hAnsiTheme="majorHAnsi" w:cstheme="majorHAnsi"/>
                <w:sz w:val="18"/>
                <w:szCs w:val="18"/>
                <w:u w:val="single"/>
              </w:rPr>
            </w:pPr>
          </w:p>
        </w:tc>
        <w:tc>
          <w:tcPr>
            <w:tcW w:w="3118" w:type="dxa"/>
          </w:tcPr>
          <w:p w14:paraId="044B755C" w14:textId="77777777" w:rsidR="00BC4A0C" w:rsidRPr="00BC4A0C" w:rsidRDefault="00BC4A0C" w:rsidP="00BC4A0C">
            <w:pPr>
              <w:rPr>
                <w:rFonts w:asciiTheme="majorHAnsi" w:hAnsiTheme="majorHAnsi" w:cstheme="majorHAnsi"/>
                <w:b/>
                <w:bCs/>
                <w:sz w:val="18"/>
                <w:szCs w:val="18"/>
              </w:rPr>
            </w:pPr>
          </w:p>
        </w:tc>
      </w:tr>
      <w:tr w:rsidR="00BC4A0C" w:rsidRPr="00BC4A0C" w14:paraId="4C43F2F5" w14:textId="77777777" w:rsidTr="00CD657D">
        <w:tc>
          <w:tcPr>
            <w:tcW w:w="6096" w:type="dxa"/>
          </w:tcPr>
          <w:p w14:paraId="421C9F0F"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b/>
                <w:bCs/>
                <w:sz w:val="18"/>
                <w:szCs w:val="18"/>
              </w:rPr>
              <w:t xml:space="preserve">     XV.     J.  Nehasil (došlo 1.3.2024</w:t>
            </w:r>
            <w:r w:rsidRPr="00BC4A0C">
              <w:rPr>
                <w:rFonts w:asciiTheme="majorHAnsi" w:hAnsiTheme="majorHAnsi" w:cstheme="majorHAnsi"/>
                <w:sz w:val="18"/>
                <w:szCs w:val="18"/>
              </w:rPr>
              <w:t xml:space="preserve"> – nepodepsáno, neuvedena adresa a dat. narození)</w:t>
            </w:r>
          </w:p>
          <w:p w14:paraId="5F0ED6D1" w14:textId="77777777" w:rsidR="00BC4A0C" w:rsidRPr="00BC4A0C" w:rsidRDefault="00BC4A0C" w:rsidP="00BC4A0C">
            <w:pPr>
              <w:rPr>
                <w:rFonts w:asciiTheme="majorHAnsi" w:hAnsiTheme="majorHAnsi" w:cstheme="majorHAnsi"/>
                <w:b/>
                <w:bCs/>
                <w:sz w:val="18"/>
                <w:szCs w:val="18"/>
              </w:rPr>
            </w:pPr>
          </w:p>
        </w:tc>
        <w:tc>
          <w:tcPr>
            <w:tcW w:w="3118" w:type="dxa"/>
          </w:tcPr>
          <w:p w14:paraId="5753FDFF" w14:textId="77777777" w:rsidR="00BC4A0C" w:rsidRPr="00BC4A0C" w:rsidRDefault="00BC4A0C" w:rsidP="00BC4A0C">
            <w:pPr>
              <w:rPr>
                <w:rFonts w:asciiTheme="majorHAnsi" w:hAnsiTheme="majorHAnsi" w:cstheme="majorHAnsi"/>
                <w:b/>
                <w:bCs/>
                <w:sz w:val="18"/>
                <w:szCs w:val="18"/>
              </w:rPr>
            </w:pPr>
          </w:p>
        </w:tc>
      </w:tr>
      <w:tr w:rsidR="00BC4A0C" w:rsidRPr="00BC4A0C" w14:paraId="7FC2591B" w14:textId="77777777" w:rsidTr="00CD657D">
        <w:tc>
          <w:tcPr>
            <w:tcW w:w="6096" w:type="dxa"/>
          </w:tcPr>
          <w:p w14:paraId="65CC7A3E"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 xml:space="preserve">Námitka: </w:t>
            </w:r>
          </w:p>
          <w:p w14:paraId="707A832C"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Nesouhlasím se smíšenou zástavbou před – na svých pozemcích č. 473 a 274/20 a ani v dalších místech obce. Kde se jedná o zástavbu na orné půdě. Důvody jsou následující: starostka v obci nechala zničit tři parky ohraničené vzácnými kanadskými dřevinami zakoupenými po r. 1918. ty byly zakoupeny na zemské výstavě v Praze. Jednalo se o parky, kde byl postaven pomník obětem z 1. světové války, park s církevním křížkem a třetí park s obecní studní. Mezi každým parkem z obou jejich stran byly ponechány cesty pro vstup na pozemky s ornou půdou, a kde předchozí majitelé nechali část těchto pozemků ze své orné půdy obci k zřízení těchto parků, ale s uvedenými cestami pro vstup na své pozemky, </w:t>
            </w:r>
            <w:r w:rsidRPr="00BC4A0C">
              <w:rPr>
                <w:rFonts w:asciiTheme="majorHAnsi" w:hAnsiTheme="majorHAnsi" w:cstheme="majorHAnsi"/>
                <w:sz w:val="18"/>
                <w:szCs w:val="18"/>
              </w:rPr>
              <w:lastRenderedPageBreak/>
              <w:t xml:space="preserve">bez nichž by se k jejich obhospodařování nebylo možné dostat! K tomu došlo po digitalizaci, bez projednání s dotyčnými vlastníky těchto pozemků. O uvedené bylo žádáno vlastníky viz. Dopis z 11.3.2022. do dnešního dne jsme od paní starostky neobdrželi žádnou odpověď! Běhala pouze u </w:t>
            </w:r>
            <w:proofErr w:type="gramStart"/>
            <w:r w:rsidRPr="00BC4A0C">
              <w:rPr>
                <w:rFonts w:asciiTheme="majorHAnsi" w:hAnsiTheme="majorHAnsi" w:cstheme="majorHAnsi"/>
                <w:sz w:val="18"/>
                <w:szCs w:val="18"/>
              </w:rPr>
              <w:t>ing.</w:t>
            </w:r>
            <w:proofErr w:type="gramEnd"/>
            <w:r w:rsidRPr="00BC4A0C">
              <w:rPr>
                <w:rFonts w:asciiTheme="majorHAnsi" w:hAnsiTheme="majorHAnsi" w:cstheme="majorHAnsi"/>
                <w:sz w:val="18"/>
                <w:szCs w:val="18"/>
              </w:rPr>
              <w:t xml:space="preserve"> Jahna na katastrálním úřadu v Nbk, aby obnovili zrušenou cestu Fr. Brynycha. Důvod byl ten, že bez ní by se pan Jiří Šnajdr nedostal na pozemek svého domu. A tak je to i s územním plánem obce Lán. Nebylo provedeno řádné referendum s občany uvedené obce, aby si kdokoliv zadával svévolné vypracování zástavby!</w:t>
            </w:r>
          </w:p>
          <w:p w14:paraId="27072958" w14:textId="77777777" w:rsidR="00BC4A0C" w:rsidRPr="00BC4A0C" w:rsidRDefault="00BC4A0C" w:rsidP="00BC4A0C">
            <w:pPr>
              <w:rPr>
                <w:rFonts w:asciiTheme="majorHAnsi" w:hAnsiTheme="majorHAnsi" w:cstheme="majorHAnsi"/>
                <w:b/>
                <w:bCs/>
                <w:sz w:val="18"/>
                <w:szCs w:val="18"/>
              </w:rPr>
            </w:pPr>
          </w:p>
        </w:tc>
        <w:tc>
          <w:tcPr>
            <w:tcW w:w="3118" w:type="dxa"/>
          </w:tcPr>
          <w:p w14:paraId="58C9E045"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Námitka se zamítá.</w:t>
            </w:r>
          </w:p>
          <w:p w14:paraId="53ADA5F6" w14:textId="77777777" w:rsidR="00BC4A0C" w:rsidRPr="00BC4A0C" w:rsidRDefault="00BC4A0C" w:rsidP="00BC4A0C">
            <w:pPr>
              <w:rPr>
                <w:rFonts w:asciiTheme="majorHAnsi" w:hAnsiTheme="majorHAnsi" w:cstheme="majorHAnsi"/>
                <w:b/>
                <w:bCs/>
                <w:sz w:val="18"/>
                <w:szCs w:val="18"/>
              </w:rPr>
            </w:pPr>
          </w:p>
          <w:p w14:paraId="47C4A19D"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Odůvodnění:</w:t>
            </w:r>
          </w:p>
          <w:p w14:paraId="5D78D64E"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 xml:space="preserve">Pozemky parc. č. 473 a 274/20 jsou v ploše Z18, kde navržené zástavbové plochy doplňují proluky ve stávající zástavbě podél silnice III/3317. pozemek před těmito pozemky směrem k silnici III/3317, parc. č. 133 je v ploše ZP (zeleň a parkově upravené plochy). </w:t>
            </w:r>
            <w:r w:rsidRPr="00BC4A0C">
              <w:rPr>
                <w:rFonts w:asciiTheme="majorHAnsi" w:hAnsiTheme="majorHAnsi" w:cstheme="majorHAnsi"/>
                <w:sz w:val="18"/>
                <w:szCs w:val="18"/>
              </w:rPr>
              <w:lastRenderedPageBreak/>
              <w:t>Využití plochy je podmíněno zpracováním územní studie, která zaručí možnost vstupu do navazujících polností. Využití pozemku pro výstavbu není pro majitele povinností, jen možností. Pokud si majitel přeje svůj pozemek dále využívat jako ornou půdu, nic mu v tom nebrání.</w:t>
            </w:r>
          </w:p>
        </w:tc>
      </w:tr>
      <w:tr w:rsidR="00BC4A0C" w:rsidRPr="00BC4A0C" w14:paraId="471977D4" w14:textId="77777777" w:rsidTr="00CD657D">
        <w:trPr>
          <w:trHeight w:val="562"/>
        </w:trPr>
        <w:tc>
          <w:tcPr>
            <w:tcW w:w="6096" w:type="dxa"/>
          </w:tcPr>
          <w:p w14:paraId="5DE15ACA" w14:textId="77777777" w:rsidR="00BC4A0C" w:rsidRPr="00BC4A0C" w:rsidRDefault="00BC4A0C" w:rsidP="00BC4A0C">
            <w:pPr>
              <w:pStyle w:val="Odstavecseseznamem"/>
              <w:numPr>
                <w:ilvl w:val="0"/>
                <w:numId w:val="55"/>
              </w:numPr>
              <w:rPr>
                <w:rFonts w:asciiTheme="majorHAnsi" w:hAnsiTheme="majorHAnsi" w:cstheme="majorHAnsi"/>
                <w:b/>
                <w:bCs/>
                <w:sz w:val="18"/>
                <w:szCs w:val="18"/>
              </w:rPr>
            </w:pPr>
            <w:r w:rsidRPr="00BC4A0C">
              <w:rPr>
                <w:rFonts w:asciiTheme="majorHAnsi" w:hAnsiTheme="majorHAnsi" w:cstheme="majorHAnsi"/>
                <w:b/>
                <w:bCs/>
                <w:sz w:val="18"/>
                <w:szCs w:val="18"/>
              </w:rPr>
              <w:lastRenderedPageBreak/>
              <w:t>Jana Švondrová, Na Ladech 447, Kostomlaty nad Labem (došlo 11.3.2024)</w:t>
            </w:r>
          </w:p>
          <w:p w14:paraId="2964EC7F" w14:textId="77777777" w:rsidR="00BC4A0C" w:rsidRPr="00BC4A0C" w:rsidRDefault="00BC4A0C" w:rsidP="00BC4A0C">
            <w:pPr>
              <w:rPr>
                <w:rFonts w:asciiTheme="majorHAnsi" w:hAnsiTheme="majorHAnsi" w:cstheme="majorHAnsi"/>
                <w:sz w:val="18"/>
                <w:szCs w:val="18"/>
                <w:u w:val="single"/>
              </w:rPr>
            </w:pPr>
          </w:p>
        </w:tc>
        <w:tc>
          <w:tcPr>
            <w:tcW w:w="3118" w:type="dxa"/>
          </w:tcPr>
          <w:p w14:paraId="1FD19A4E" w14:textId="77777777" w:rsidR="00BC4A0C" w:rsidRPr="00BC4A0C" w:rsidRDefault="00BC4A0C" w:rsidP="00BC4A0C">
            <w:pPr>
              <w:rPr>
                <w:rFonts w:asciiTheme="majorHAnsi" w:hAnsiTheme="majorHAnsi" w:cstheme="majorHAnsi"/>
                <w:b/>
                <w:bCs/>
                <w:sz w:val="18"/>
                <w:szCs w:val="18"/>
              </w:rPr>
            </w:pPr>
          </w:p>
        </w:tc>
      </w:tr>
      <w:tr w:rsidR="00BC4A0C" w:rsidRPr="00BC4A0C" w14:paraId="3F70C474" w14:textId="77777777" w:rsidTr="00CD657D">
        <w:tc>
          <w:tcPr>
            <w:tcW w:w="6096" w:type="dxa"/>
          </w:tcPr>
          <w:p w14:paraId="3716E385"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Námitka:</w:t>
            </w:r>
          </w:p>
          <w:p w14:paraId="0423478D"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Nesouhlasím se záměrem zařazení části pozemku p. č. 894/39 jako plocha pro veřejně prospěšné stavby dopravní infrastruktury (Koridor CNU.KDZ1), v připravovaném novém územním plánu obce Kostomlaty nad Labem. Tímto záměrem dojde k znehodnocení našeho soukromého pozemku, dojde k velmi výraznému omezení vlastnických práv. část pozemku je v rámci nového územního plánu obce Kostomlaty nad Labem zařazena pro bytovou výstavbu a část pozemku je zcela znehodnocena. Navrhovaný koridor (přeložka silnice II. třídy III/3317) spojující obce za železniční tratí (Lány, Rozkoš) se silnicí II/331 je veden přes soukromé pozemky v blízkosti bytové zástavby, které trvale znehodnotí a následně uzavře budoucí možný rozvoj v dané lokalitě. Silniční spojnici by bylo možné vést dále od obce, po pozemcích v jejich vlastnictví, (vede zde již prašná cesta) a napojit na silnice II/331 spojující města Lysá nad Labem a Nymburk v místě vyústění budoucího obchvatu viz grafická mapa UPD ve Středočeském kraji. Přestože při veřejném projednání dne 21.2.2024 bylo sděleno, že od záměru je prozatím upuštěno, není vyloučena jeho budoucí realizace.</w:t>
            </w:r>
          </w:p>
          <w:p w14:paraId="587CA4B8" w14:textId="77777777" w:rsidR="00BC4A0C" w:rsidRPr="00BC4A0C" w:rsidRDefault="00BC4A0C" w:rsidP="00BC4A0C">
            <w:pPr>
              <w:rPr>
                <w:rFonts w:asciiTheme="majorHAnsi" w:hAnsiTheme="majorHAnsi" w:cstheme="majorHAnsi"/>
                <w:sz w:val="18"/>
                <w:szCs w:val="18"/>
                <w:u w:val="single"/>
              </w:rPr>
            </w:pPr>
          </w:p>
        </w:tc>
        <w:tc>
          <w:tcPr>
            <w:tcW w:w="3118" w:type="dxa"/>
          </w:tcPr>
          <w:p w14:paraId="40C7FF09" w14:textId="77777777" w:rsidR="00BC4A0C" w:rsidRPr="00BC4A0C" w:rsidRDefault="00BC4A0C" w:rsidP="00BC4A0C">
            <w:pPr>
              <w:rPr>
                <w:rFonts w:asciiTheme="majorHAnsi" w:hAnsiTheme="majorHAnsi" w:cstheme="majorHAnsi"/>
                <w:b/>
                <w:bCs/>
                <w:sz w:val="18"/>
                <w:szCs w:val="18"/>
              </w:rPr>
            </w:pPr>
            <w:r w:rsidRPr="00BC4A0C">
              <w:rPr>
                <w:rFonts w:asciiTheme="majorHAnsi" w:hAnsiTheme="majorHAnsi" w:cstheme="majorHAnsi"/>
                <w:b/>
                <w:bCs/>
                <w:sz w:val="18"/>
                <w:szCs w:val="18"/>
              </w:rPr>
              <w:t>Námitka se zamítá.</w:t>
            </w:r>
          </w:p>
          <w:p w14:paraId="538FCE17" w14:textId="77777777" w:rsidR="00BC4A0C" w:rsidRPr="00BC4A0C" w:rsidRDefault="00BC4A0C" w:rsidP="00BC4A0C">
            <w:pPr>
              <w:rPr>
                <w:rFonts w:asciiTheme="majorHAnsi" w:hAnsiTheme="majorHAnsi" w:cstheme="majorHAnsi"/>
                <w:b/>
                <w:bCs/>
                <w:sz w:val="18"/>
                <w:szCs w:val="18"/>
              </w:rPr>
            </w:pPr>
          </w:p>
          <w:p w14:paraId="4EE22FAE" w14:textId="77777777" w:rsidR="00BC4A0C" w:rsidRPr="00BC4A0C" w:rsidRDefault="00BC4A0C" w:rsidP="00BC4A0C">
            <w:pPr>
              <w:rPr>
                <w:rFonts w:asciiTheme="majorHAnsi" w:hAnsiTheme="majorHAnsi" w:cstheme="majorHAnsi"/>
                <w:sz w:val="18"/>
                <w:szCs w:val="18"/>
                <w:u w:val="single"/>
              </w:rPr>
            </w:pPr>
            <w:r w:rsidRPr="00BC4A0C">
              <w:rPr>
                <w:rFonts w:asciiTheme="majorHAnsi" w:hAnsiTheme="majorHAnsi" w:cstheme="majorHAnsi"/>
                <w:sz w:val="18"/>
                <w:szCs w:val="18"/>
                <w:u w:val="single"/>
              </w:rPr>
              <w:t>Odůvodnění:</w:t>
            </w:r>
          </w:p>
          <w:p w14:paraId="564C128E" w14:textId="77777777" w:rsidR="00BC4A0C" w:rsidRPr="00BC4A0C" w:rsidRDefault="00BC4A0C" w:rsidP="00BC4A0C">
            <w:pPr>
              <w:rPr>
                <w:rFonts w:asciiTheme="majorHAnsi" w:hAnsiTheme="majorHAnsi" w:cstheme="majorHAnsi"/>
                <w:sz w:val="18"/>
                <w:szCs w:val="18"/>
              </w:rPr>
            </w:pPr>
            <w:r w:rsidRPr="00BC4A0C">
              <w:rPr>
                <w:rFonts w:asciiTheme="majorHAnsi" w:hAnsiTheme="majorHAnsi" w:cstheme="majorHAnsi"/>
                <w:sz w:val="18"/>
                <w:szCs w:val="18"/>
              </w:rPr>
              <w:t>Část pozemku parc. č. 894/39 se nachází v zastavitelné ploše Z.09 (BI), část, která je zasažena koridorem KDZ1 je ponechána v ploše AU. Koridor KDZ1 je ponechán – viz odůvodnění námitky č. I.</w:t>
            </w:r>
          </w:p>
        </w:tc>
      </w:tr>
    </w:tbl>
    <w:p w14:paraId="42F12D27" w14:textId="77777777" w:rsidR="00CD657D" w:rsidRDefault="00CD657D" w:rsidP="00300530">
      <w:pPr>
        <w:spacing w:after="120" w:line="240" w:lineRule="auto"/>
        <w:ind w:firstLine="709"/>
        <w:jc w:val="both"/>
        <w:rPr>
          <w:rFonts w:asciiTheme="majorHAnsi" w:hAnsiTheme="majorHAnsi" w:cstheme="majorHAnsi"/>
          <w:color w:val="4472C4" w:themeColor="accent5"/>
          <w:sz w:val="18"/>
          <w:szCs w:val="20"/>
        </w:rPr>
      </w:pPr>
    </w:p>
    <w:p w14:paraId="3235CE7E" w14:textId="3AB38FBB" w:rsidR="00BC4A0C" w:rsidRPr="00CD657D" w:rsidRDefault="00BC4A0C" w:rsidP="00BC4A0C">
      <w:pPr>
        <w:spacing w:after="120" w:line="240" w:lineRule="auto"/>
        <w:ind w:firstLine="709"/>
        <w:jc w:val="both"/>
        <w:rPr>
          <w:rFonts w:asciiTheme="majorHAnsi" w:hAnsiTheme="majorHAnsi" w:cstheme="majorHAnsi"/>
          <w:sz w:val="18"/>
          <w:szCs w:val="20"/>
        </w:rPr>
      </w:pPr>
      <w:r w:rsidRPr="00CD657D">
        <w:rPr>
          <w:rFonts w:asciiTheme="majorHAnsi" w:hAnsiTheme="majorHAnsi" w:cstheme="majorHAnsi"/>
          <w:sz w:val="18"/>
          <w:szCs w:val="20"/>
        </w:rPr>
        <w:t>Rozhodnutí o námitkách</w:t>
      </w:r>
      <w:r>
        <w:rPr>
          <w:rFonts w:asciiTheme="majorHAnsi" w:hAnsiTheme="majorHAnsi" w:cstheme="majorHAnsi"/>
          <w:sz w:val="18"/>
          <w:szCs w:val="20"/>
        </w:rPr>
        <w:t xml:space="preserve"> – opakované veřejné projednání ÚP Kostomlaty nad Labem:</w:t>
      </w:r>
    </w:p>
    <w:tbl>
      <w:tblPr>
        <w:tblStyle w:val="Mkatabulky"/>
        <w:tblW w:w="9209" w:type="dxa"/>
        <w:tblLayout w:type="fixed"/>
        <w:tblLook w:val="04A0" w:firstRow="1" w:lastRow="0" w:firstColumn="1" w:lastColumn="0" w:noHBand="0" w:noVBand="1"/>
      </w:tblPr>
      <w:tblGrid>
        <w:gridCol w:w="396"/>
        <w:gridCol w:w="5695"/>
        <w:gridCol w:w="3118"/>
      </w:tblGrid>
      <w:tr w:rsidR="00BC4A0C" w:rsidRPr="00BC4A0C" w14:paraId="71B4AA15" w14:textId="77777777" w:rsidTr="00BC4A0C">
        <w:trPr>
          <w:tblHeader/>
        </w:trPr>
        <w:tc>
          <w:tcPr>
            <w:tcW w:w="396" w:type="dxa"/>
          </w:tcPr>
          <w:p w14:paraId="63A2FC7A" w14:textId="77777777" w:rsid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Č.</w:t>
            </w:r>
          </w:p>
          <w:p w14:paraId="46918816" w14:textId="77777777" w:rsidR="00BC4A0C" w:rsidRPr="00BC4A0C" w:rsidRDefault="00BC4A0C" w:rsidP="00AD5AED">
            <w:pPr>
              <w:rPr>
                <w:rFonts w:asciiTheme="majorHAnsi" w:hAnsiTheme="majorHAnsi" w:cstheme="majorHAnsi"/>
                <w:b/>
                <w:bCs/>
                <w:sz w:val="18"/>
                <w:szCs w:val="18"/>
              </w:rPr>
            </w:pPr>
          </w:p>
        </w:tc>
        <w:tc>
          <w:tcPr>
            <w:tcW w:w="5695" w:type="dxa"/>
          </w:tcPr>
          <w:p w14:paraId="581E9612"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Podatel / námitka</w:t>
            </w:r>
          </w:p>
        </w:tc>
        <w:tc>
          <w:tcPr>
            <w:tcW w:w="3118" w:type="dxa"/>
          </w:tcPr>
          <w:p w14:paraId="287027D4"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Rozhodnutí / odůvodnění</w:t>
            </w:r>
          </w:p>
        </w:tc>
      </w:tr>
      <w:tr w:rsidR="00BC4A0C" w:rsidRPr="00BC4A0C" w14:paraId="41E6FBDA" w14:textId="77777777" w:rsidTr="00BC4A0C">
        <w:tc>
          <w:tcPr>
            <w:tcW w:w="396" w:type="dxa"/>
          </w:tcPr>
          <w:p w14:paraId="3AEDDF11"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 xml:space="preserve">1. </w:t>
            </w:r>
          </w:p>
        </w:tc>
        <w:tc>
          <w:tcPr>
            <w:tcW w:w="5695" w:type="dxa"/>
          </w:tcPr>
          <w:p w14:paraId="52935755"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 xml:space="preserve">Stanislava </w:t>
            </w:r>
            <w:proofErr w:type="gramStart"/>
            <w:r w:rsidRPr="00BC4A0C">
              <w:rPr>
                <w:rFonts w:asciiTheme="majorHAnsi" w:hAnsiTheme="majorHAnsi" w:cstheme="majorHAnsi"/>
                <w:b/>
                <w:bCs/>
                <w:sz w:val="18"/>
                <w:szCs w:val="18"/>
              </w:rPr>
              <w:t>Bártová ,</w:t>
            </w:r>
            <w:proofErr w:type="gramEnd"/>
            <w:r w:rsidRPr="00BC4A0C">
              <w:rPr>
                <w:rFonts w:asciiTheme="majorHAnsi" w:hAnsiTheme="majorHAnsi" w:cstheme="majorHAnsi"/>
                <w:b/>
                <w:bCs/>
                <w:sz w:val="18"/>
                <w:szCs w:val="18"/>
              </w:rPr>
              <w:t xml:space="preserve"> Kostomlaty nad Labem</w:t>
            </w:r>
          </w:p>
          <w:p w14:paraId="798A2EA5" w14:textId="77777777" w:rsidR="00BC4A0C" w:rsidRPr="00BC4A0C" w:rsidRDefault="00BC4A0C" w:rsidP="00AD5AED">
            <w:pPr>
              <w:rPr>
                <w:rFonts w:asciiTheme="majorHAnsi" w:hAnsiTheme="majorHAnsi" w:cstheme="majorHAnsi"/>
                <w:b/>
                <w:bCs/>
                <w:sz w:val="18"/>
                <w:szCs w:val="18"/>
              </w:rPr>
            </w:pPr>
          </w:p>
          <w:p w14:paraId="452C56D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Předmětem připomínky je hranice koridoru CNZ.D322 (Modernizace železniční trati č. 231) na pozemku č. 119. žádám o posunutí hranice koridoru až na vnější hranici pozemku č. 119.</w:t>
            </w:r>
          </w:p>
          <w:p w14:paraId="510B78E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Odůvodnění připomínky:</w:t>
            </w:r>
          </w:p>
          <w:p w14:paraId="4029FBC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V příloze přikládám dokument z veřejné prezentace „Modernizace traťového úseku Nymburk – Lysá nad Labem“ ze dne 20.06.2024. z tohoto dokumentu není patrné žádné využití dotčeného pozemku při modernizaci traťového koridoru. pro samotnou realizaci modernizace traťového koridoru je tento pozemek obtížně využitelný. </w:t>
            </w:r>
            <w:proofErr w:type="gramStart"/>
            <w:r w:rsidRPr="00BC4A0C">
              <w:rPr>
                <w:rFonts w:asciiTheme="majorHAnsi" w:hAnsiTheme="majorHAnsi" w:cstheme="majorHAnsi"/>
                <w:sz w:val="18"/>
                <w:szCs w:val="18"/>
              </w:rPr>
              <w:t>Pozemek  je</w:t>
            </w:r>
            <w:proofErr w:type="gramEnd"/>
            <w:r w:rsidRPr="00BC4A0C">
              <w:rPr>
                <w:rFonts w:asciiTheme="majorHAnsi" w:hAnsiTheme="majorHAnsi" w:cstheme="majorHAnsi"/>
                <w:sz w:val="18"/>
                <w:szCs w:val="18"/>
              </w:rPr>
              <w:t xml:space="preserve"> od traťového tělesa oddělen zdí a je zde značný výškový rozdíl. Z těchto důvodů se domnívám, že není důvod začlenit dotčenou část pozemku č. 119 do koridoru CNZ.D322.</w:t>
            </w:r>
          </w:p>
          <w:p w14:paraId="25ABD9AE" w14:textId="77777777" w:rsidR="00BC4A0C" w:rsidRPr="00BC4A0C" w:rsidRDefault="00BC4A0C" w:rsidP="00AD5AED">
            <w:pPr>
              <w:rPr>
                <w:rFonts w:asciiTheme="majorHAnsi" w:hAnsiTheme="majorHAnsi" w:cstheme="majorHAnsi"/>
                <w:sz w:val="18"/>
                <w:szCs w:val="18"/>
              </w:rPr>
            </w:pPr>
          </w:p>
          <w:p w14:paraId="4CCAB563"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noProof/>
                <w:sz w:val="18"/>
                <w:szCs w:val="18"/>
              </w:rPr>
              <w:lastRenderedPageBreak/>
              <w:drawing>
                <wp:inline distT="0" distB="0" distL="0" distR="0" wp14:anchorId="17F16F5A" wp14:editId="7ED28ECF">
                  <wp:extent cx="3518895" cy="1828800"/>
                  <wp:effectExtent l="0" t="0" r="5715" b="0"/>
                  <wp:docPr id="1546201089"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201089" name=""/>
                          <pic:cNvPicPr/>
                        </pic:nvPicPr>
                        <pic:blipFill>
                          <a:blip r:embed="rId60"/>
                          <a:stretch>
                            <a:fillRect/>
                          </a:stretch>
                        </pic:blipFill>
                        <pic:spPr>
                          <a:xfrm>
                            <a:off x="0" y="0"/>
                            <a:ext cx="3557882" cy="1849062"/>
                          </a:xfrm>
                          <a:prstGeom prst="rect">
                            <a:avLst/>
                          </a:prstGeom>
                        </pic:spPr>
                      </pic:pic>
                    </a:graphicData>
                  </a:graphic>
                </wp:inline>
              </w:drawing>
            </w:r>
          </w:p>
        </w:tc>
        <w:tc>
          <w:tcPr>
            <w:tcW w:w="3118" w:type="dxa"/>
          </w:tcPr>
          <w:p w14:paraId="179D7441"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 xml:space="preserve">Rozhodnutí: námitka se zamítá. </w:t>
            </w:r>
          </w:p>
          <w:p w14:paraId="0E819A90" w14:textId="77777777" w:rsidR="00BC4A0C" w:rsidRPr="00BC4A0C" w:rsidRDefault="00BC4A0C" w:rsidP="00AD5AED">
            <w:pPr>
              <w:rPr>
                <w:rFonts w:asciiTheme="majorHAnsi" w:hAnsiTheme="majorHAnsi" w:cstheme="majorHAnsi"/>
                <w:b/>
                <w:bCs/>
                <w:sz w:val="18"/>
                <w:szCs w:val="18"/>
              </w:rPr>
            </w:pPr>
          </w:p>
          <w:p w14:paraId="1D133B97"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Odůvodnění:</w:t>
            </w:r>
          </w:p>
          <w:p w14:paraId="05E1C8F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Proti předcházejícímu návrhu územního plánu je koridor CNU.KD3 zúžen na šíři stanovenou ZÚR Středočeského kraje. V této šíři musí být v územním plánu ponechán. Využití pozemku nelze vyloučit.</w:t>
            </w:r>
          </w:p>
        </w:tc>
      </w:tr>
      <w:tr w:rsidR="00BC4A0C" w:rsidRPr="00BC4A0C" w14:paraId="1B420F04" w14:textId="77777777" w:rsidTr="00BC4A0C">
        <w:tc>
          <w:tcPr>
            <w:tcW w:w="396" w:type="dxa"/>
          </w:tcPr>
          <w:p w14:paraId="5558B169"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2.</w:t>
            </w:r>
          </w:p>
        </w:tc>
        <w:tc>
          <w:tcPr>
            <w:tcW w:w="5695" w:type="dxa"/>
          </w:tcPr>
          <w:p w14:paraId="469AF378"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Dagros, s. r. o. IČO 26807203</w:t>
            </w:r>
          </w:p>
          <w:p w14:paraId="417B12C4" w14:textId="77777777" w:rsidR="00BC4A0C" w:rsidRPr="00BC4A0C" w:rsidRDefault="00BC4A0C" w:rsidP="00AD5AED">
            <w:pPr>
              <w:rPr>
                <w:rFonts w:asciiTheme="majorHAnsi" w:hAnsiTheme="majorHAnsi" w:cstheme="majorHAnsi"/>
                <w:sz w:val="18"/>
                <w:szCs w:val="18"/>
              </w:rPr>
            </w:pPr>
          </w:p>
          <w:p w14:paraId="298BD0A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Námitka se týká nově vyznačeného omezení na pozemku č. 749/2 v katastrálním území</w:t>
            </w:r>
          </w:p>
          <w:p w14:paraId="73D1772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Kostomlaty nad Labem, který je v našem vlastnictví. Omezení, které máme na mysli je v návrhu UP</w:t>
            </w:r>
          </w:p>
          <w:p w14:paraId="45D4179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značeno CNU.KD3.</w:t>
            </w:r>
          </w:p>
          <w:p w14:paraId="749AA7C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Vysvětlení námitky:</w:t>
            </w:r>
          </w:p>
          <w:p w14:paraId="6C23F4B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návrhu UP pro první veřejné projednání, které proběhlo 21. 02. 2024, byl p. p. č. 749/2 veden</w:t>
            </w:r>
          </w:p>
          <w:p w14:paraId="3A6F953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jako změnová plocha Z.13 VL, způsob využití výroba lehká (viz. příloha obr. 1). V tomto návrhu, hranice</w:t>
            </w:r>
          </w:p>
          <w:p w14:paraId="65BBB073"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dopravní stavby kopírovala náš pozemek (749/2) a zásadním způsobem do něj nezasahovala, ani</w:t>
            </w:r>
          </w:p>
          <w:p w14:paraId="6C6D0D5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neovlivňovala náš plánovaný rozvoj areálu.</w:t>
            </w:r>
          </w:p>
          <w:p w14:paraId="2EA562C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návrhu UP pro druhé (opakované) veřejné projednání, které proběhlo 05. 03. 2025, je však</w:t>
            </w:r>
          </w:p>
          <w:p w14:paraId="19CA36B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značná část p. p. č. 749/2 určena pro výstavbu dopravní stavby související s modernizací železniční trati</w:t>
            </w:r>
          </w:p>
          <w:p w14:paraId="7DA2EC7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č. 231, která má sloužit k propojení místních komunikací. V návrhu územního plánu obce Kostomlaty</w:t>
            </w:r>
          </w:p>
          <w:p w14:paraId="6E55879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nad Labem je tato plocha označena jako CNU.KD3 (viz. příloha obr. 2).</w:t>
            </w:r>
          </w:p>
          <w:p w14:paraId="623F6BE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 touto navrhovanou změnou UP nesouhlasíme, podáváme k ní námitku a níže uvádíme</w:t>
            </w:r>
          </w:p>
          <w:p w14:paraId="361BFBE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přesné argumenty proč je toto řešení pro nás nepřípustné, a konstruktivně navrhujeme možné</w:t>
            </w:r>
          </w:p>
          <w:p w14:paraId="6A9B851D"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úpravy, po jejichž zapracování pro plánovaný nadjezd můžeme předmětnou část našich</w:t>
            </w:r>
          </w:p>
          <w:p w14:paraId="6B4E8C37"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stavebních pozemků poskytnout.</w:t>
            </w:r>
          </w:p>
          <w:p w14:paraId="3F65FC49"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Odůvodnění:</w:t>
            </w:r>
          </w:p>
          <w:p w14:paraId="468C6259"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1) S tímto novým návrhem UP nesouhlasíme, protože plocha veřejně prospěšné stavby CNU.KD3,</w:t>
            </w:r>
          </w:p>
          <w:p w14:paraId="12A5C46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(tak jak je zakreslena na obr. 2 v příloze), zásadním a nekompromisním způsobem zasahuje do</w:t>
            </w:r>
          </w:p>
          <w:p w14:paraId="7C6C759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našich vlastnických práv, limituje plánovaný rozvoj areálu, v neposlední řadě má v tomto</w:t>
            </w:r>
          </w:p>
          <w:p w14:paraId="67E8EBD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místě výrazný dopad na krajinný ráz a nevhodně omezuje výhledy do krajiny.</w:t>
            </w:r>
          </w:p>
          <w:p w14:paraId="6DAC6ED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2) Na základě prvního veřejného projednání UP, které proběhlo 21. 02. 2024, jsme začali</w:t>
            </w:r>
          </w:p>
          <w:p w14:paraId="0B25493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zpracovávat projekční záměr rozšíření areálu naší společnosti. Tento koncept využíval celou</w:t>
            </w:r>
          </w:p>
          <w:p w14:paraId="3076501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plochu našich pozemků (p. č. 749/2, 749/6, 749/9), při respektování ochranného pásma</w:t>
            </w:r>
          </w:p>
          <w:p w14:paraId="45EB7A6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železnice a související podzemní infrastruktury. Studie je nyní ve finální fázi a její 1. etapa je již</w:t>
            </w:r>
          </w:p>
          <w:p w14:paraId="75C327B7"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zpracována do projektové dokumentace pro stavební povolení a probíhá její projednávání.</w:t>
            </w:r>
          </w:p>
          <w:p w14:paraId="5AD78C1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lastRenderedPageBreak/>
              <w:t>Navrhovaným umístěním plochy CNU.KD3, je způsobeno, že náš záměr nebude možné</w:t>
            </w:r>
          </w:p>
          <w:p w14:paraId="1A255A4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plnohodnotně dokončit a zprovoznit v plánovaném rozsahu.</w:t>
            </w:r>
          </w:p>
          <w:p w14:paraId="2605BB3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3) Na prvním veřejném projednání návrhu nového UP nepadla žádná zmínka o možném záboru p.</w:t>
            </w:r>
          </w:p>
          <w:p w14:paraId="44EC5A97"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 č. 749/2 pro dopravní či jinou obslužnost. Předložený koncept územního plánu nás nijak</w:t>
            </w:r>
          </w:p>
          <w:p w14:paraId="3A5C276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zásadněji neomezoval (byť též do našeho pozemku zasahoval) a proto jsme proti tomuto návrhu,</w:t>
            </w:r>
          </w:p>
          <w:p w14:paraId="7C5F638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určeném termínu žádnou námitku nepodávali.</w:t>
            </w:r>
          </w:p>
          <w:p w14:paraId="7279B06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4) Dále jsme názoru, že navržené úpravy UP (příloha obr. 1, 2) nedodržují některé další zásady.</w:t>
            </w:r>
          </w:p>
          <w:p w14:paraId="4170ECD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Oproti současně platnému UP dochází ke zmenšení plochy zastavitelného území. Dochází</w:t>
            </w:r>
          </w:p>
          <w:p w14:paraId="243A6EA3"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k němu bez náhrady a bez označení. Nové územní plány by neměly bez náhrady ubírat plochu</w:t>
            </w:r>
          </w:p>
          <w:p w14:paraId="70B3331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zastavitelných území. V příloze na obr. 3 je provedeno proložení současně platného územního</w:t>
            </w:r>
          </w:p>
          <w:p w14:paraId="25BBC4F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plánu a katastrální mapy, (zdroj z veřejně přístupného portálu gis.kr-stradocesky.cz). Z něho je</w:t>
            </w:r>
          </w:p>
          <w:p w14:paraId="2F7FCF7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patrné, že dle současně platného UP je do zastavitelných ploch zahrnut i pozemek 749/10. Tento</w:t>
            </w:r>
          </w:p>
          <w:p w14:paraId="554791C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byl ovšem z návrhu na nový UP zcela vyjmut!</w:t>
            </w:r>
          </w:p>
          <w:p w14:paraId="35B04EF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Shrnutí a návrh možného řešení</w:t>
            </w:r>
          </w:p>
          <w:p w14:paraId="47D1509D"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Navrhovaná varianta územního plánu se zakreslenou změnovou plochou CNU-KD3 je pro nás</w:t>
            </w:r>
          </w:p>
          <w:p w14:paraId="440E617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neakceptovatelná a žádáme o úpravu územního plánu obce Kostomlaty nad Labem, respektive návrat</w:t>
            </w:r>
          </w:p>
          <w:p w14:paraId="76BCEDA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k řešení, které bylo uvedeno v odsouhlaseném konceptu ÚP.</w:t>
            </w:r>
          </w:p>
          <w:p w14:paraId="48F7574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Rozumíme nadřazenému zájmu pro rozvoj a umísťování dopravních staveb, ale je potřeba volit</w:t>
            </w:r>
          </w:p>
          <w:p w14:paraId="53DBE64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řešení, která nebudou zásadním způsobem omezovat zájmy vlastníků pozemků, na kterých už je navíc</w:t>
            </w:r>
          </w:p>
          <w:p w14:paraId="361E276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připravován jiný investiční záměr. Omezení našeho pozemku plochou CNU-KD3 by znamenalo zcela</w:t>
            </w:r>
          </w:p>
          <w:p w14:paraId="3DDB878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zásadní přepracování našeho projektu a jak jsme již ověřili do zredukovaného území by se již vše</w:t>
            </w:r>
          </w:p>
          <w:p w14:paraId="29EBBE8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nepodařilo umístit, respektive vyžádalo by si to rozšíření zastavitelného území východním směrem –</w:t>
            </w:r>
          </w:p>
          <w:p w14:paraId="53F840FD"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což je i v souladu s výše uvedeným bodem č.4 odůvodnění námitky. Abychom náš záměr mohli na</w:t>
            </w:r>
          </w:p>
          <w:p w14:paraId="75E219D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zredukovaném území přepracovat je nezbytné do plochy Z.13 VL zahrnout i pozemky 749/10 a 749/11</w:t>
            </w:r>
          </w:p>
          <w:p w14:paraId="7E06A84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k. ú. Kostomlaty nad Labem, které jsou též v našem vlastnictví, viz. příloha obr. 4. Toto považujeme za</w:t>
            </w:r>
          </w:p>
          <w:p w14:paraId="6072447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vhodné východisko, jak skloubit obcí odsouhlasený rozvoj území s požadavky na modernizaci</w:t>
            </w:r>
          </w:p>
          <w:p w14:paraId="1AB89A1D"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železniční infrastruktury.</w:t>
            </w:r>
          </w:p>
          <w:p w14:paraId="36FD161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noProof/>
                <w:sz w:val="18"/>
                <w:szCs w:val="18"/>
              </w:rPr>
              <w:lastRenderedPageBreak/>
              <w:drawing>
                <wp:inline distT="0" distB="0" distL="0" distR="0" wp14:anchorId="32A1A783" wp14:editId="445612A7">
                  <wp:extent cx="3533775" cy="2194928"/>
                  <wp:effectExtent l="0" t="0" r="0" b="0"/>
                  <wp:docPr id="2108947604"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8947604" name=""/>
                          <pic:cNvPicPr/>
                        </pic:nvPicPr>
                        <pic:blipFill>
                          <a:blip r:embed="rId61"/>
                          <a:stretch>
                            <a:fillRect/>
                          </a:stretch>
                        </pic:blipFill>
                        <pic:spPr>
                          <a:xfrm>
                            <a:off x="0" y="0"/>
                            <a:ext cx="3541374" cy="2199648"/>
                          </a:xfrm>
                          <a:prstGeom prst="rect">
                            <a:avLst/>
                          </a:prstGeom>
                        </pic:spPr>
                      </pic:pic>
                    </a:graphicData>
                  </a:graphic>
                </wp:inline>
              </w:drawing>
            </w:r>
          </w:p>
        </w:tc>
        <w:tc>
          <w:tcPr>
            <w:tcW w:w="3118" w:type="dxa"/>
          </w:tcPr>
          <w:p w14:paraId="26444140"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Rozhodnutí:</w:t>
            </w:r>
          </w:p>
          <w:p w14:paraId="2387FB22"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Námitce se částečně vyhovuje.</w:t>
            </w:r>
          </w:p>
          <w:p w14:paraId="32BA1AB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Do zastavitelné plochy VL bude zařazena část pozemku parc. č. 749/10 o výměře odpovídající ploše, která je pro využití zablokována umístěním koridoru CNU.KD3. </w:t>
            </w:r>
          </w:p>
          <w:p w14:paraId="28A0F199" w14:textId="77777777" w:rsidR="00BC4A0C" w:rsidRPr="00BC4A0C" w:rsidRDefault="00BC4A0C" w:rsidP="00AD5AED">
            <w:pPr>
              <w:rPr>
                <w:rFonts w:asciiTheme="majorHAnsi" w:hAnsiTheme="majorHAnsi" w:cstheme="majorHAnsi"/>
                <w:sz w:val="18"/>
                <w:szCs w:val="18"/>
              </w:rPr>
            </w:pPr>
          </w:p>
          <w:p w14:paraId="416136C0"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Odůvodnění:</w:t>
            </w:r>
          </w:p>
          <w:p w14:paraId="497E381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V době po 1. veřejném projednání byl na pozemku parc. č. 749/2 prvním stanoven koridor CDÚ-KD3, zabírající cca 3650 m2 zastavitelné plochy, která byla novým návrhem ÚP vymezena pro rozvoj společnosti. </w:t>
            </w:r>
          </w:p>
          <w:p w14:paraId="0A3BC4F9"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Při porovnání se stávajícím územním plánem je zřejmé, že nově zastavitelná plocha je vymezena právě jen směrem k železniční trati.  Celý pozemek pac. č. 749/9 a jižní část pozemku parc. č. 749/2 je jako zastavitelná plocha již v současném </w:t>
            </w:r>
            <w:proofErr w:type="gramStart"/>
            <w:r w:rsidRPr="00BC4A0C">
              <w:rPr>
                <w:rFonts w:asciiTheme="majorHAnsi" w:hAnsiTheme="majorHAnsi" w:cstheme="majorHAnsi"/>
                <w:sz w:val="18"/>
                <w:szCs w:val="18"/>
              </w:rPr>
              <w:t>ÚP  a</w:t>
            </w:r>
            <w:proofErr w:type="gramEnd"/>
            <w:r w:rsidRPr="00BC4A0C">
              <w:rPr>
                <w:rFonts w:asciiTheme="majorHAnsi" w:hAnsiTheme="majorHAnsi" w:cstheme="majorHAnsi"/>
                <w:sz w:val="18"/>
                <w:szCs w:val="18"/>
              </w:rPr>
              <w:t xml:space="preserve"> při bližším prozkoumání je zjevné, že jako zastavitelná plocha je vymezena i část pozemku parc. č. 749/10.  </w:t>
            </w:r>
          </w:p>
          <w:p w14:paraId="3200316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Společnost Dagros na základě stávajícího územního plánu má zpracovanou projektovou dokumentaci (kterou s námi již několikrát konzultovala) a v nejbližší době podá žádost o stavební povolení na halu, která je umístěna na pozemku parc. č. 749/9 a 749/2, čili její stávající areál bude téměř cely stavebně využit. Část pozemku parc. č. 749/10 o výměře cca 3640 m2 (140 x 26 m) bude stanovena jako zastavitelná plocha s funkčním využitím VL.</w:t>
            </w:r>
          </w:p>
          <w:p w14:paraId="4C7488BF" w14:textId="77777777" w:rsidR="00BC4A0C" w:rsidRPr="00BC4A0C" w:rsidRDefault="00BC4A0C" w:rsidP="00AD5AED">
            <w:pPr>
              <w:rPr>
                <w:rFonts w:asciiTheme="majorHAnsi" w:hAnsiTheme="majorHAnsi" w:cstheme="majorHAnsi"/>
                <w:sz w:val="18"/>
                <w:szCs w:val="18"/>
              </w:rPr>
            </w:pPr>
          </w:p>
          <w:p w14:paraId="2DAEEE0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Nově vymezený koridor</w:t>
            </w:r>
          </w:p>
          <w:p w14:paraId="2AEEC9A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noProof/>
                <w:sz w:val="18"/>
                <w:szCs w:val="18"/>
              </w:rPr>
              <w:lastRenderedPageBreak/>
              <w:drawing>
                <wp:inline distT="0" distB="0" distL="0" distR="0" wp14:anchorId="788E90B6" wp14:editId="6661C665">
                  <wp:extent cx="1852228" cy="2619375"/>
                  <wp:effectExtent l="0" t="0" r="0" b="0"/>
                  <wp:docPr id="2109912167"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1858661" cy="2628472"/>
                          </a:xfrm>
                          <a:prstGeom prst="rect">
                            <a:avLst/>
                          </a:prstGeom>
                          <a:noFill/>
                          <a:ln>
                            <a:noFill/>
                          </a:ln>
                        </pic:spPr>
                      </pic:pic>
                    </a:graphicData>
                  </a:graphic>
                </wp:inline>
              </w:drawing>
            </w:r>
          </w:p>
          <w:p w14:paraId="25B9F0B8" w14:textId="77777777" w:rsidR="00BC4A0C" w:rsidRPr="00BC4A0C" w:rsidRDefault="00BC4A0C" w:rsidP="00AD5AED">
            <w:pPr>
              <w:rPr>
                <w:rFonts w:asciiTheme="majorHAnsi" w:hAnsiTheme="majorHAnsi" w:cstheme="majorHAnsi"/>
                <w:sz w:val="18"/>
                <w:szCs w:val="18"/>
              </w:rPr>
            </w:pPr>
          </w:p>
          <w:p w14:paraId="69548467" w14:textId="77777777" w:rsidR="00BC4A0C" w:rsidRPr="00BC4A0C" w:rsidRDefault="00BC4A0C" w:rsidP="00AD5AED">
            <w:pPr>
              <w:rPr>
                <w:rFonts w:asciiTheme="majorHAnsi" w:hAnsiTheme="majorHAnsi" w:cstheme="majorHAnsi"/>
                <w:sz w:val="18"/>
                <w:szCs w:val="18"/>
              </w:rPr>
            </w:pPr>
          </w:p>
          <w:p w14:paraId="6A68612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noProof/>
                <w:sz w:val="18"/>
                <w:szCs w:val="18"/>
              </w:rPr>
              <w:drawing>
                <wp:inline distT="0" distB="0" distL="0" distR="0" wp14:anchorId="487DBAA5" wp14:editId="30E543AB">
                  <wp:extent cx="1838758" cy="2600325"/>
                  <wp:effectExtent l="0" t="0" r="9525" b="0"/>
                  <wp:docPr id="1909917658" name="Obrázek 4" descr="Obsah obrázku diagram, Plán, schématické, Technický výkres&#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9917658" name="Obrázek 4" descr="Obsah obrázku diagram, Plán, schématické, Technický výkres&#10;&#10;Obsah generovaný pomocí AI může být nesprávný."/>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1844392" cy="2608293"/>
                          </a:xfrm>
                          <a:prstGeom prst="rect">
                            <a:avLst/>
                          </a:prstGeom>
                          <a:noFill/>
                          <a:ln>
                            <a:noFill/>
                          </a:ln>
                        </pic:spPr>
                      </pic:pic>
                    </a:graphicData>
                  </a:graphic>
                </wp:inline>
              </w:drawing>
            </w:r>
          </w:p>
          <w:p w14:paraId="4163C0B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Nový zábor ZPF a plocha dopravního koridoru.</w:t>
            </w:r>
          </w:p>
          <w:p w14:paraId="2AE48153" w14:textId="77777777" w:rsidR="00BC4A0C" w:rsidRPr="00BC4A0C" w:rsidRDefault="00BC4A0C" w:rsidP="00AD5AED">
            <w:pPr>
              <w:rPr>
                <w:rFonts w:asciiTheme="majorHAnsi" w:hAnsiTheme="majorHAnsi" w:cstheme="majorHAnsi"/>
                <w:sz w:val="18"/>
                <w:szCs w:val="18"/>
              </w:rPr>
            </w:pPr>
          </w:p>
        </w:tc>
      </w:tr>
      <w:tr w:rsidR="00BC4A0C" w:rsidRPr="00BC4A0C" w14:paraId="04A8B29D" w14:textId="77777777" w:rsidTr="00BC4A0C">
        <w:tc>
          <w:tcPr>
            <w:tcW w:w="396" w:type="dxa"/>
          </w:tcPr>
          <w:p w14:paraId="5046D954" w14:textId="77777777" w:rsidR="00BC4A0C" w:rsidRPr="00BC4A0C" w:rsidRDefault="00BC4A0C" w:rsidP="00AD5AED">
            <w:pPr>
              <w:rPr>
                <w:rFonts w:asciiTheme="majorHAnsi" w:hAnsiTheme="majorHAnsi" w:cstheme="majorHAnsi"/>
                <w:sz w:val="18"/>
                <w:szCs w:val="18"/>
              </w:rPr>
            </w:pPr>
          </w:p>
          <w:p w14:paraId="490C534B"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3</w:t>
            </w:r>
          </w:p>
        </w:tc>
        <w:tc>
          <w:tcPr>
            <w:tcW w:w="5695" w:type="dxa"/>
          </w:tcPr>
          <w:p w14:paraId="78E42DAC" w14:textId="77777777" w:rsidR="00BC4A0C" w:rsidRPr="00BC4A0C" w:rsidRDefault="00BC4A0C" w:rsidP="00AD5AED">
            <w:pPr>
              <w:rPr>
                <w:rFonts w:asciiTheme="majorHAnsi" w:hAnsiTheme="majorHAnsi" w:cstheme="majorHAnsi"/>
                <w:sz w:val="18"/>
                <w:szCs w:val="18"/>
              </w:rPr>
            </w:pPr>
          </w:p>
          <w:p w14:paraId="64B91FFC"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Radoušek Kamil, Rozkoš 42</w:t>
            </w:r>
          </w:p>
          <w:p w14:paraId="2D0CF42B"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Radoušková Petra, Rozkoš 42</w:t>
            </w:r>
          </w:p>
          <w:p w14:paraId="64FFE57E"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 xml:space="preserve">Radoušek Jan, Kostomlaty nad </w:t>
            </w:r>
            <w:proofErr w:type="gramStart"/>
            <w:r w:rsidRPr="00BC4A0C">
              <w:rPr>
                <w:rFonts w:asciiTheme="majorHAnsi" w:hAnsiTheme="majorHAnsi" w:cstheme="majorHAnsi"/>
                <w:b/>
                <w:bCs/>
                <w:sz w:val="18"/>
                <w:szCs w:val="18"/>
              </w:rPr>
              <w:t>Labem  194</w:t>
            </w:r>
            <w:proofErr w:type="gramEnd"/>
          </w:p>
          <w:p w14:paraId="481404BD"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Radoušek Jaroslav, Nymburk 2115</w:t>
            </w:r>
          </w:p>
          <w:p w14:paraId="4306AB10" w14:textId="77777777" w:rsidR="00BC4A0C" w:rsidRPr="00BC4A0C" w:rsidRDefault="00BC4A0C" w:rsidP="00AD5AED">
            <w:pPr>
              <w:rPr>
                <w:rFonts w:asciiTheme="majorHAnsi" w:hAnsiTheme="majorHAnsi" w:cstheme="majorHAnsi"/>
                <w:b/>
                <w:bCs/>
                <w:sz w:val="18"/>
                <w:szCs w:val="18"/>
              </w:rPr>
            </w:pPr>
          </w:p>
          <w:p w14:paraId="71DD6DE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Obracíme se opětovně s námitkou a dotazem ohledně ÚP Kostomlaty nad Labem ze IV/2022, kde byla dle naší žádosti ze dne5.11.2020 změna území na obytnou zástavbu Z10 a následně bylo toto území v posledním </w:t>
            </w:r>
            <w:proofErr w:type="gramStart"/>
            <w:r w:rsidRPr="00BC4A0C">
              <w:rPr>
                <w:rFonts w:asciiTheme="majorHAnsi" w:hAnsiTheme="majorHAnsi" w:cstheme="majorHAnsi"/>
                <w:sz w:val="18"/>
                <w:szCs w:val="18"/>
              </w:rPr>
              <w:t>ÚP  XI</w:t>
            </w:r>
            <w:proofErr w:type="gramEnd"/>
            <w:r w:rsidRPr="00BC4A0C">
              <w:rPr>
                <w:rFonts w:asciiTheme="majorHAnsi" w:hAnsiTheme="majorHAnsi" w:cstheme="majorHAnsi"/>
                <w:sz w:val="18"/>
                <w:szCs w:val="18"/>
              </w:rPr>
              <w:t>/2023 změněno na NSzp (plochy smíšené nezastavěného území – zemědělské, přírodní pozemky) – území o které se jedná je vyznačeno v mapě v příloze.</w:t>
            </w:r>
          </w:p>
          <w:p w14:paraId="56CF63F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Prosím o projednání námitky a žádáme o nápravu dle ÚP IV/2022 (parc. č. 455/1, 455/3, 455/4, 840/17, 1366/1, 840/19, 701/1, 1366/3, 840/16, 840/15) z důvodu budoucí výstavby (narovnání hranic pozemků).</w:t>
            </w:r>
          </w:p>
          <w:p w14:paraId="6D3A8AD6" w14:textId="77777777" w:rsidR="00BC4A0C" w:rsidRPr="00BC4A0C" w:rsidRDefault="00BC4A0C" w:rsidP="00BC4A0C">
            <w:pPr>
              <w:pStyle w:val="Odstavecseseznamem"/>
              <w:numPr>
                <w:ilvl w:val="0"/>
                <w:numId w:val="57"/>
              </w:numPr>
              <w:rPr>
                <w:rFonts w:asciiTheme="majorHAnsi" w:hAnsiTheme="majorHAnsi" w:cstheme="majorHAnsi"/>
                <w:sz w:val="18"/>
                <w:szCs w:val="18"/>
              </w:rPr>
            </w:pPr>
            <w:r w:rsidRPr="00BC4A0C">
              <w:rPr>
                <w:rFonts w:asciiTheme="majorHAnsi" w:hAnsiTheme="majorHAnsi" w:cstheme="majorHAnsi"/>
                <w:sz w:val="18"/>
                <w:szCs w:val="18"/>
              </w:rPr>
              <w:t>Na pozemcích parc. č. 455/1, 455/3, 455/4 a z části na pozemcích parc. č. 840/17, 1366/1, 840/19 by byli vystavěny 3 rodinné domy dle plánku a návrhu GP.</w:t>
            </w:r>
          </w:p>
          <w:p w14:paraId="79ED35F7" w14:textId="77777777" w:rsidR="00BC4A0C" w:rsidRPr="00BC4A0C" w:rsidRDefault="00BC4A0C" w:rsidP="00BC4A0C">
            <w:pPr>
              <w:pStyle w:val="Odstavecseseznamem"/>
              <w:numPr>
                <w:ilvl w:val="0"/>
                <w:numId w:val="57"/>
              </w:numPr>
              <w:rPr>
                <w:rFonts w:asciiTheme="majorHAnsi" w:hAnsiTheme="majorHAnsi" w:cstheme="majorHAnsi"/>
                <w:sz w:val="18"/>
                <w:szCs w:val="18"/>
              </w:rPr>
            </w:pPr>
            <w:r w:rsidRPr="00BC4A0C">
              <w:rPr>
                <w:rFonts w:asciiTheme="majorHAnsi" w:hAnsiTheme="majorHAnsi" w:cstheme="majorHAnsi"/>
                <w:sz w:val="18"/>
                <w:szCs w:val="18"/>
              </w:rPr>
              <w:t>2) ohledně narovnání hranic a přílohy plánku by na pozemcích parc. č. 701/1, 1366/3, 840/16, 840/15, 840/17, 1366/1, 840/19 vznikla rekreační oblast pro výstavbu rekreačních objektů.</w:t>
            </w:r>
          </w:p>
          <w:p w14:paraId="1C3C393F" w14:textId="77777777" w:rsidR="00BC4A0C" w:rsidRPr="00BC4A0C" w:rsidRDefault="00BC4A0C" w:rsidP="00BC4A0C">
            <w:pPr>
              <w:pStyle w:val="Odstavecseseznamem"/>
              <w:numPr>
                <w:ilvl w:val="0"/>
                <w:numId w:val="57"/>
              </w:numPr>
              <w:rPr>
                <w:rFonts w:asciiTheme="majorHAnsi" w:hAnsiTheme="majorHAnsi" w:cstheme="majorHAnsi"/>
                <w:sz w:val="18"/>
                <w:szCs w:val="18"/>
              </w:rPr>
            </w:pPr>
            <w:r w:rsidRPr="00BC4A0C">
              <w:rPr>
                <w:rFonts w:asciiTheme="majorHAnsi" w:hAnsiTheme="majorHAnsi" w:cstheme="majorHAnsi"/>
                <w:sz w:val="18"/>
                <w:szCs w:val="18"/>
              </w:rPr>
              <w:t>3¨obecní úřad by jistě také ocenil, že parc. č. 1366/1, 840/15, 840/16 – momentálně bez jakéhokoliv významu a vzhledem nepravidelným hranicím a poloze pozemků by byli sloučeny v jeden celek vedle ČOP, což by mohlo být v budoucnu využito pro rozšíření čip potřeby ČOP.</w:t>
            </w:r>
          </w:p>
          <w:p w14:paraId="4D6CEABF" w14:textId="77777777" w:rsidR="00BC4A0C" w:rsidRPr="00BC4A0C" w:rsidRDefault="00BC4A0C" w:rsidP="00BC4A0C">
            <w:pPr>
              <w:pStyle w:val="Odstavecseseznamem"/>
              <w:numPr>
                <w:ilvl w:val="0"/>
                <w:numId w:val="57"/>
              </w:numPr>
              <w:rPr>
                <w:rFonts w:asciiTheme="majorHAnsi" w:hAnsiTheme="majorHAnsi" w:cstheme="majorHAnsi"/>
                <w:sz w:val="18"/>
                <w:szCs w:val="18"/>
              </w:rPr>
            </w:pPr>
            <w:r w:rsidRPr="00BC4A0C">
              <w:rPr>
                <w:rFonts w:asciiTheme="majorHAnsi" w:hAnsiTheme="majorHAnsi" w:cstheme="majorHAnsi"/>
                <w:sz w:val="18"/>
                <w:szCs w:val="18"/>
              </w:rPr>
              <w:t>Námitka proti budoucí výstavbě, která byla nově navržena na pozemcích parc. č. 839/21, 839/9, 839/22, 839/20.</w:t>
            </w:r>
          </w:p>
          <w:p w14:paraId="66767874" w14:textId="77777777" w:rsidR="00BC4A0C" w:rsidRPr="00BC4A0C" w:rsidRDefault="00BC4A0C" w:rsidP="00BC4A0C">
            <w:pPr>
              <w:pStyle w:val="Odstavecseseznamem"/>
              <w:numPr>
                <w:ilvl w:val="0"/>
                <w:numId w:val="57"/>
              </w:numPr>
              <w:rPr>
                <w:rFonts w:asciiTheme="majorHAnsi" w:hAnsiTheme="majorHAnsi" w:cstheme="majorHAnsi"/>
                <w:sz w:val="18"/>
                <w:szCs w:val="18"/>
              </w:rPr>
            </w:pPr>
            <w:r w:rsidRPr="00BC4A0C">
              <w:rPr>
                <w:rFonts w:asciiTheme="majorHAnsi" w:hAnsiTheme="majorHAnsi" w:cstheme="majorHAnsi"/>
                <w:sz w:val="18"/>
                <w:szCs w:val="18"/>
              </w:rPr>
              <w:t xml:space="preserve">5) vzhledem k tomu, že byla nově navržena budoucí výstavba na pozemcích v bodu 4), namísto námi navržených, tak nevidíme důvod, proč by našim požadavkům nebylo vyhověno. </w:t>
            </w:r>
          </w:p>
          <w:p w14:paraId="69F7D686" w14:textId="77777777" w:rsidR="00BC4A0C" w:rsidRPr="00BC4A0C" w:rsidRDefault="00BC4A0C" w:rsidP="00AD5AED">
            <w:pPr>
              <w:rPr>
                <w:rFonts w:asciiTheme="majorHAnsi" w:hAnsiTheme="majorHAnsi" w:cstheme="majorHAnsi"/>
                <w:noProof/>
                <w:sz w:val="18"/>
                <w:szCs w:val="18"/>
              </w:rPr>
            </w:pPr>
            <w:r w:rsidRPr="00BC4A0C">
              <w:rPr>
                <w:rFonts w:asciiTheme="majorHAnsi" w:hAnsiTheme="majorHAnsi" w:cstheme="majorHAnsi"/>
                <w:sz w:val="18"/>
                <w:szCs w:val="18"/>
              </w:rPr>
              <w:t>Tímto vás žádáme o zahrnutí do ÚP pozemky pod bodem č. 1) a 2) dle našich požadavků. Navrhujeme úhradu nákladů na pořízení ÚP nebo jeho změny dle našeho návrhu ve výši 60.000,0 Kč.</w:t>
            </w:r>
            <w:r w:rsidRPr="00BC4A0C">
              <w:rPr>
                <w:rFonts w:asciiTheme="majorHAnsi" w:hAnsiTheme="majorHAnsi" w:cstheme="majorHAnsi"/>
                <w:noProof/>
                <w:sz w:val="18"/>
                <w:szCs w:val="18"/>
              </w:rPr>
              <w:t xml:space="preserve"> </w:t>
            </w:r>
          </w:p>
          <w:p w14:paraId="63EDD175" w14:textId="77777777" w:rsidR="00BC4A0C" w:rsidRPr="00BC4A0C" w:rsidRDefault="00BC4A0C" w:rsidP="00AD5AED">
            <w:pPr>
              <w:rPr>
                <w:rFonts w:asciiTheme="majorHAnsi" w:hAnsiTheme="majorHAnsi" w:cstheme="majorHAnsi"/>
                <w:sz w:val="18"/>
                <w:szCs w:val="18"/>
              </w:rPr>
            </w:pPr>
          </w:p>
          <w:p w14:paraId="35895C3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noProof/>
                <w:sz w:val="18"/>
                <w:szCs w:val="18"/>
              </w:rPr>
              <w:lastRenderedPageBreak/>
              <w:drawing>
                <wp:inline distT="0" distB="0" distL="0" distR="0" wp14:anchorId="0CC67130" wp14:editId="60E84A96">
                  <wp:extent cx="3540433" cy="1695450"/>
                  <wp:effectExtent l="0" t="0" r="3175" b="0"/>
                  <wp:docPr id="371554496"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1554496" name=""/>
                          <pic:cNvPicPr/>
                        </pic:nvPicPr>
                        <pic:blipFill>
                          <a:blip r:embed="rId64"/>
                          <a:stretch>
                            <a:fillRect/>
                          </a:stretch>
                        </pic:blipFill>
                        <pic:spPr>
                          <a:xfrm>
                            <a:off x="0" y="0"/>
                            <a:ext cx="3542425" cy="1696404"/>
                          </a:xfrm>
                          <a:prstGeom prst="rect">
                            <a:avLst/>
                          </a:prstGeom>
                        </pic:spPr>
                      </pic:pic>
                    </a:graphicData>
                  </a:graphic>
                </wp:inline>
              </w:drawing>
            </w:r>
          </w:p>
        </w:tc>
        <w:tc>
          <w:tcPr>
            <w:tcW w:w="3118" w:type="dxa"/>
          </w:tcPr>
          <w:p w14:paraId="71A41E65" w14:textId="77777777" w:rsidR="00BC4A0C" w:rsidRPr="00BC4A0C" w:rsidRDefault="00BC4A0C" w:rsidP="00AD5AED">
            <w:pPr>
              <w:rPr>
                <w:rFonts w:asciiTheme="majorHAnsi" w:hAnsiTheme="majorHAnsi" w:cstheme="majorHAnsi"/>
                <w:sz w:val="18"/>
                <w:szCs w:val="18"/>
              </w:rPr>
            </w:pPr>
          </w:p>
          <w:p w14:paraId="402EF629"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64A66B45" w14:textId="77777777" w:rsidR="00BC4A0C" w:rsidRPr="00BC4A0C" w:rsidRDefault="00BC4A0C" w:rsidP="00AD5AED">
            <w:pPr>
              <w:rPr>
                <w:rFonts w:asciiTheme="majorHAnsi" w:hAnsiTheme="majorHAnsi" w:cstheme="majorHAnsi"/>
                <w:b/>
                <w:bCs/>
                <w:sz w:val="18"/>
                <w:szCs w:val="18"/>
              </w:rPr>
            </w:pPr>
          </w:p>
          <w:p w14:paraId="5F6E10E1"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Odůvodnění:</w:t>
            </w:r>
          </w:p>
          <w:p w14:paraId="1C8A674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Námitka se nevztahuje k věcem, které byly v územním plánu změněny po prvním veřejném projednání. O námitce tak bylo již rozhodnuto v rámci rozhodnutí o námitkách k 1. VP.</w:t>
            </w:r>
          </w:p>
        </w:tc>
      </w:tr>
      <w:tr w:rsidR="00BC4A0C" w:rsidRPr="00BC4A0C" w14:paraId="142CC5FF" w14:textId="77777777" w:rsidTr="00BC4A0C">
        <w:tc>
          <w:tcPr>
            <w:tcW w:w="396" w:type="dxa"/>
          </w:tcPr>
          <w:p w14:paraId="56D8DDC4"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4.</w:t>
            </w:r>
          </w:p>
        </w:tc>
        <w:tc>
          <w:tcPr>
            <w:tcW w:w="5695" w:type="dxa"/>
          </w:tcPr>
          <w:p w14:paraId="58C092E6"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Jana Švondrová, Kostomlaty nad Labem 447</w:t>
            </w:r>
          </w:p>
          <w:p w14:paraId="6ED07491" w14:textId="77777777" w:rsidR="00BC4A0C" w:rsidRPr="00BC4A0C" w:rsidRDefault="00BC4A0C" w:rsidP="00AD5AED">
            <w:pPr>
              <w:rPr>
                <w:rFonts w:asciiTheme="majorHAnsi" w:hAnsiTheme="majorHAnsi" w:cstheme="majorHAnsi"/>
                <w:sz w:val="18"/>
                <w:szCs w:val="18"/>
              </w:rPr>
            </w:pPr>
          </w:p>
          <w:p w14:paraId="4E14D7E9"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Tímto vznáším námitku proti návrhu územního plná obce Kostomlaty nad Labem, konkrétně </w:t>
            </w:r>
          </w:p>
          <w:p w14:paraId="10ABDB97"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proti zařazení části mého pozemku p. č. 894/39 jako plochy pro veřejně prospěšné stavby dopravní infrastruktury (Koridor CNU.KDZ1).</w:t>
            </w:r>
          </w:p>
          <w:p w14:paraId="2C13F07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Tento krok považuji za opodstatněný neboť:</w:t>
            </w:r>
          </w:p>
          <w:p w14:paraId="13FC0EE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Sousední pozemek p. č. 894/22, který je rovněž dotčen koridorem (CNU.KD2), je v návrhu územního plánu zcela ponechán v kategorii individuálního bydlení viz Příloha č.1, zatímco můj pozemek p. č. 894/39 byl bez řádného odůvodnění částečně přeřazen do plochy pro veřejně prospěšné stavby dopravní infrastruktury. Tento nerovný přístup postrádá objektivní zdůvodnění a působí diskriminačně vůči mému vlastnickému právu. Neexistuje žádný konkrétní důkaz ani odůvodnění k nutnosti zařazení části mého pozemku p. č. 894/39 jako plochy pro veřejně prospěšné stavby dopravní infrastruktury. vhledem k tomu, že dosud nebyla zpracována dokumentace pro územní rozhodnutí (DÚR) ani záborový elaborát, který by jasně definoval dočasné a trvalé zábory pro jednotlivé pozemky, neexistuje žádný relevantní podklad k nutnosti zařazení části mého pozemku p. č. 894/39 jako plochy pro veřejně prospěšné stavby dopravní infrastruktury.</w:t>
            </w:r>
          </w:p>
          <w:p w14:paraId="47D52E7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Na základě jednání se zástupci Správy železnic a projektové firmy bylo potvrzeno, že se v tuto chvíli nepočítá s trvalým záborem mého pozemku. Bude nutný pouze úzký dočasný zábor (maximálně 1 rok). Navrhovaná změna zásadně omezuje mé vlastnické právo a znehodnocuje pozemek, aniž by byl prokázán její nezbytný veřejný přínos. Správa železnic: „Vašemu pozemku se nelze vyhnout, nicméně jeho zásah je pouze v jihozápadním rohu (viz výřez z dokumentace). </w:t>
            </w:r>
          </w:p>
          <w:p w14:paraId="5864E7B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Podložená vyjádření:</w:t>
            </w:r>
          </w:p>
          <w:p w14:paraId="321B53A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Správa železnic: Pozemek je zasažen stavbou náhradní komunikace (obchvat) za zrušené přejezdy v lokalitě Kostomlat. Podél této komunikace (u paty náspu) bude ještě úzký dočasný zábor (do 1 roku) pro účely stavby“.</w:t>
            </w:r>
          </w:p>
          <w:p w14:paraId="5D65935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Zástupce projektové firmy: Změnu ÚP pořizovala obec. Předpokládám, že je to z důvodu prostorové rezervy, aby byla možnost polohu přeložky případně upravit. Jsem přesvědčený, že tuto možnost nevyužijeme – trasa přeložky je víceméně stabilizovaná.“</w:t>
            </w:r>
          </w:p>
          <w:p w14:paraId="37769461" w14:textId="714B2D56" w:rsid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Vzhledem k výše uvedeným skutečnostem žádám zařazení celého mého pozemku p. č. 894/39 do kategorie individuálního bydlení.</w:t>
            </w:r>
          </w:p>
          <w:p w14:paraId="51D5D155" w14:textId="77777777" w:rsidR="00BC4A0C" w:rsidRPr="00BC4A0C" w:rsidRDefault="00BC4A0C" w:rsidP="00AD5AED">
            <w:pPr>
              <w:rPr>
                <w:rFonts w:asciiTheme="majorHAnsi" w:hAnsiTheme="majorHAnsi" w:cstheme="majorHAnsi"/>
                <w:sz w:val="18"/>
                <w:szCs w:val="18"/>
              </w:rPr>
            </w:pPr>
          </w:p>
          <w:p w14:paraId="5B270FC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noProof/>
                <w:sz w:val="18"/>
                <w:szCs w:val="18"/>
              </w:rPr>
              <w:lastRenderedPageBreak/>
              <w:drawing>
                <wp:inline distT="0" distB="0" distL="0" distR="0" wp14:anchorId="3E4F463D" wp14:editId="158F2E05">
                  <wp:extent cx="2482853" cy="3511215"/>
                  <wp:effectExtent l="317" t="0" r="0" b="0"/>
                  <wp:docPr id="1537912607" name="Obrázek 2" descr="Obsah obrázku text, mapa, diagram, řada/pruh&#10;&#10;Obsah generovaný pomocí AI může být nesprávn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7912607" name="Obrázek 2" descr="Obsah obrázku text, mapa, diagram, řada/pruh&#10;&#10;Obsah generovaný pomocí AI může být nesprávný."/>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rot="5400000">
                            <a:off x="0" y="0"/>
                            <a:ext cx="2487075" cy="3517186"/>
                          </a:xfrm>
                          <a:prstGeom prst="rect">
                            <a:avLst/>
                          </a:prstGeom>
                          <a:noFill/>
                          <a:ln>
                            <a:noFill/>
                          </a:ln>
                        </pic:spPr>
                      </pic:pic>
                    </a:graphicData>
                  </a:graphic>
                </wp:inline>
              </w:drawing>
            </w:r>
          </w:p>
          <w:p w14:paraId="5046E197" w14:textId="77777777" w:rsidR="00BC4A0C" w:rsidRPr="00BC4A0C" w:rsidRDefault="00BC4A0C" w:rsidP="00AD5AED">
            <w:pPr>
              <w:rPr>
                <w:rFonts w:asciiTheme="majorHAnsi" w:hAnsiTheme="majorHAnsi" w:cstheme="majorHAnsi"/>
                <w:sz w:val="18"/>
                <w:szCs w:val="18"/>
              </w:rPr>
            </w:pPr>
          </w:p>
        </w:tc>
        <w:tc>
          <w:tcPr>
            <w:tcW w:w="3118" w:type="dxa"/>
          </w:tcPr>
          <w:p w14:paraId="4A492D21"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Rozhodnutí: námitka se zamítá.</w:t>
            </w:r>
          </w:p>
          <w:p w14:paraId="74552B91" w14:textId="77777777" w:rsidR="00BC4A0C" w:rsidRPr="00BC4A0C" w:rsidRDefault="00BC4A0C" w:rsidP="00AD5AED">
            <w:pPr>
              <w:rPr>
                <w:rFonts w:asciiTheme="majorHAnsi" w:hAnsiTheme="majorHAnsi" w:cstheme="majorHAnsi"/>
                <w:b/>
                <w:bCs/>
                <w:sz w:val="18"/>
                <w:szCs w:val="18"/>
              </w:rPr>
            </w:pPr>
          </w:p>
          <w:p w14:paraId="02755F0D"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Odůvodnění:</w:t>
            </w:r>
          </w:p>
          <w:p w14:paraId="6BCC357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Netýká se změn, které byly v návrhu územního plánu provedeny po prvním veřejném projednání. O námitce již bylo rozhodnuto po prvním veřejném projednání.</w:t>
            </w:r>
          </w:p>
        </w:tc>
      </w:tr>
      <w:tr w:rsidR="00BC4A0C" w:rsidRPr="00BC4A0C" w14:paraId="27EBE3B7" w14:textId="77777777" w:rsidTr="00BC4A0C">
        <w:tc>
          <w:tcPr>
            <w:tcW w:w="396" w:type="dxa"/>
          </w:tcPr>
          <w:p w14:paraId="14B47A11"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5.</w:t>
            </w:r>
          </w:p>
        </w:tc>
        <w:tc>
          <w:tcPr>
            <w:tcW w:w="5695" w:type="dxa"/>
          </w:tcPr>
          <w:p w14:paraId="6ABB9B04"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Josef Touš, Kostomlaty nad Labem 126</w:t>
            </w:r>
          </w:p>
          <w:p w14:paraId="3A36D52D" w14:textId="77777777" w:rsidR="00BC4A0C" w:rsidRPr="00BC4A0C" w:rsidRDefault="00BC4A0C" w:rsidP="00AD5AED">
            <w:pPr>
              <w:rPr>
                <w:rFonts w:asciiTheme="majorHAnsi" w:hAnsiTheme="majorHAnsi" w:cstheme="majorHAnsi"/>
                <w:sz w:val="18"/>
                <w:szCs w:val="18"/>
              </w:rPr>
            </w:pPr>
          </w:p>
          <w:p w14:paraId="649CE853"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Námitky proti navrženému znění ÚP obce Kostomlaty nad Labem</w:t>
            </w:r>
          </w:p>
          <w:p w14:paraId="7289B53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reakci na získané informace z druhého veřejného projednání věci dne 5. 3. 2025</w:t>
            </w:r>
          </w:p>
          <w:p w14:paraId="27F9922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I. Požaduji</w:t>
            </w:r>
          </w:p>
          <w:p w14:paraId="2C691BE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Zastavit proces schvalování aktualizace ÚP obce do doby než zastupitelstvo obce jako ze zákona jediný</w:t>
            </w:r>
          </w:p>
          <w:p w14:paraId="5760C4D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oprávněný subjekt rozhodne o tom co bude či nebude v ÚP obsaženo. ZO o ÚP nejednali, tedy tím ani</w:t>
            </w:r>
          </w:p>
          <w:p w14:paraId="366D187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neumožnili spoluobčanům být takovému jednání přítomni a případně na něm uplatnit jejich zákonem</w:t>
            </w:r>
          </w:p>
          <w:p w14:paraId="12517B2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garantovanou možnost se k projednávané problematice vyjadřovat.</w:t>
            </w:r>
          </w:p>
          <w:p w14:paraId="5AEF72A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Připomínám, že starosta či jeho zástupce sice zastupuje obec na venek, ale nemá žádné kompetence či</w:t>
            </w:r>
          </w:p>
          <w:p w14:paraId="2F0E031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pravomoci při takovýchto jednáních prosazovat cokoli, co před tím nebylo projednáno a schváleno ZO.</w:t>
            </w:r>
          </w:p>
          <w:p w14:paraId="4799CA2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Při pročítání odůvodnění návrhu ÚP je na vícero místech uvedeno, že to či ono bylo z ÚP vypuštěno po</w:t>
            </w:r>
          </w:p>
          <w:p w14:paraId="71ECD52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společném jednání. Na můj opakovaný dotaz na 2. veřejném projednávání návrhu ÚP, kdo rozhodoval</w:t>
            </w:r>
          </w:p>
          <w:p w14:paraId="25B9AEE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 tom, co bude v ÚP, jste odpověděla, že to byl zpracovatel, Vy jako pořizovatel a starostka co by pověřený</w:t>
            </w:r>
          </w:p>
          <w:p w14:paraId="5F77B24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člen vedení obce. V podkladech pro to veřejné projednávání je i nejednou uvedeno, že to či ono bylo</w:t>
            </w:r>
          </w:p>
          <w:p w14:paraId="0DFE356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 ÚP vypuštěno na návrh obce. V samotném textu odůvodnění na straně 7 je v prioritě (16) uvedeno:</w:t>
            </w:r>
          </w:p>
          <w:p w14:paraId="6C5305A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Při stanovování způsobu využití území v územně plánovací dokumentaci upřednostnit komplexní řešení před uplatňováním jednostranných hledisek a požadavků, které ve svých důsledcích zhoršují stav i hodnoty</w:t>
            </w:r>
          </w:p>
          <w:p w14:paraId="480BFC8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území. Vhodná řešení územního rozvoje je zapotřebí hledat ve spolupráci s obyvateli území i s jeho</w:t>
            </w:r>
          </w:p>
          <w:p w14:paraId="0EE4B239"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uživateli a v souladu s určením a charakterem oblastí, os, ploch a koridorů vymezených v PÚR ČR.</w:t>
            </w:r>
          </w:p>
          <w:p w14:paraId="7695F7FD" w14:textId="77777777" w:rsidR="00BC4A0C" w:rsidRPr="00BC4A0C" w:rsidRDefault="00BC4A0C" w:rsidP="00AD5AED">
            <w:pPr>
              <w:rPr>
                <w:rFonts w:asciiTheme="majorHAnsi" w:hAnsiTheme="majorHAnsi" w:cstheme="majorHAnsi"/>
                <w:sz w:val="18"/>
                <w:szCs w:val="18"/>
              </w:rPr>
            </w:pPr>
          </w:p>
          <w:p w14:paraId="7257A97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Jedním ze základních principů tvorby územního plánu je komunikace nejen s městem a dotčenými orgány,</w:t>
            </w:r>
          </w:p>
          <w:p w14:paraId="280CD3C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ale také s širší veřejností. V rámci přípravy zadání ÚP byly shromážděny jednotlivé podněty a požadavky</w:t>
            </w:r>
          </w:p>
          <w:p w14:paraId="0F25774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vlastníků pozemků a městské samosprávy na změny v území, které byly v rámci zpracování návrhu ÚP</w:t>
            </w:r>
          </w:p>
          <w:p w14:paraId="2B5C92B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lastRenderedPageBreak/>
              <w:t>vyhodnoceny a případně zapracovány. Při stanovování způsobu využití území byla upřednostněna komplexní řešení před parciálními zájmy – v tomto smyslu byly do koncepce řešení nového ÚP převzaty pouze koncepční a odůvodněné principy řešení stávající ÚPD.</w:t>
            </w:r>
          </w:p>
          <w:p w14:paraId="19744BD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Kdyby zpracovatel ÚP dbal těchto svých proklamací, nemusel by svoje původní návrhy rušit dle přání</w:t>
            </w:r>
          </w:p>
          <w:p w14:paraId="1D8F6D0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nikoho nereprezentující osoby takovými křečovitými texty jako je například tento:</w:t>
            </w:r>
          </w:p>
          <w:p w14:paraId="22555B5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(21) Vymezit a chránit ve spolupráci s dotčenými obcemi před zastavěním pozemky nezbytné pro vytvoření</w:t>
            </w:r>
          </w:p>
          <w:p w14:paraId="3F9CDC63"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souvislých ploch veřejně přístupné zeleně v rozvojových oblastech a v rozvojových osách a ve specifických</w:t>
            </w:r>
          </w:p>
          <w:p w14:paraId="7FBF9103"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oblastech, na jejichž území je krajina negativně poznamenána lidskou činností, s využitím její přirozené obnovy; cílem je zachování souvislých ploch nezastavěného území v bezprostředním okolí velkých měst,</w:t>
            </w:r>
          </w:p>
          <w:p w14:paraId="732B122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způsobilých pro nenáročné formy krátkodobé rekreace a dále pro vznik a rozvoj lesních porostů a zachování</w:t>
            </w:r>
          </w:p>
          <w:p w14:paraId="5663678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prostupnosti krajiny.</w:t>
            </w:r>
          </w:p>
          <w:p w14:paraId="3E86D93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rámci řešení ÚP Kostomlaty nad Labem je kladen důraz na ochranu volné krajiny a její dostupnost ze sídel,</w:t>
            </w:r>
          </w:p>
          <w:p w14:paraId="5648F26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a to zejména vymezením uceleného a vzájemně propojeného systému veřejných prostranství a veřejně</w:t>
            </w:r>
          </w:p>
          <w:p w14:paraId="4787E27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přístupné zeleně. Územní plán chrání před zastavěním pozemky bezprostředně obepínající jednotlivá sídla</w:t>
            </w:r>
          </w:p>
          <w:p w14:paraId="4308881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a nepřipouští jejich srůstání, čímž vytváří podmínky pro zachování souvislých pásů nezastavěného území</w:t>
            </w:r>
          </w:p>
          <w:p w14:paraId="39589F8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oddělující jednotlivá sídla. Současně je řešením územního plánu respektováno sídelní uspořádání území a</w:t>
            </w:r>
          </w:p>
          <w:p w14:paraId="17EE114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dostupnost rekreačního zázemí ve volné krajině. Konkrétním řešením územního plánu, naplňujícím prioritu</w:t>
            </w:r>
          </w:p>
          <w:p w14:paraId="231ACDC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(21), je například vytvoření přechodového pásu nepobytové rekreace v nezastavěném území (</w:t>
            </w:r>
            <w:proofErr w:type="gramStart"/>
            <w:r w:rsidRPr="00BC4A0C">
              <w:rPr>
                <w:rFonts w:asciiTheme="majorHAnsi" w:hAnsiTheme="majorHAnsi" w:cstheme="majorHAnsi"/>
                <w:sz w:val="18"/>
                <w:szCs w:val="18"/>
              </w:rPr>
              <w:t>MU.r</w:t>
            </w:r>
            <w:proofErr w:type="gramEnd"/>
            <w:r w:rsidRPr="00BC4A0C">
              <w:rPr>
                <w:rFonts w:asciiTheme="majorHAnsi" w:hAnsiTheme="majorHAnsi" w:cstheme="majorHAnsi"/>
                <w:sz w:val="18"/>
                <w:szCs w:val="18"/>
              </w:rPr>
              <w:t>) na</w:t>
            </w:r>
          </w:p>
          <w:p w14:paraId="565623F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jihovýchodním okraji zástavby města mezi rezidenční zástavbou a intenzivně zemědělsky využívanou</w:t>
            </w:r>
          </w:p>
          <w:p w14:paraId="41AE833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krajinou.</w:t>
            </w:r>
          </w:p>
          <w:p w14:paraId="5EEB94B7"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Už jenom dodám, že velkoměstské sídlo Kostomlaty nad Labem má cca 1300 obyvatel, naprosto nehrozí,</w:t>
            </w:r>
          </w:p>
          <w:p w14:paraId="0EB506E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že by na jihu obce mělo vzniknout jakékoli další sídlo a tímto vyhověním nelegitimizovanému požadavku</w:t>
            </w:r>
          </w:p>
          <w:p w14:paraId="51D58369"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obce bez náhrady znemožňujete v budoucnu stavbu silničního obchvatu. Takže pro cca 20 obyvatel tzv.</w:t>
            </w:r>
          </w:p>
          <w:p w14:paraId="071F2A4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nové zástavby, kteří mají zeleně kolem svých RD tolik, kolik jinde v obci není, vyhrazujete ještě zelený</w:t>
            </w:r>
          </w:p>
          <w:p w14:paraId="51A615E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pás 150 m široký i na jihu, kde je ve stávajícím ÚP územní rezerva pro silniční obchvat 70 m daleko od</w:t>
            </w:r>
          </w:p>
          <w:p w14:paraId="6BA206A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těch RD. To znemožní stavbu obchvatu, který jediný může ulehčit desetinásobku počtu spoluobčanů,</w:t>
            </w:r>
          </w:p>
          <w:p w14:paraId="41E6B539"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kterým vede tranzitní silniční doprava několik metrů od jejich domů a jiné řešení této velmi obtěžující</w:t>
            </w:r>
          </w:p>
          <w:p w14:paraId="4AC3232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situace neexistuje. Kromě toho by ten obchvat umožnil odvést z dalších obydlených část obce i přejezdy</w:t>
            </w:r>
          </w:p>
          <w:p w14:paraId="3B2841A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zemědělské techniky, kamionů s pískem z pískovny Doubrava…</w:t>
            </w:r>
          </w:p>
          <w:p w14:paraId="126C274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II. Něco obecných poznámek</w:t>
            </w:r>
          </w:p>
          <w:p w14:paraId="5A2C50D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Jak už jsem uvedl na tom projednávání, v předložených materiálech návrhu nového ÚP je množství chyb</w:t>
            </w:r>
          </w:p>
          <w:p w14:paraId="71265E2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a vad:</w:t>
            </w:r>
          </w:p>
          <w:p w14:paraId="67F82A9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-Méně podstatné – 82 km do MĚ, obec leží v povodí Vltavy, nelinearita na ose x snad ve všech grafech</w:t>
            </w:r>
          </w:p>
          <w:p w14:paraId="36876E2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vývoje počtu obyvatel, bytů…,</w:t>
            </w:r>
          </w:p>
          <w:p w14:paraId="04989819"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-MNOHO PODKLADŮ, ze kterých návrh ÚP vychází JE </w:t>
            </w:r>
            <w:proofErr w:type="gramStart"/>
            <w:r w:rsidRPr="00BC4A0C">
              <w:rPr>
                <w:rFonts w:asciiTheme="majorHAnsi" w:hAnsiTheme="majorHAnsi" w:cstheme="majorHAnsi"/>
                <w:sz w:val="18"/>
                <w:szCs w:val="18"/>
              </w:rPr>
              <w:t>ZASTARALÝCH - z</w:t>
            </w:r>
            <w:proofErr w:type="gramEnd"/>
            <w:r w:rsidRPr="00BC4A0C">
              <w:rPr>
                <w:rFonts w:asciiTheme="majorHAnsi" w:hAnsiTheme="majorHAnsi" w:cstheme="majorHAnsi"/>
                <w:sz w:val="18"/>
                <w:szCs w:val="18"/>
              </w:rPr>
              <w:t xml:space="preserve"> roku 2016 i starší: např.</w:t>
            </w:r>
          </w:p>
          <w:p w14:paraId="6D0F9BB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lastRenderedPageBreak/>
              <w:t>demografická data, sčítání počtu vozidel…</w:t>
            </w:r>
          </w:p>
          <w:p w14:paraId="0AD5DB3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-Už poněkud závažnější vady jsou: např. SVAZEK OBCÍ KOSTOMLATSKO již od roku 2022 NEEXISTUJE</w:t>
            </w:r>
          </w:p>
          <w:p w14:paraId="494823CD"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-DOPRAVNÍ CESTA MEZINÁRODNÍHO </w:t>
            </w:r>
            <w:proofErr w:type="gramStart"/>
            <w:r w:rsidRPr="00BC4A0C">
              <w:rPr>
                <w:rFonts w:asciiTheme="majorHAnsi" w:hAnsiTheme="majorHAnsi" w:cstheme="majorHAnsi"/>
                <w:sz w:val="18"/>
                <w:szCs w:val="18"/>
              </w:rPr>
              <w:t>VÝZNAMU - řeka</w:t>
            </w:r>
            <w:proofErr w:type="gramEnd"/>
            <w:r w:rsidRPr="00BC4A0C">
              <w:rPr>
                <w:rFonts w:asciiTheme="majorHAnsi" w:hAnsiTheme="majorHAnsi" w:cstheme="majorHAnsi"/>
                <w:sz w:val="18"/>
                <w:szCs w:val="18"/>
              </w:rPr>
              <w:t xml:space="preserve"> Labe je uvedena, ale NEPOROVNATELNĚ</w:t>
            </w:r>
          </w:p>
          <w:p w14:paraId="6F92403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VÝZNAMNĚJŠÍ MEZINÁRODNÍ DOPRAVNÍ ŽELEZNIČNÍ KORIDOR </w:t>
            </w:r>
            <w:proofErr w:type="gramStart"/>
            <w:r w:rsidRPr="00BC4A0C">
              <w:rPr>
                <w:rFonts w:asciiTheme="majorHAnsi" w:hAnsiTheme="majorHAnsi" w:cstheme="majorHAnsi"/>
                <w:sz w:val="18"/>
                <w:szCs w:val="18"/>
              </w:rPr>
              <w:t>HAMBURK - STŘEDOZEMNÍ</w:t>
            </w:r>
            <w:proofErr w:type="gramEnd"/>
            <w:r w:rsidRPr="00BC4A0C">
              <w:rPr>
                <w:rFonts w:asciiTheme="majorHAnsi" w:hAnsiTheme="majorHAnsi" w:cstheme="majorHAnsi"/>
                <w:sz w:val="18"/>
                <w:szCs w:val="18"/>
              </w:rPr>
              <w:t xml:space="preserve"> MOŘE</w:t>
            </w:r>
          </w:p>
          <w:p w14:paraId="58B7836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ZMÍNĚN VŮBEC NENÍ, Tato železnice je v návrhu jednou nazývána Lysá – Nymburk, jindy zase Všetaty</w:t>
            </w:r>
          </w:p>
          <w:p w14:paraId="13381FF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Kolín…</w:t>
            </w:r>
          </w:p>
          <w:p w14:paraId="6B30217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-Nenašel jsem přehledy o stávajících HLUKOVÝCH ÚROVNÍCH od všech obec zasahujících zdrojů, nic</w:t>
            </w:r>
          </w:p>
          <w:p w14:paraId="3081F74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 vibracích, stejně tak o PRACHOVÝCH MIKROČÁSTICÍCH… Natož že by to byly informace aktuální.</w:t>
            </w:r>
          </w:p>
          <w:p w14:paraId="04F744A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-INFORMACE O INŽENÝRSKÝCH SÍTÍCH, VODOVOD, KANALIZACE JSOU NEAKTUÁLNÍ, realita je již</w:t>
            </w:r>
          </w:p>
          <w:p w14:paraId="1D12159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naprosto jiná</w:t>
            </w:r>
          </w:p>
          <w:p w14:paraId="59D3D21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-ZA VELMI VÁŽNÉ VADY TOHOTO NÁVRHU AKTUALIZACE ÚP POVAŽJI:</w:t>
            </w:r>
          </w:p>
          <w:p w14:paraId="2E2ED28F"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NÁVRHU ÚP ZAKRESLENÉ REZERVY PRO STAVBY SPOJENÉ S REKONSTRUKCÍ ŽELEZNICE</w:t>
            </w:r>
          </w:p>
          <w:p w14:paraId="55507F8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nejenom že neodpovídají rok starým informacím investora, JSOU VADNÉ I Z MNOHEM VÁŽNĚJŠÍCH DŮVODŮ… Přitom právě existence tří kolejového železničního koridoru (3KŽK) velmi významně obec ovlivňuje, v mnoha směrech přímo limituje…</w:t>
            </w:r>
          </w:p>
          <w:p w14:paraId="0C38639D"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-Jako PRIORITNÍ JE OPĚT NAVRHOVÁNA ZÁSTAVBA BI NA ZPF V 1. BON. TŘÍDĚ.</w:t>
            </w:r>
          </w:p>
          <w:p w14:paraId="6A523927"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ODŮVODNĚNÍ ÚP JE ZMÍNĚNA SPOUSTA BOHULIBÝCH PRIORIT, NAPŘÍKLAD O TOM, ŽE</w:t>
            </w:r>
          </w:p>
          <w:p w14:paraId="6F67731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1) JE TŘEBA CHRÁNIT ZPF, ZEJMÉNA PŮDY v I. a II. bonitní třídě, bránit ATOMIZACI POZEMKŮ,</w:t>
            </w:r>
          </w:p>
          <w:p w14:paraId="6EB65493"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2) Ještě hojněji je připomínána PRŮCHODNOST KRAJINOU,</w:t>
            </w:r>
          </w:p>
          <w:p w14:paraId="63D77FE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3) Jsou tam požadavky NEVYTVÁŘET IZOLOVANÉ NÁSLEDNĚ SOCIÁLNĚ VYLOUČENÉ LOKALITY</w:t>
            </w:r>
          </w:p>
          <w:p w14:paraId="5D531F3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4) Je prý třeba zabránit obsazení území (například přiblížením se k těmto prostorám zástavbou) v místech, kde by mohly v budoucnu vést komunikace…</w:t>
            </w:r>
          </w:p>
          <w:p w14:paraId="58E1F18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Pak je na místě otázka, PROČ JSOU TYTO TOLIKRÁT V NÁVRHU PROKLAMOVANÉ PRIORITY V PŘEDLOŽENÉM NÁVRHU ZCELA IGNOROVÁNY?</w:t>
            </w:r>
          </w:p>
          <w:p w14:paraId="6EFA97E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odůvodnění návrhu ÚP je uvedena proklamace:</w:t>
            </w:r>
          </w:p>
          <w:p w14:paraId="1EA1B7E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 s ohledem na charakter území a kvalitu vystavěného prostředí vyhodnocovat a, je-li to účelné vymezovat vhodné plochy pro výrobu; plochy pro výrobu elektřiny, plynu a tepla včetně ploch pro jejich výrobu z obnovitelných zdrojů vymezovat rovněž s ohledem na cíle politik, strategií a koncepcí veřejné správy v oblasti energetiky a klimatu; ÚP Kostomlaty nad Labem reguluje možnost realizace výroben elektřiny v řešeném území v rámci stanovených podmínek jednotlivých ploch s rozdílným způsobem využití.</w:t>
            </w:r>
          </w:p>
          <w:p w14:paraId="3D181977"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Pak se občané dovědí až při zahájení 2. veřejného projednáván, že realita je naprosto jiná: FVE je celoplošně na území obce zakázána. A jak se vzápětí ukázalo, nikdo se ani neobtěžoval k tomu rozhodnutí, které je i v rozporu se zájmy obce, zeptat se na názor majitele takto postižených polí.</w:t>
            </w:r>
          </w:p>
          <w:p w14:paraId="6095C53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Ještě bych mohl dlouho pokračovat, ale již nemám čas. To je i důvod, proč i toto moje vyjádření je takto</w:t>
            </w:r>
          </w:p>
          <w:p w14:paraId="6CBAD64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odbyté. Celé to divadlo s veřejným projednáváním a časovými limity závaznými pouze pro občany je</w:t>
            </w:r>
          </w:p>
          <w:p w14:paraId="56BAFD5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nastaveno tak, že občan nemá šanci si během několik dnů prostudovat stovky stran podkladů, zpracovat</w:t>
            </w:r>
          </w:p>
          <w:p w14:paraId="5E96D2F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k tomu vyjádření. No je to především vizitka těch, kdo tento materiál a z něj nový ÚP obce vytvořili. Ta vizitka tu bude k vidění dalších </w:t>
            </w:r>
            <w:proofErr w:type="gramStart"/>
            <w:r w:rsidRPr="00BC4A0C">
              <w:rPr>
                <w:rFonts w:asciiTheme="majorHAnsi" w:hAnsiTheme="majorHAnsi" w:cstheme="majorHAnsi"/>
                <w:sz w:val="18"/>
                <w:szCs w:val="18"/>
              </w:rPr>
              <w:t>15 – 20</w:t>
            </w:r>
            <w:proofErr w:type="gramEnd"/>
            <w:r w:rsidRPr="00BC4A0C">
              <w:rPr>
                <w:rFonts w:asciiTheme="majorHAnsi" w:hAnsiTheme="majorHAnsi" w:cstheme="majorHAnsi"/>
                <w:sz w:val="18"/>
                <w:szCs w:val="18"/>
              </w:rPr>
              <w:t xml:space="preserve"> let.</w:t>
            </w:r>
          </w:p>
          <w:p w14:paraId="5B293DED" w14:textId="77777777" w:rsidR="00BC4A0C" w:rsidRPr="00BC4A0C" w:rsidRDefault="00BC4A0C" w:rsidP="00AD5AED">
            <w:pPr>
              <w:rPr>
                <w:rFonts w:asciiTheme="majorHAnsi" w:hAnsiTheme="majorHAnsi" w:cstheme="majorHAnsi"/>
                <w:sz w:val="18"/>
                <w:szCs w:val="18"/>
              </w:rPr>
            </w:pPr>
          </w:p>
          <w:p w14:paraId="58399D44" w14:textId="77777777" w:rsidR="00BC4A0C" w:rsidRPr="00BC4A0C" w:rsidRDefault="00BC4A0C" w:rsidP="00AD5AED">
            <w:pPr>
              <w:rPr>
                <w:rFonts w:asciiTheme="majorHAnsi" w:hAnsiTheme="majorHAnsi" w:cstheme="majorHAnsi"/>
                <w:sz w:val="18"/>
                <w:szCs w:val="18"/>
              </w:rPr>
            </w:pPr>
          </w:p>
        </w:tc>
        <w:tc>
          <w:tcPr>
            <w:tcW w:w="3118" w:type="dxa"/>
          </w:tcPr>
          <w:p w14:paraId="35531052"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Rozhodnutí: námitky se zamítají.</w:t>
            </w:r>
          </w:p>
          <w:p w14:paraId="4EA5F2BA" w14:textId="77777777" w:rsidR="00BC4A0C" w:rsidRPr="00BC4A0C" w:rsidRDefault="00BC4A0C" w:rsidP="00AD5AED">
            <w:pPr>
              <w:rPr>
                <w:rFonts w:asciiTheme="majorHAnsi" w:hAnsiTheme="majorHAnsi" w:cstheme="majorHAnsi"/>
                <w:b/>
                <w:bCs/>
                <w:sz w:val="18"/>
                <w:szCs w:val="18"/>
              </w:rPr>
            </w:pPr>
          </w:p>
          <w:p w14:paraId="4F5DBAB6"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Odůvodnění:</w:t>
            </w:r>
          </w:p>
          <w:p w14:paraId="59D0BC98"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Podání bylo učiněno pouze mailem, bez elektronického podpisu a nebylo ve lhůtě do 5 dnů doplněno podle správního řádu § 37 odst. (2) a (4).</w:t>
            </w:r>
          </w:p>
          <w:p w14:paraId="37E0035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Námitky se netýkají věcí, které byly v návrhu územního plánu změněny po prvním veřejném projednání, ani se nedotýkají přímo vlastnických práv podatele.</w:t>
            </w:r>
          </w:p>
        </w:tc>
      </w:tr>
      <w:tr w:rsidR="00BC4A0C" w:rsidRPr="00BC4A0C" w14:paraId="5DB1CFA0" w14:textId="77777777" w:rsidTr="00BC4A0C">
        <w:tc>
          <w:tcPr>
            <w:tcW w:w="396" w:type="dxa"/>
          </w:tcPr>
          <w:p w14:paraId="1F8B9A2E"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lastRenderedPageBreak/>
              <w:t>6.</w:t>
            </w:r>
          </w:p>
        </w:tc>
        <w:tc>
          <w:tcPr>
            <w:tcW w:w="5695" w:type="dxa"/>
          </w:tcPr>
          <w:p w14:paraId="49A6A11D"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Ing. Daniela Vítovcová, Praha 5</w:t>
            </w:r>
          </w:p>
          <w:p w14:paraId="187FBD8A" w14:textId="77777777" w:rsidR="00BC4A0C" w:rsidRPr="00BC4A0C" w:rsidRDefault="00BC4A0C" w:rsidP="00AD5AED">
            <w:pPr>
              <w:rPr>
                <w:rFonts w:asciiTheme="majorHAnsi" w:hAnsiTheme="majorHAnsi" w:cstheme="majorHAnsi"/>
                <w:sz w:val="18"/>
                <w:szCs w:val="18"/>
              </w:rPr>
            </w:pPr>
          </w:p>
          <w:p w14:paraId="77970F1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Jsem vlastníkem pozemků parc. č. 828/14, 541, 545, 828/17, 828/11, 548/3, v katastrálním území Kostomlaty nad Labem v obci Kostomlaty nad Labem. Zmíněné nemovitosti pronajímám zemědělské společnosti pro intenzivní zemědělskou činnost. Jako vlastník pozemků dotčených návrhem řešení v souladu s ustanovením § 52 odst. 2 a 3 zákona č. 183/2006 Sb., stavební zákon, v platném znění, podávám proti návrhu územního plánu obce Kostomlaty nad Labem ze dne 5. 3. 2025 v zákonné lhůtě 7 dnů tímto následující námitky:</w:t>
            </w:r>
          </w:p>
          <w:p w14:paraId="792B4C9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Námitka se týká článku 6.2. odstavec (77) pododstavec d2. V článku jsou dotčena práva na umístění dočasného zařízení pro výrobu energie z obnovitelných zdrojů využívající energii slunečního záření s celkovým výkonem výrobny elektřiny větším než 50 kW.</w:t>
            </w:r>
          </w:p>
          <w:p w14:paraId="0D25DEF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Výše uvedené námitky odůvodňuji takto:</w:t>
            </w:r>
          </w:p>
          <w:p w14:paraId="00E6DCA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Společnost ČEZ vypracovala návrh na dočasné umístění součástí zařízení na výrobu elektrické energie za slunečního záření (fotovoltaické elektrárny, dále jen „FVE“) na části výše uvedených pozemků. Tento návrh jsem připravena akceptovat. V návrhu dočasného umístění FVE, který byl představen zastupitelstvu obce, byly přiblíženy konkrétní finanční i nefinanční benefity pro obyvatele obce. Dále byl podrobně vysvětlen veřejný zájem na výstavbě konkrétních zařízení na výrobu elektrické energie z obnovitelných zdrojů. Tyto stavby jsou nenahraditelné pro dodržení závazku o ukončení provozu elektráren na fosilní paliva, jakož i</w:t>
            </w:r>
          </w:p>
          <w:p w14:paraId="33AAE9DA"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dalších závazků, které pro Českou republiku, tedy i pro jednotlivé územně samosprávné celky, vyplývají z politiky Evropské unie o ochraně životního prostředí. Pozemků vhodných pro stavbu FVE je omezené množství, a proto, s ohledem na budoucnost, cítím, že je nezodpovědné a krátkozraké tento návrh nevyužít.</w:t>
            </w:r>
          </w:p>
          <w:p w14:paraId="3EDA101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Návrh společnosti ČEZ obsahuje i řešení pro citlivé zakomponování dočasné stavby do krajiny tak, aby působila co nejméně rušivě. Jako majitelka dotčených pozemků vítám možnost regenerace půdy a celého ekosystému, který by nebyl, po dobu fungování zařízení, využíván pro intenzivní zemědělství. Obec si navrhovaným zněním územního plánu do budoucna zcela uzavírá prostor umisťovat na vymezeném území tyto veřejně prospěšné stavby. Ty jsou přitom v souladu s veřejným zájmem na ochraně životního prostředí a evropskou politikou ochrany životního prostředí jedním z nejúčinnějších nástrojů výroby elektrické energie z obnovitelných zdrojů. Hodnocení dopadů konkrétních záměrů bude přitom nadále podléhat posouzení v rámci řízení o povolení konkrétních záměrů. Úprava, která FVE apriori a zcela plošně zakazuje, je i z tohoto důvodu nepřiměřená.</w:t>
            </w:r>
          </w:p>
          <w:p w14:paraId="4EA8E530"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Z výše uvedených důvodů se domnívám, že plošný zákaz pro umisťování FVE nepřiměřeně zasahuje do mého vlastnického práva. Stejně tak v návrhu územního plánu není dostatečně odůvodněn zásah do veřejného zájmu na výrobě elektrické energie z obnovitelných zdrojů. Proto navrhuji vyškrtnutí pododstavce d2 odstavce (77) článku 6.2. ve znění „stavby a zařízení pro výrobu energie z obnovitelných zdrojů využívající energii slunečního záření s celkovým elektrickým výkonem výrobny elektřiny nad 50 kW“.</w:t>
            </w:r>
          </w:p>
          <w:p w14:paraId="406D50E2" w14:textId="77777777" w:rsidR="00BC4A0C" w:rsidRPr="00BC4A0C" w:rsidRDefault="00BC4A0C" w:rsidP="00AD5AED">
            <w:pPr>
              <w:rPr>
                <w:rFonts w:asciiTheme="majorHAnsi" w:hAnsiTheme="majorHAnsi" w:cstheme="majorHAnsi"/>
                <w:sz w:val="18"/>
                <w:szCs w:val="18"/>
              </w:rPr>
            </w:pPr>
          </w:p>
        </w:tc>
        <w:tc>
          <w:tcPr>
            <w:tcW w:w="3118" w:type="dxa"/>
          </w:tcPr>
          <w:p w14:paraId="3CC4BDE7"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62B60B8D" w14:textId="77777777" w:rsidR="00BC4A0C" w:rsidRPr="00BC4A0C" w:rsidRDefault="00BC4A0C" w:rsidP="00AD5AED">
            <w:pPr>
              <w:rPr>
                <w:rFonts w:asciiTheme="majorHAnsi" w:hAnsiTheme="majorHAnsi" w:cstheme="majorHAnsi"/>
                <w:b/>
                <w:bCs/>
                <w:sz w:val="18"/>
                <w:szCs w:val="18"/>
              </w:rPr>
            </w:pPr>
          </w:p>
          <w:p w14:paraId="7CE608BF"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Odůvodnění:</w:t>
            </w:r>
          </w:p>
          <w:p w14:paraId="1FEA702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Na plochách pro zemědělství se omezuje velikost výrobny FVE s instalovaným výkonem větším než 50 kW z důvodu zamezení vzniku velkých FVE parků, které by narušily krajinný ráz a ovlivnily hlavní způsob využití, kterým je zemědělská výroba a pozemky ZPF.  </w:t>
            </w:r>
          </w:p>
          <w:p w14:paraId="7FDCC627"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Umístění staveb a zařízení pro výrobu elektrické energie z obnovitelných zdrojů jsou v dostatečné míře umožněny v ostatních zastavitelných funkčních plochách.</w:t>
            </w:r>
          </w:p>
          <w:p w14:paraId="53AAC565" w14:textId="77777777" w:rsidR="00BC4A0C" w:rsidRPr="00BC4A0C" w:rsidRDefault="00BC4A0C" w:rsidP="00AD5AED">
            <w:pPr>
              <w:rPr>
                <w:rFonts w:asciiTheme="majorHAnsi" w:hAnsiTheme="majorHAnsi" w:cstheme="majorHAnsi"/>
                <w:sz w:val="18"/>
                <w:szCs w:val="18"/>
              </w:rPr>
            </w:pPr>
          </w:p>
          <w:p w14:paraId="59639E03" w14:textId="77777777" w:rsidR="00BC4A0C" w:rsidRPr="00BC4A0C" w:rsidRDefault="00BC4A0C" w:rsidP="00AD5AED">
            <w:pPr>
              <w:rPr>
                <w:rFonts w:asciiTheme="majorHAnsi" w:hAnsiTheme="majorHAnsi" w:cstheme="majorHAnsi"/>
                <w:sz w:val="18"/>
                <w:szCs w:val="18"/>
              </w:rPr>
            </w:pPr>
          </w:p>
        </w:tc>
      </w:tr>
      <w:tr w:rsidR="00BC4A0C" w:rsidRPr="00BC4A0C" w14:paraId="4F87328A" w14:textId="77777777" w:rsidTr="00BC4A0C">
        <w:tc>
          <w:tcPr>
            <w:tcW w:w="396" w:type="dxa"/>
          </w:tcPr>
          <w:p w14:paraId="0977149B"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7.</w:t>
            </w:r>
          </w:p>
        </w:tc>
        <w:tc>
          <w:tcPr>
            <w:tcW w:w="5695" w:type="dxa"/>
          </w:tcPr>
          <w:p w14:paraId="385E2BDE"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Miroslava Zajanová, Kostomlaty, Lány 12</w:t>
            </w:r>
          </w:p>
          <w:p w14:paraId="0FC5A7E9" w14:textId="77777777" w:rsidR="00BC4A0C" w:rsidRPr="00BC4A0C" w:rsidRDefault="00BC4A0C" w:rsidP="00AD5AED">
            <w:pPr>
              <w:rPr>
                <w:rFonts w:asciiTheme="majorHAnsi" w:hAnsiTheme="majorHAnsi" w:cstheme="majorHAnsi"/>
                <w:sz w:val="18"/>
                <w:szCs w:val="18"/>
              </w:rPr>
            </w:pPr>
          </w:p>
          <w:p w14:paraId="2CC75B5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Pozemky dotčené námitkou: 276/10, 276/4, 278/6, 389/3</w:t>
            </w:r>
          </w:p>
          <w:p w14:paraId="77077C81"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Nesouhlasím s rozsahem a umístěním koridoru CNZ.KD1, konkrétně umístění přeložky III/3317 varianta sever. Přeložka je nevhodně umístěna a snižuje ekonomickou hodnotu mého pozemku. Omezuje také kvalitu pobývání na mém pozemku, rekreaci obyvatel a život zvířat. Omezuje možnost výstavby domu a v případě realizace přeložky zamezuje možnosti výstavby domu.</w:t>
            </w:r>
          </w:p>
          <w:p w14:paraId="75405CA4"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Odůvodnění námitky: dle vyjádření zastupitelů a projektanta na předchozím veřejném projednání, se severní varianta přeložky měla vyloučit. Zastupitelé </w:t>
            </w:r>
            <w:r w:rsidRPr="00BC4A0C">
              <w:rPr>
                <w:rFonts w:asciiTheme="majorHAnsi" w:hAnsiTheme="majorHAnsi" w:cstheme="majorHAnsi"/>
                <w:sz w:val="18"/>
                <w:szCs w:val="18"/>
              </w:rPr>
              <w:lastRenderedPageBreak/>
              <w:t>obce Kostomlaty nad Labem odhlasovali zrušení severní varianty přeložky III/3317. V současné době pod severní variantou probíhá stavba rodinného domu. Ponechání severní varianty by značně zkomplikovalo / znemožnilo například výstavbu garáže.</w:t>
            </w:r>
          </w:p>
        </w:tc>
        <w:tc>
          <w:tcPr>
            <w:tcW w:w="3118" w:type="dxa"/>
          </w:tcPr>
          <w:p w14:paraId="412F027A"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lastRenderedPageBreak/>
              <w:t>Rozhodnutí: Námitka se zamítá.</w:t>
            </w:r>
          </w:p>
          <w:p w14:paraId="437EE8BF" w14:textId="77777777" w:rsidR="00BC4A0C" w:rsidRPr="00BC4A0C" w:rsidRDefault="00BC4A0C" w:rsidP="00AD5AED">
            <w:pPr>
              <w:rPr>
                <w:rFonts w:asciiTheme="majorHAnsi" w:hAnsiTheme="majorHAnsi" w:cstheme="majorHAnsi"/>
                <w:b/>
                <w:bCs/>
                <w:sz w:val="18"/>
                <w:szCs w:val="18"/>
              </w:rPr>
            </w:pPr>
          </w:p>
          <w:p w14:paraId="76B3CCD6"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Odůvodnění:</w:t>
            </w:r>
          </w:p>
          <w:p w14:paraId="6AC62BB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Námitka se netýká změn, které byly v návrhu územního plánu provedeny po 1. veřejném projednání.</w:t>
            </w:r>
          </w:p>
        </w:tc>
      </w:tr>
      <w:tr w:rsidR="00BC4A0C" w:rsidRPr="00BC4A0C" w14:paraId="1A4303B1" w14:textId="77777777" w:rsidTr="00BC4A0C">
        <w:tc>
          <w:tcPr>
            <w:tcW w:w="396" w:type="dxa"/>
          </w:tcPr>
          <w:p w14:paraId="10AAC11C"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8.</w:t>
            </w:r>
          </w:p>
        </w:tc>
        <w:tc>
          <w:tcPr>
            <w:tcW w:w="5695" w:type="dxa"/>
          </w:tcPr>
          <w:p w14:paraId="01BF1502"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Ing Jiří Malypetr, Praha 4 – Chodov</w:t>
            </w:r>
          </w:p>
          <w:p w14:paraId="1A95AC4B" w14:textId="77777777" w:rsidR="00BC4A0C" w:rsidRPr="00BC4A0C" w:rsidRDefault="00BC4A0C" w:rsidP="00AD5AED">
            <w:pPr>
              <w:rPr>
                <w:rFonts w:asciiTheme="majorHAnsi" w:hAnsiTheme="majorHAnsi" w:cstheme="majorHAnsi"/>
                <w:sz w:val="18"/>
                <w:szCs w:val="18"/>
              </w:rPr>
            </w:pPr>
          </w:p>
          <w:p w14:paraId="7AFF866C"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Jsem vlastníkem pozemků parc. č. 751/20, 751/8, 751/6, 751/7, 954/5, 954/8 zapsaných na LV 981 v katastrálním území Kostomlaty nad Labem.</w:t>
            </w:r>
          </w:p>
          <w:p w14:paraId="37D4D186"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Námitka se týká článku 10 odstavec (87) textové části územního plánu s datem I/2025.</w:t>
            </w:r>
          </w:p>
          <w:p w14:paraId="7A76D7EB"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V návrhu pro opakované veřejné projednávání tohoto územního plánu (konané dne 5.3.2025) se vymezuje nová územní rezerva R.2 pro individuální bydlení. Naopak dříve vymezená územní rezerva R.1 pro individuální bydlení je uvedena jako neobsazená. Námitka se tedy týká změny pro územní rezervu R.1.</w:t>
            </w:r>
          </w:p>
          <w:p w14:paraId="3C465532"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 xml:space="preserve">Odůvodnění námitky: v návrhu územního plánu XI/2023 byla vymezena územní rezerva pro individuální bydlení R.1, která zahrnuje mj. i moje výše uvedené pozemky. Tato původně vymezená územní rezerva byla při projednávání autory představena jako nejlepší varianta pro rozvoj obce. Zdůvodnění bylo věcné a logické (dobrá využitelnost vzhledem k poloze, vhodná harmonizace tvaru obecní zástavby, zvýšená společenská poptávka po bydlení atd.). navrhovaná územní rezerva R.2 je naproti tomu odůvodněna toliko odkazem na historický územní plán z roku 2002. Podrobnější odůvodnění, proč ke změně vymezení polohy územní rezervy, nijak neobsahuje. V těchto souvislostech navrhuji ponechání </w:t>
            </w:r>
            <w:proofErr w:type="gramStart"/>
            <w:r w:rsidRPr="00BC4A0C">
              <w:rPr>
                <w:rFonts w:asciiTheme="majorHAnsi" w:hAnsiTheme="majorHAnsi" w:cstheme="majorHAnsi"/>
                <w:sz w:val="18"/>
                <w:szCs w:val="18"/>
              </w:rPr>
              <w:t>územní  rezervy</w:t>
            </w:r>
            <w:proofErr w:type="gramEnd"/>
            <w:r w:rsidRPr="00BC4A0C">
              <w:rPr>
                <w:rFonts w:asciiTheme="majorHAnsi" w:hAnsiTheme="majorHAnsi" w:cstheme="majorHAnsi"/>
                <w:sz w:val="18"/>
                <w:szCs w:val="18"/>
              </w:rPr>
              <w:t xml:space="preserve"> R.1 pro individuální bydlení tak, jak byla vymezena v předchozím návrhu územního plánu s datem XI/2023.</w:t>
            </w:r>
          </w:p>
        </w:tc>
        <w:tc>
          <w:tcPr>
            <w:tcW w:w="3118" w:type="dxa"/>
          </w:tcPr>
          <w:p w14:paraId="713F3EB2"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Rozhodnutí: Námitka se zamítá.</w:t>
            </w:r>
          </w:p>
          <w:p w14:paraId="22552335" w14:textId="77777777" w:rsidR="00BC4A0C" w:rsidRPr="00BC4A0C" w:rsidRDefault="00BC4A0C" w:rsidP="00AD5AED">
            <w:pPr>
              <w:rPr>
                <w:rFonts w:asciiTheme="majorHAnsi" w:hAnsiTheme="majorHAnsi" w:cstheme="majorHAnsi"/>
                <w:sz w:val="18"/>
                <w:szCs w:val="18"/>
              </w:rPr>
            </w:pPr>
          </w:p>
          <w:p w14:paraId="37347B80" w14:textId="77777777" w:rsidR="00BC4A0C" w:rsidRPr="00BC4A0C" w:rsidRDefault="00BC4A0C" w:rsidP="00AD5AED">
            <w:pPr>
              <w:rPr>
                <w:rFonts w:asciiTheme="majorHAnsi" w:hAnsiTheme="majorHAnsi" w:cstheme="majorHAnsi"/>
                <w:b/>
                <w:bCs/>
                <w:sz w:val="18"/>
                <w:szCs w:val="18"/>
              </w:rPr>
            </w:pPr>
            <w:r w:rsidRPr="00BC4A0C">
              <w:rPr>
                <w:rFonts w:asciiTheme="majorHAnsi" w:hAnsiTheme="majorHAnsi" w:cstheme="majorHAnsi"/>
                <w:b/>
                <w:bCs/>
                <w:sz w:val="18"/>
                <w:szCs w:val="18"/>
              </w:rPr>
              <w:t>Odůvodnění:</w:t>
            </w:r>
          </w:p>
          <w:p w14:paraId="7372AFC5" w14:textId="77777777" w:rsidR="00BC4A0C" w:rsidRPr="00BC4A0C" w:rsidRDefault="00BC4A0C" w:rsidP="00AD5AED">
            <w:pPr>
              <w:rPr>
                <w:rFonts w:asciiTheme="majorHAnsi" w:hAnsiTheme="majorHAnsi" w:cstheme="majorHAnsi"/>
                <w:sz w:val="18"/>
                <w:szCs w:val="18"/>
              </w:rPr>
            </w:pPr>
            <w:r w:rsidRPr="00BC4A0C">
              <w:rPr>
                <w:rFonts w:asciiTheme="majorHAnsi" w:hAnsiTheme="majorHAnsi" w:cstheme="majorHAnsi"/>
                <w:sz w:val="18"/>
                <w:szCs w:val="18"/>
              </w:rPr>
              <w:t>Přesunutí plochy územní rezervy z východní části území na západ (dle současného územního plánu) vychází z požadavku zastupitelstva obce. Vzhledem k tomu, že se jedná o plochu územní rezervy, její využití je podmíněno vydáním změny územního plánu. Vymezením plochy územní rezervy nevzniká právo na stavební využití pozemků, a tedy se nejedná ani o zásah do práv vlastníka. Rozhodnutí o budoucím rozvoji obce je dle § 27 stavebního zákona v kompetenci samosprávy.</w:t>
            </w:r>
          </w:p>
          <w:p w14:paraId="11CE0358" w14:textId="77777777" w:rsidR="00BC4A0C" w:rsidRPr="00BC4A0C" w:rsidRDefault="00BC4A0C" w:rsidP="00AD5AED">
            <w:pPr>
              <w:rPr>
                <w:rFonts w:asciiTheme="majorHAnsi" w:hAnsiTheme="majorHAnsi" w:cstheme="majorHAnsi"/>
                <w:sz w:val="18"/>
                <w:szCs w:val="18"/>
              </w:rPr>
            </w:pPr>
          </w:p>
          <w:p w14:paraId="2762F44D" w14:textId="77777777" w:rsidR="00BC4A0C" w:rsidRPr="00BC4A0C" w:rsidRDefault="00BC4A0C" w:rsidP="00AD5AED">
            <w:pPr>
              <w:rPr>
                <w:rFonts w:asciiTheme="majorHAnsi" w:hAnsiTheme="majorHAnsi" w:cstheme="majorHAnsi"/>
                <w:sz w:val="18"/>
                <w:szCs w:val="18"/>
              </w:rPr>
            </w:pPr>
          </w:p>
        </w:tc>
      </w:tr>
    </w:tbl>
    <w:p w14:paraId="45A71DF2" w14:textId="77777777" w:rsidR="00BC4A0C" w:rsidRPr="006070EA" w:rsidRDefault="00BC4A0C" w:rsidP="00300530">
      <w:pPr>
        <w:spacing w:after="120" w:line="240" w:lineRule="auto"/>
        <w:ind w:firstLine="709"/>
        <w:jc w:val="both"/>
        <w:rPr>
          <w:rFonts w:asciiTheme="majorHAnsi" w:hAnsiTheme="majorHAnsi" w:cstheme="majorHAnsi"/>
          <w:color w:val="4472C4" w:themeColor="accent5"/>
          <w:sz w:val="18"/>
          <w:szCs w:val="20"/>
        </w:rPr>
      </w:pPr>
    </w:p>
    <w:p w14:paraId="25D7BD1F" w14:textId="77777777" w:rsidR="003716AF" w:rsidRPr="006070EA" w:rsidRDefault="003716AF" w:rsidP="00487210">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490" w:name="_Toc424119889"/>
      <w:bookmarkStart w:id="491" w:name="_Toc204678247"/>
      <w:r w:rsidRPr="006070EA">
        <w:rPr>
          <w:rFonts w:asciiTheme="majorHAnsi" w:hAnsiTheme="majorHAnsi" w:cstheme="majorHAnsi"/>
          <w:b/>
          <w:sz w:val="24"/>
          <w:szCs w:val="28"/>
        </w:rPr>
        <w:t>VYHODNOCENÍ PŘIPOMÍNEK</w:t>
      </w:r>
      <w:bookmarkEnd w:id="490"/>
      <w:bookmarkEnd w:id="491"/>
    </w:p>
    <w:p w14:paraId="607F216E" w14:textId="77777777" w:rsidR="003716AF" w:rsidRPr="006070EA" w:rsidRDefault="003716AF" w:rsidP="00487210">
      <w:pPr>
        <w:spacing w:after="120" w:line="240" w:lineRule="auto"/>
        <w:ind w:firstLine="709"/>
        <w:rPr>
          <w:rFonts w:asciiTheme="majorHAnsi" w:hAnsiTheme="majorHAnsi" w:cstheme="majorHAnsi"/>
          <w:i/>
          <w:sz w:val="18"/>
          <w:szCs w:val="20"/>
        </w:rPr>
      </w:pPr>
      <w:r w:rsidRPr="006070EA">
        <w:rPr>
          <w:rFonts w:asciiTheme="majorHAnsi" w:hAnsiTheme="majorHAnsi" w:cstheme="majorHAnsi"/>
          <w:i/>
          <w:sz w:val="18"/>
          <w:szCs w:val="20"/>
        </w:rPr>
        <w:t>Zákon č. 500/2004 Sb., správní řád, § 172</w:t>
      </w:r>
    </w:p>
    <w:p w14:paraId="08326AA2" w14:textId="77777777" w:rsidR="003716AF" w:rsidRPr="006070EA" w:rsidRDefault="003716AF" w:rsidP="00487210">
      <w:pPr>
        <w:spacing w:after="120" w:line="240" w:lineRule="auto"/>
        <w:ind w:left="709"/>
        <w:rPr>
          <w:rFonts w:asciiTheme="majorHAnsi" w:hAnsiTheme="majorHAnsi" w:cstheme="majorHAnsi"/>
          <w:b/>
          <w:i/>
          <w:sz w:val="18"/>
          <w:szCs w:val="20"/>
        </w:rPr>
      </w:pPr>
      <w:r w:rsidRPr="006070EA">
        <w:rPr>
          <w:rFonts w:asciiTheme="majorHAnsi" w:hAnsiTheme="majorHAnsi" w:cstheme="majorHAnsi"/>
          <w:b/>
          <w:i/>
          <w:sz w:val="18"/>
          <w:szCs w:val="20"/>
        </w:rPr>
        <w:t>Zpracovává pořizovatel.</w:t>
      </w:r>
    </w:p>
    <w:p w14:paraId="29E0B787" w14:textId="77777777" w:rsidR="00CD657D" w:rsidRPr="00CD657D" w:rsidRDefault="00CD657D" w:rsidP="00CD657D">
      <w:pPr>
        <w:spacing w:after="120" w:line="240" w:lineRule="auto"/>
        <w:ind w:firstLine="709"/>
        <w:jc w:val="both"/>
        <w:rPr>
          <w:rFonts w:asciiTheme="majorHAnsi" w:hAnsiTheme="majorHAnsi" w:cstheme="majorHAnsi"/>
          <w:sz w:val="18"/>
          <w:szCs w:val="20"/>
        </w:rPr>
      </w:pPr>
      <w:r w:rsidRPr="00CD657D">
        <w:rPr>
          <w:rFonts w:asciiTheme="majorHAnsi" w:hAnsiTheme="majorHAnsi" w:cstheme="majorHAnsi"/>
          <w:sz w:val="18"/>
          <w:szCs w:val="20"/>
        </w:rPr>
        <w:t>Připomínky podané ke společnému jednání:</w:t>
      </w:r>
    </w:p>
    <w:tbl>
      <w:tblPr>
        <w:tblW w:w="9240" w:type="dxa"/>
        <w:tblInd w:w="-1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103"/>
        <w:gridCol w:w="3137"/>
      </w:tblGrid>
      <w:tr w:rsidR="00CD657D" w:rsidRPr="00BC4A0C" w14:paraId="14555C9F" w14:textId="77777777" w:rsidTr="00BC4A0C">
        <w:trPr>
          <w:trHeight w:val="135"/>
          <w:tblHeader/>
        </w:trPr>
        <w:tc>
          <w:tcPr>
            <w:tcW w:w="6103" w:type="dxa"/>
          </w:tcPr>
          <w:p w14:paraId="2FE98BF5" w14:textId="77777777" w:rsidR="00CD657D" w:rsidRPr="00BC4A0C" w:rsidRDefault="00CD657D" w:rsidP="00AD5AED">
            <w:pPr>
              <w:rPr>
                <w:rFonts w:asciiTheme="majorHAnsi" w:hAnsiTheme="majorHAnsi" w:cstheme="majorHAnsi"/>
                <w:b/>
                <w:bCs/>
                <w:sz w:val="18"/>
                <w:szCs w:val="18"/>
              </w:rPr>
            </w:pPr>
            <w:r w:rsidRPr="00BC4A0C">
              <w:rPr>
                <w:rFonts w:asciiTheme="majorHAnsi" w:hAnsiTheme="majorHAnsi" w:cstheme="majorHAnsi"/>
                <w:b/>
                <w:bCs/>
                <w:sz w:val="18"/>
                <w:szCs w:val="18"/>
              </w:rPr>
              <w:t>Podatel / připomínka</w:t>
            </w:r>
          </w:p>
        </w:tc>
        <w:tc>
          <w:tcPr>
            <w:tcW w:w="3137" w:type="dxa"/>
          </w:tcPr>
          <w:p w14:paraId="2DAB0115" w14:textId="77777777" w:rsidR="00CD657D" w:rsidRPr="00BC4A0C" w:rsidRDefault="00CD657D" w:rsidP="00AD5AED">
            <w:pPr>
              <w:rPr>
                <w:rFonts w:asciiTheme="majorHAnsi" w:hAnsiTheme="majorHAnsi" w:cstheme="majorHAnsi"/>
                <w:b/>
                <w:bCs/>
                <w:sz w:val="18"/>
                <w:szCs w:val="18"/>
              </w:rPr>
            </w:pPr>
            <w:r w:rsidRPr="00BC4A0C">
              <w:rPr>
                <w:rFonts w:asciiTheme="majorHAnsi" w:hAnsiTheme="majorHAnsi" w:cstheme="majorHAnsi"/>
                <w:b/>
                <w:bCs/>
                <w:sz w:val="18"/>
                <w:szCs w:val="18"/>
              </w:rPr>
              <w:t>Vypořádání</w:t>
            </w:r>
          </w:p>
        </w:tc>
      </w:tr>
      <w:tr w:rsidR="00CD657D" w:rsidRPr="00CD657D" w14:paraId="49966A59" w14:textId="77777777" w:rsidTr="00AD5AED">
        <w:trPr>
          <w:trHeight w:val="135"/>
        </w:trPr>
        <w:tc>
          <w:tcPr>
            <w:tcW w:w="6103" w:type="dxa"/>
          </w:tcPr>
          <w:p w14:paraId="29CEF902"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b/>
                <w:bCs/>
                <w:sz w:val="18"/>
                <w:szCs w:val="18"/>
              </w:rPr>
              <w:t>Mgr. Petra Dobiášová, Dětská 359, Milovice n. Labem</w:t>
            </w:r>
            <w:r w:rsidRPr="00CD657D">
              <w:rPr>
                <w:rFonts w:asciiTheme="majorHAnsi" w:hAnsiTheme="majorHAnsi" w:cstheme="majorHAnsi"/>
                <w:sz w:val="18"/>
                <w:szCs w:val="18"/>
              </w:rPr>
              <w:t xml:space="preserve"> Pozemky parc. č. 894/24, 894/36, 952/5, využití pozemků pro rekreaci, nebo pro stavby pro bydlení</w:t>
            </w:r>
          </w:p>
        </w:tc>
        <w:tc>
          <w:tcPr>
            <w:tcW w:w="3137" w:type="dxa"/>
          </w:tcPr>
          <w:p w14:paraId="043392E1"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Zamítnuto, viz námitka č. VI.</w:t>
            </w:r>
          </w:p>
        </w:tc>
      </w:tr>
      <w:tr w:rsidR="00CD657D" w:rsidRPr="00CD657D" w14:paraId="66992518" w14:textId="77777777" w:rsidTr="00AD5AED">
        <w:trPr>
          <w:trHeight w:val="135"/>
        </w:trPr>
        <w:tc>
          <w:tcPr>
            <w:tcW w:w="6103" w:type="dxa"/>
          </w:tcPr>
          <w:p w14:paraId="2A7AC368" w14:textId="77777777" w:rsidR="00CD657D" w:rsidRPr="00CD657D" w:rsidRDefault="00CD657D" w:rsidP="00AD5AED">
            <w:pPr>
              <w:rPr>
                <w:rFonts w:asciiTheme="majorHAnsi" w:hAnsiTheme="majorHAnsi" w:cstheme="majorHAnsi"/>
                <w:b/>
                <w:bCs/>
                <w:sz w:val="18"/>
                <w:szCs w:val="18"/>
              </w:rPr>
            </w:pPr>
            <w:r w:rsidRPr="00CD657D">
              <w:rPr>
                <w:rFonts w:asciiTheme="majorHAnsi" w:hAnsiTheme="majorHAnsi" w:cstheme="majorHAnsi"/>
                <w:b/>
                <w:bCs/>
                <w:sz w:val="18"/>
                <w:szCs w:val="18"/>
              </w:rPr>
              <w:t>Bc. Martin Mejzr, Spojovací 1467/25, Čelákovice</w:t>
            </w:r>
          </w:p>
          <w:p w14:paraId="42A735E9"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Nesouhlasí s umístěním koridoru KDZ1 na jeho pozemku parc. č. 894/21 v k. ú Kostomlaty nad Labem, požaduje zařazení do plochy BI</w:t>
            </w:r>
          </w:p>
        </w:tc>
        <w:tc>
          <w:tcPr>
            <w:tcW w:w="3137" w:type="dxa"/>
          </w:tcPr>
          <w:p w14:paraId="23CC1046"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 xml:space="preserve">Zamítnuto, viz námitka </w:t>
            </w:r>
            <w:proofErr w:type="gramStart"/>
            <w:r w:rsidRPr="00CD657D">
              <w:rPr>
                <w:rFonts w:asciiTheme="majorHAnsi" w:hAnsiTheme="majorHAnsi" w:cstheme="majorHAnsi"/>
                <w:sz w:val="18"/>
                <w:szCs w:val="18"/>
              </w:rPr>
              <w:t>č.I</w:t>
            </w:r>
            <w:proofErr w:type="gramEnd"/>
          </w:p>
        </w:tc>
      </w:tr>
      <w:tr w:rsidR="00CD657D" w:rsidRPr="00CD657D" w14:paraId="4511BB54" w14:textId="77777777" w:rsidTr="00AD5AED">
        <w:trPr>
          <w:trHeight w:val="135"/>
        </w:trPr>
        <w:tc>
          <w:tcPr>
            <w:tcW w:w="6103" w:type="dxa"/>
          </w:tcPr>
          <w:p w14:paraId="1C30F77E" w14:textId="77777777" w:rsidR="00CD657D" w:rsidRPr="00CD657D" w:rsidRDefault="00CD657D" w:rsidP="00AD5AED">
            <w:pPr>
              <w:rPr>
                <w:rFonts w:asciiTheme="majorHAnsi" w:hAnsiTheme="majorHAnsi" w:cstheme="majorHAnsi"/>
                <w:b/>
                <w:bCs/>
                <w:sz w:val="18"/>
                <w:szCs w:val="18"/>
              </w:rPr>
            </w:pPr>
            <w:r w:rsidRPr="00CD657D">
              <w:rPr>
                <w:rFonts w:asciiTheme="majorHAnsi" w:hAnsiTheme="majorHAnsi" w:cstheme="majorHAnsi"/>
                <w:b/>
                <w:bCs/>
                <w:sz w:val="18"/>
                <w:szCs w:val="18"/>
              </w:rPr>
              <w:t>Stanislava Bártová, Kostomlaty nad Labem</w:t>
            </w:r>
          </w:p>
          <w:p w14:paraId="1D935439"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Nesouhlasí s umístěním plochy VP na části pozemku parc. č. 119 v k. ú. KnL, požaduje celý jako plochu BI.</w:t>
            </w:r>
          </w:p>
        </w:tc>
        <w:tc>
          <w:tcPr>
            <w:tcW w:w="3137" w:type="dxa"/>
          </w:tcPr>
          <w:p w14:paraId="3812D212"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Připomínce se vyhovuje, celý pozemek je vyznačen jako stabilizovaná plocha BV, jeho severní část však zůstává v koridoru KDZ1 a v ochranném pásmu železnice.</w:t>
            </w:r>
          </w:p>
        </w:tc>
      </w:tr>
      <w:tr w:rsidR="00CD657D" w:rsidRPr="00CD657D" w14:paraId="6CF5A6AE" w14:textId="77777777" w:rsidTr="00AD5AED">
        <w:trPr>
          <w:trHeight w:val="135"/>
        </w:trPr>
        <w:tc>
          <w:tcPr>
            <w:tcW w:w="6103" w:type="dxa"/>
          </w:tcPr>
          <w:p w14:paraId="544C6799" w14:textId="77777777" w:rsidR="00CD657D" w:rsidRPr="00CD657D" w:rsidRDefault="00CD657D" w:rsidP="00AD5AED">
            <w:pPr>
              <w:rPr>
                <w:rFonts w:asciiTheme="majorHAnsi" w:hAnsiTheme="majorHAnsi" w:cstheme="majorHAnsi"/>
                <w:b/>
                <w:bCs/>
                <w:sz w:val="18"/>
                <w:szCs w:val="18"/>
              </w:rPr>
            </w:pPr>
            <w:r w:rsidRPr="00CD657D">
              <w:rPr>
                <w:rFonts w:asciiTheme="majorHAnsi" w:hAnsiTheme="majorHAnsi" w:cstheme="majorHAnsi"/>
                <w:b/>
                <w:bCs/>
                <w:sz w:val="18"/>
                <w:szCs w:val="18"/>
              </w:rPr>
              <w:t>Ivana Kvasničková, Na Zemské stezce 474, Lysá nad Labem.</w:t>
            </w:r>
          </w:p>
          <w:p w14:paraId="122F2982"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Připomínka shodná s námitkou č. V. k návrhu ÚP pro veřejné projednání.</w:t>
            </w:r>
          </w:p>
        </w:tc>
        <w:tc>
          <w:tcPr>
            <w:tcW w:w="3137" w:type="dxa"/>
          </w:tcPr>
          <w:p w14:paraId="36581A4C"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Zamítnuto, odůvodnění viz. Námitka č.I.</w:t>
            </w:r>
          </w:p>
        </w:tc>
      </w:tr>
      <w:tr w:rsidR="00CD657D" w:rsidRPr="00CD657D" w14:paraId="4523CC4D" w14:textId="77777777" w:rsidTr="00AD5AED">
        <w:trPr>
          <w:trHeight w:val="135"/>
        </w:trPr>
        <w:tc>
          <w:tcPr>
            <w:tcW w:w="6103" w:type="dxa"/>
          </w:tcPr>
          <w:p w14:paraId="27084F95" w14:textId="77777777" w:rsidR="00CD657D" w:rsidRPr="00CD657D" w:rsidRDefault="00CD657D" w:rsidP="00AD5AED">
            <w:pPr>
              <w:rPr>
                <w:rFonts w:asciiTheme="majorHAnsi" w:hAnsiTheme="majorHAnsi" w:cstheme="majorHAnsi"/>
                <w:b/>
                <w:bCs/>
                <w:sz w:val="18"/>
                <w:szCs w:val="18"/>
              </w:rPr>
            </w:pPr>
            <w:r w:rsidRPr="00CD657D">
              <w:rPr>
                <w:rFonts w:asciiTheme="majorHAnsi" w:hAnsiTheme="majorHAnsi" w:cstheme="majorHAnsi"/>
                <w:b/>
                <w:bCs/>
                <w:sz w:val="18"/>
                <w:szCs w:val="18"/>
              </w:rPr>
              <w:t>Miroslava Zajanová, Lány 12</w:t>
            </w:r>
          </w:p>
          <w:p w14:paraId="04E1D00A"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Nesouhlasí s vymezením koridoru KDZ na pozemku parc. č. 276/11 a 276/10 v k. ú. KnL, nesouhlas s šířkou koridoru.</w:t>
            </w:r>
          </w:p>
        </w:tc>
        <w:tc>
          <w:tcPr>
            <w:tcW w:w="3137" w:type="dxa"/>
          </w:tcPr>
          <w:p w14:paraId="65F6B8FE"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Zamítnuto, odůvodnění viz námitka č.I.</w:t>
            </w:r>
          </w:p>
        </w:tc>
      </w:tr>
      <w:tr w:rsidR="00CD657D" w:rsidRPr="00CD657D" w14:paraId="0531DD90" w14:textId="77777777" w:rsidTr="00AD5AED">
        <w:trPr>
          <w:trHeight w:val="135"/>
        </w:trPr>
        <w:tc>
          <w:tcPr>
            <w:tcW w:w="6103" w:type="dxa"/>
          </w:tcPr>
          <w:p w14:paraId="0961929F"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b/>
                <w:bCs/>
                <w:sz w:val="18"/>
                <w:szCs w:val="18"/>
              </w:rPr>
              <w:t>Jakub Zajan, Lány 12</w:t>
            </w:r>
            <w:r w:rsidRPr="00CD657D">
              <w:rPr>
                <w:rFonts w:asciiTheme="majorHAnsi" w:hAnsiTheme="majorHAnsi" w:cstheme="majorHAnsi"/>
                <w:sz w:val="18"/>
                <w:szCs w:val="18"/>
              </w:rPr>
              <w:t xml:space="preserve"> </w:t>
            </w:r>
          </w:p>
          <w:p w14:paraId="7F429FC5" w14:textId="77777777" w:rsidR="00CD657D" w:rsidRPr="00CD657D" w:rsidRDefault="00CD657D" w:rsidP="00AD5AED">
            <w:pPr>
              <w:rPr>
                <w:rFonts w:asciiTheme="majorHAnsi" w:hAnsiTheme="majorHAnsi" w:cstheme="majorHAnsi"/>
                <w:b/>
                <w:bCs/>
                <w:sz w:val="18"/>
                <w:szCs w:val="18"/>
              </w:rPr>
            </w:pPr>
            <w:r w:rsidRPr="00CD657D">
              <w:rPr>
                <w:rFonts w:asciiTheme="majorHAnsi" w:hAnsiTheme="majorHAnsi" w:cstheme="majorHAnsi"/>
                <w:sz w:val="18"/>
                <w:szCs w:val="18"/>
              </w:rPr>
              <w:lastRenderedPageBreak/>
              <w:t>Nesouhlasí s vymezením koridoru KDZ na pozemku parc. č. 276/12 v k. ú. KnL, nesouhlas s šířkou koridoru.</w:t>
            </w:r>
          </w:p>
        </w:tc>
        <w:tc>
          <w:tcPr>
            <w:tcW w:w="3137" w:type="dxa"/>
          </w:tcPr>
          <w:p w14:paraId="39F849BE"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lastRenderedPageBreak/>
              <w:t>Zamítnuto, odůvodnění viz námitka č.I.</w:t>
            </w:r>
          </w:p>
        </w:tc>
      </w:tr>
      <w:tr w:rsidR="00CD657D" w:rsidRPr="00CD657D" w14:paraId="05BF652C" w14:textId="77777777" w:rsidTr="00AD5AED">
        <w:trPr>
          <w:trHeight w:val="135"/>
        </w:trPr>
        <w:tc>
          <w:tcPr>
            <w:tcW w:w="6103" w:type="dxa"/>
          </w:tcPr>
          <w:p w14:paraId="650D8120" w14:textId="77777777" w:rsidR="00CD657D" w:rsidRPr="00CD657D" w:rsidRDefault="00CD657D" w:rsidP="00AD5AED">
            <w:pPr>
              <w:rPr>
                <w:rFonts w:asciiTheme="majorHAnsi" w:hAnsiTheme="majorHAnsi" w:cstheme="majorHAnsi"/>
                <w:b/>
                <w:bCs/>
                <w:sz w:val="18"/>
                <w:szCs w:val="18"/>
              </w:rPr>
            </w:pPr>
            <w:r w:rsidRPr="00CD657D">
              <w:rPr>
                <w:rFonts w:asciiTheme="majorHAnsi" w:hAnsiTheme="majorHAnsi" w:cstheme="majorHAnsi"/>
                <w:b/>
                <w:bCs/>
                <w:sz w:val="18"/>
                <w:szCs w:val="18"/>
              </w:rPr>
              <w:t>Hrstková Edita, Kaštanová 919/23, Olomouc</w:t>
            </w:r>
          </w:p>
          <w:p w14:paraId="521FA215"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 xml:space="preserve">Nesouhlasí s vymezením zastavitelných ploch Z01 – Z05 a Z16 – Z19, z důvodu záboru ZPF a zásahu do krajiny. </w:t>
            </w:r>
          </w:p>
        </w:tc>
        <w:tc>
          <w:tcPr>
            <w:tcW w:w="3137" w:type="dxa"/>
          </w:tcPr>
          <w:p w14:paraId="2299EA54"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Z návrhu byly vypuštěny navržené zastavitelné plochy Z01, Z02 a Z05, z důvodu omezení velikosti zastavitelných ploch pro bydlení. Plochy Z03, Z04 a Z16 – Z19 byly projednány a odsouhlaseny orgánem ochrany ZPF a jsou v návrhu ponechány.</w:t>
            </w:r>
          </w:p>
        </w:tc>
      </w:tr>
      <w:tr w:rsidR="00CD657D" w:rsidRPr="00CD657D" w14:paraId="71706214" w14:textId="77777777" w:rsidTr="00AD5AED">
        <w:trPr>
          <w:trHeight w:val="135"/>
        </w:trPr>
        <w:tc>
          <w:tcPr>
            <w:tcW w:w="6103" w:type="dxa"/>
          </w:tcPr>
          <w:p w14:paraId="1A98F57F" w14:textId="77777777" w:rsidR="00CD657D" w:rsidRPr="00CD657D" w:rsidRDefault="00CD657D" w:rsidP="00AD5AED">
            <w:pPr>
              <w:spacing w:after="0"/>
              <w:rPr>
                <w:rFonts w:asciiTheme="majorHAnsi" w:hAnsiTheme="majorHAnsi" w:cstheme="majorHAnsi"/>
                <w:b/>
                <w:bCs/>
                <w:sz w:val="18"/>
                <w:szCs w:val="18"/>
              </w:rPr>
            </w:pPr>
            <w:r w:rsidRPr="00CD657D">
              <w:rPr>
                <w:rFonts w:asciiTheme="majorHAnsi" w:hAnsiTheme="majorHAnsi" w:cstheme="majorHAnsi"/>
                <w:b/>
                <w:bCs/>
                <w:sz w:val="18"/>
                <w:szCs w:val="18"/>
              </w:rPr>
              <w:t xml:space="preserve">Martin </w:t>
            </w:r>
            <w:proofErr w:type="gramStart"/>
            <w:r w:rsidRPr="00CD657D">
              <w:rPr>
                <w:rFonts w:asciiTheme="majorHAnsi" w:hAnsiTheme="majorHAnsi" w:cstheme="majorHAnsi"/>
                <w:b/>
                <w:bCs/>
                <w:sz w:val="18"/>
                <w:szCs w:val="18"/>
              </w:rPr>
              <w:t>Ilko,Vápensko</w:t>
            </w:r>
            <w:proofErr w:type="gramEnd"/>
            <w:r w:rsidRPr="00CD657D">
              <w:rPr>
                <w:rFonts w:asciiTheme="majorHAnsi" w:hAnsiTheme="majorHAnsi" w:cstheme="majorHAnsi"/>
                <w:b/>
                <w:bCs/>
                <w:sz w:val="18"/>
                <w:szCs w:val="18"/>
              </w:rPr>
              <w:t xml:space="preserve"> 30,  </w:t>
            </w:r>
          </w:p>
          <w:p w14:paraId="790EB890" w14:textId="77777777" w:rsidR="00CD657D" w:rsidRPr="00CD657D" w:rsidRDefault="00CD657D" w:rsidP="00AD5AED">
            <w:pPr>
              <w:spacing w:after="0"/>
              <w:rPr>
                <w:rFonts w:asciiTheme="majorHAnsi" w:hAnsiTheme="majorHAnsi" w:cstheme="majorHAnsi"/>
                <w:b/>
                <w:bCs/>
                <w:sz w:val="18"/>
                <w:szCs w:val="18"/>
              </w:rPr>
            </w:pPr>
            <w:r w:rsidRPr="00CD657D">
              <w:rPr>
                <w:rFonts w:asciiTheme="majorHAnsi" w:hAnsiTheme="majorHAnsi" w:cstheme="majorHAnsi"/>
                <w:b/>
                <w:bCs/>
                <w:sz w:val="18"/>
                <w:szCs w:val="18"/>
              </w:rPr>
              <w:t xml:space="preserve">Ladislava Ilková, Sídliště 1426, Lysá nad Labem </w:t>
            </w:r>
          </w:p>
          <w:p w14:paraId="44CB6BB1" w14:textId="77777777" w:rsidR="00CD657D" w:rsidRPr="00CD657D" w:rsidRDefault="00CD657D" w:rsidP="00AD5AED">
            <w:pPr>
              <w:spacing w:after="0"/>
              <w:rPr>
                <w:rFonts w:asciiTheme="majorHAnsi" w:hAnsiTheme="majorHAnsi" w:cstheme="majorHAnsi"/>
                <w:b/>
                <w:bCs/>
                <w:sz w:val="18"/>
                <w:szCs w:val="18"/>
              </w:rPr>
            </w:pPr>
          </w:p>
          <w:p w14:paraId="4AEF370C" w14:textId="77777777" w:rsidR="00CD657D" w:rsidRPr="00CD657D" w:rsidRDefault="00CD657D" w:rsidP="00CD657D">
            <w:pPr>
              <w:pStyle w:val="Odstavecseseznamem"/>
              <w:numPr>
                <w:ilvl w:val="0"/>
                <w:numId w:val="48"/>
              </w:numPr>
              <w:rPr>
                <w:rFonts w:asciiTheme="majorHAnsi" w:hAnsiTheme="majorHAnsi" w:cstheme="majorHAnsi"/>
                <w:sz w:val="18"/>
                <w:szCs w:val="18"/>
              </w:rPr>
            </w:pPr>
            <w:r w:rsidRPr="00CD657D">
              <w:rPr>
                <w:rFonts w:asciiTheme="majorHAnsi" w:hAnsiTheme="majorHAnsi" w:cstheme="majorHAnsi"/>
                <w:sz w:val="18"/>
                <w:szCs w:val="18"/>
              </w:rPr>
              <w:t>Požadavek upravení regulačních podmínek v textové části ÚP, u ploch SV, doplnit formulaci „rodinné bydlení s užitkovými zahradami a chovem drobného domácího zvířectva.</w:t>
            </w:r>
          </w:p>
          <w:p w14:paraId="561FA7B7" w14:textId="77777777" w:rsidR="00CD657D" w:rsidRPr="00CD657D" w:rsidRDefault="00CD657D" w:rsidP="00CD657D">
            <w:pPr>
              <w:pStyle w:val="Odstavecseseznamem"/>
              <w:numPr>
                <w:ilvl w:val="0"/>
                <w:numId w:val="48"/>
              </w:numPr>
              <w:rPr>
                <w:rFonts w:asciiTheme="majorHAnsi" w:hAnsiTheme="majorHAnsi" w:cstheme="majorHAnsi"/>
                <w:sz w:val="18"/>
                <w:szCs w:val="18"/>
              </w:rPr>
            </w:pPr>
            <w:r w:rsidRPr="00CD657D">
              <w:rPr>
                <w:rFonts w:asciiTheme="majorHAnsi" w:hAnsiTheme="majorHAnsi" w:cstheme="majorHAnsi"/>
                <w:sz w:val="18"/>
                <w:szCs w:val="18"/>
              </w:rPr>
              <w:t>Nesouhlas se zařazením pozemků parc. č. 312/2 a 316/5 a 313 v k ú Hronětice do zastavitelné plochy.</w:t>
            </w:r>
          </w:p>
          <w:p w14:paraId="177207F3" w14:textId="77777777" w:rsidR="00CD657D" w:rsidRPr="00CD657D" w:rsidRDefault="00CD657D" w:rsidP="00AD5AED">
            <w:pPr>
              <w:pStyle w:val="Odstavecseseznamem"/>
              <w:ind w:left="360"/>
              <w:rPr>
                <w:rFonts w:asciiTheme="majorHAnsi" w:hAnsiTheme="majorHAnsi" w:cstheme="majorHAnsi"/>
                <w:sz w:val="18"/>
                <w:szCs w:val="18"/>
              </w:rPr>
            </w:pPr>
          </w:p>
        </w:tc>
        <w:tc>
          <w:tcPr>
            <w:tcW w:w="3137" w:type="dxa"/>
          </w:tcPr>
          <w:p w14:paraId="0CA7C168" w14:textId="77777777" w:rsidR="00CD657D" w:rsidRPr="00CD657D" w:rsidRDefault="00CD657D" w:rsidP="00AD5AED">
            <w:pPr>
              <w:spacing w:after="0"/>
              <w:rPr>
                <w:rFonts w:asciiTheme="majorHAnsi" w:hAnsiTheme="majorHAnsi" w:cstheme="majorHAnsi"/>
                <w:sz w:val="18"/>
                <w:szCs w:val="18"/>
              </w:rPr>
            </w:pPr>
            <w:r w:rsidRPr="00CD657D">
              <w:rPr>
                <w:rFonts w:asciiTheme="majorHAnsi" w:hAnsiTheme="majorHAnsi" w:cstheme="majorHAnsi"/>
                <w:sz w:val="18"/>
                <w:szCs w:val="18"/>
              </w:rPr>
              <w:t>Zamítnuto.</w:t>
            </w:r>
          </w:p>
          <w:p w14:paraId="1AB37B3D" w14:textId="77777777" w:rsidR="00CD657D" w:rsidRPr="00CD657D" w:rsidRDefault="00CD657D" w:rsidP="00CD657D">
            <w:pPr>
              <w:pStyle w:val="Odstavecseseznamem"/>
              <w:numPr>
                <w:ilvl w:val="0"/>
                <w:numId w:val="49"/>
              </w:numPr>
              <w:spacing w:after="0"/>
              <w:rPr>
                <w:rFonts w:asciiTheme="majorHAnsi" w:hAnsiTheme="majorHAnsi" w:cstheme="majorHAnsi"/>
                <w:sz w:val="18"/>
                <w:szCs w:val="18"/>
              </w:rPr>
            </w:pPr>
            <w:r w:rsidRPr="00CD657D">
              <w:rPr>
                <w:rFonts w:asciiTheme="majorHAnsi" w:hAnsiTheme="majorHAnsi" w:cstheme="majorHAnsi"/>
                <w:sz w:val="18"/>
                <w:szCs w:val="18"/>
              </w:rPr>
              <w:t>Podmínky plochy SV umožňují doprovodné stavby a činnosti k funkci bydlení v míře nesnižující kvalitu prostředí.</w:t>
            </w:r>
          </w:p>
          <w:p w14:paraId="728B9F6F" w14:textId="77777777" w:rsidR="00CD657D" w:rsidRPr="00CD657D" w:rsidRDefault="00CD657D" w:rsidP="00CD657D">
            <w:pPr>
              <w:pStyle w:val="Odstavecseseznamem"/>
              <w:numPr>
                <w:ilvl w:val="0"/>
                <w:numId w:val="49"/>
              </w:numPr>
              <w:spacing w:after="0"/>
              <w:rPr>
                <w:rFonts w:asciiTheme="majorHAnsi" w:hAnsiTheme="majorHAnsi" w:cstheme="majorHAnsi"/>
                <w:sz w:val="18"/>
                <w:szCs w:val="18"/>
              </w:rPr>
            </w:pPr>
            <w:r w:rsidRPr="00CD657D">
              <w:rPr>
                <w:rFonts w:asciiTheme="majorHAnsi" w:hAnsiTheme="majorHAnsi" w:cstheme="majorHAnsi"/>
                <w:sz w:val="18"/>
                <w:szCs w:val="18"/>
              </w:rPr>
              <w:t>Pozemky č. 312/2 a 313 jsou v návrhu ÚP stanoveny jako ZK – krajinná zeleň, pozemek parc. č. 316/5 jev ploše AU – zemědělské všeobecné.</w:t>
            </w:r>
          </w:p>
        </w:tc>
      </w:tr>
      <w:tr w:rsidR="00CD657D" w:rsidRPr="00CD657D" w14:paraId="52FF69FA" w14:textId="77777777" w:rsidTr="00AD5AED">
        <w:trPr>
          <w:trHeight w:val="135"/>
        </w:trPr>
        <w:tc>
          <w:tcPr>
            <w:tcW w:w="6103" w:type="dxa"/>
          </w:tcPr>
          <w:p w14:paraId="7F6F83BC" w14:textId="77777777" w:rsidR="00CD657D" w:rsidRPr="00CD657D" w:rsidRDefault="00CD657D" w:rsidP="00AD5AED">
            <w:pPr>
              <w:spacing w:after="0"/>
              <w:rPr>
                <w:rFonts w:asciiTheme="majorHAnsi" w:hAnsiTheme="majorHAnsi" w:cstheme="majorHAnsi"/>
                <w:b/>
                <w:bCs/>
                <w:sz w:val="18"/>
                <w:szCs w:val="18"/>
              </w:rPr>
            </w:pPr>
            <w:r w:rsidRPr="00CD657D">
              <w:rPr>
                <w:rFonts w:asciiTheme="majorHAnsi" w:hAnsiTheme="majorHAnsi" w:cstheme="majorHAnsi"/>
                <w:b/>
                <w:bCs/>
                <w:sz w:val="18"/>
                <w:szCs w:val="18"/>
              </w:rPr>
              <w:t>Červený Jan, 9. května 115 Kostomlaty n. L.</w:t>
            </w:r>
          </w:p>
          <w:p w14:paraId="741DC7D8"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Požaduje pozemky parc. č. 353, 352/1, 352/3 354/2 v k. ú K.n.L stanovit jako plochu BI, nikoli OV.</w:t>
            </w:r>
          </w:p>
        </w:tc>
        <w:tc>
          <w:tcPr>
            <w:tcW w:w="3137" w:type="dxa"/>
          </w:tcPr>
          <w:p w14:paraId="35888FBF" w14:textId="77777777" w:rsidR="00CD657D" w:rsidRPr="00CD657D" w:rsidRDefault="00CD657D" w:rsidP="00AD5AED">
            <w:pPr>
              <w:spacing w:after="0"/>
              <w:rPr>
                <w:rFonts w:asciiTheme="majorHAnsi" w:hAnsiTheme="majorHAnsi" w:cstheme="majorHAnsi"/>
                <w:sz w:val="18"/>
                <w:szCs w:val="18"/>
              </w:rPr>
            </w:pPr>
            <w:r w:rsidRPr="00CD657D">
              <w:rPr>
                <w:rFonts w:asciiTheme="majorHAnsi" w:hAnsiTheme="majorHAnsi" w:cstheme="majorHAnsi"/>
                <w:sz w:val="18"/>
                <w:szCs w:val="18"/>
              </w:rPr>
              <w:t>Připomínce je vyhověno, jedná se o pozemky ve stabilizované části obce, jde stávající stavbu rodinného domu a související zahradu.</w:t>
            </w:r>
          </w:p>
        </w:tc>
      </w:tr>
      <w:tr w:rsidR="00CD657D" w:rsidRPr="00CD657D" w14:paraId="74CDC2FA" w14:textId="77777777" w:rsidTr="00AD5AED">
        <w:trPr>
          <w:trHeight w:val="135"/>
        </w:trPr>
        <w:tc>
          <w:tcPr>
            <w:tcW w:w="6103" w:type="dxa"/>
          </w:tcPr>
          <w:p w14:paraId="2B9182A0" w14:textId="77777777" w:rsidR="00CD657D" w:rsidRPr="00CD657D" w:rsidRDefault="00CD657D" w:rsidP="00AD5AED">
            <w:pPr>
              <w:spacing w:after="0"/>
              <w:rPr>
                <w:rFonts w:asciiTheme="majorHAnsi" w:hAnsiTheme="majorHAnsi" w:cstheme="majorHAnsi"/>
                <w:b/>
                <w:bCs/>
                <w:sz w:val="18"/>
                <w:szCs w:val="18"/>
              </w:rPr>
            </w:pPr>
            <w:r w:rsidRPr="00CD657D">
              <w:rPr>
                <w:rFonts w:asciiTheme="majorHAnsi" w:hAnsiTheme="majorHAnsi" w:cstheme="majorHAnsi"/>
                <w:b/>
                <w:bCs/>
                <w:sz w:val="18"/>
                <w:szCs w:val="18"/>
              </w:rPr>
              <w:t>Ing. Dana Teichmanová, Kolmá 528, Kostomlaty nad Labem</w:t>
            </w:r>
          </w:p>
          <w:p w14:paraId="084CEFB2"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Požaduje zrušení koridoru pro jižní silniční obchvat silnice II/331.</w:t>
            </w:r>
          </w:p>
        </w:tc>
        <w:tc>
          <w:tcPr>
            <w:tcW w:w="3137" w:type="dxa"/>
          </w:tcPr>
          <w:p w14:paraId="0A9442A7" w14:textId="77777777" w:rsidR="00CD657D" w:rsidRPr="00CD657D" w:rsidRDefault="00CD657D" w:rsidP="00AD5AED">
            <w:pPr>
              <w:spacing w:after="0"/>
              <w:rPr>
                <w:rFonts w:asciiTheme="majorHAnsi" w:hAnsiTheme="majorHAnsi" w:cstheme="majorHAnsi"/>
                <w:sz w:val="18"/>
                <w:szCs w:val="18"/>
              </w:rPr>
            </w:pPr>
            <w:r w:rsidRPr="00CD657D">
              <w:rPr>
                <w:rFonts w:asciiTheme="majorHAnsi" w:hAnsiTheme="majorHAnsi" w:cstheme="majorHAnsi"/>
                <w:sz w:val="18"/>
                <w:szCs w:val="18"/>
              </w:rPr>
              <w:t>Koridor pro jižní obchvat byl vypuštěn na požadavek zastupitelstva obce.</w:t>
            </w:r>
          </w:p>
        </w:tc>
      </w:tr>
      <w:tr w:rsidR="00CD657D" w:rsidRPr="00CD657D" w14:paraId="6F45D6F7" w14:textId="77777777" w:rsidTr="00AD5AED">
        <w:trPr>
          <w:trHeight w:val="135"/>
        </w:trPr>
        <w:tc>
          <w:tcPr>
            <w:tcW w:w="6103" w:type="dxa"/>
          </w:tcPr>
          <w:p w14:paraId="14BDE782" w14:textId="77777777" w:rsidR="00CD657D" w:rsidRPr="00CD657D" w:rsidRDefault="00CD657D" w:rsidP="00AD5AED">
            <w:pPr>
              <w:spacing w:after="0"/>
              <w:rPr>
                <w:rFonts w:asciiTheme="majorHAnsi" w:hAnsiTheme="majorHAnsi" w:cstheme="majorHAnsi"/>
                <w:b/>
                <w:bCs/>
                <w:sz w:val="18"/>
                <w:szCs w:val="18"/>
              </w:rPr>
            </w:pPr>
            <w:r w:rsidRPr="00CD657D">
              <w:rPr>
                <w:rFonts w:asciiTheme="majorHAnsi" w:hAnsiTheme="majorHAnsi" w:cstheme="majorHAnsi"/>
                <w:b/>
                <w:bCs/>
                <w:sz w:val="18"/>
                <w:szCs w:val="18"/>
              </w:rPr>
              <w:t>Jiří Nehasil, Dr. Chmelaře 235, Křinec.</w:t>
            </w:r>
          </w:p>
          <w:p w14:paraId="54673546"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Nesouhlasí se smíšenou zástavbou před pozemky č. 473 a 274/20 v k. ú. Lány.</w:t>
            </w:r>
          </w:p>
        </w:tc>
        <w:tc>
          <w:tcPr>
            <w:tcW w:w="3137" w:type="dxa"/>
          </w:tcPr>
          <w:p w14:paraId="1673B079" w14:textId="77777777" w:rsidR="00CD657D" w:rsidRPr="00CD657D" w:rsidRDefault="00CD657D" w:rsidP="00AD5AED">
            <w:pPr>
              <w:spacing w:after="0"/>
              <w:rPr>
                <w:rFonts w:asciiTheme="majorHAnsi" w:hAnsiTheme="majorHAnsi" w:cstheme="majorHAnsi"/>
                <w:sz w:val="18"/>
                <w:szCs w:val="18"/>
              </w:rPr>
            </w:pPr>
            <w:r w:rsidRPr="00CD657D">
              <w:rPr>
                <w:rFonts w:asciiTheme="majorHAnsi" w:hAnsiTheme="majorHAnsi" w:cstheme="majorHAnsi"/>
                <w:sz w:val="18"/>
                <w:szCs w:val="18"/>
              </w:rPr>
              <w:t>Zamítnuto, viz námitka č. XV.</w:t>
            </w:r>
          </w:p>
        </w:tc>
      </w:tr>
      <w:tr w:rsidR="00CD657D" w:rsidRPr="00CD657D" w14:paraId="671F03D0" w14:textId="77777777" w:rsidTr="00AD5AED">
        <w:trPr>
          <w:trHeight w:val="135"/>
        </w:trPr>
        <w:tc>
          <w:tcPr>
            <w:tcW w:w="6103" w:type="dxa"/>
          </w:tcPr>
          <w:p w14:paraId="6554A6BB" w14:textId="77777777" w:rsidR="00CD657D" w:rsidRPr="00CD657D" w:rsidRDefault="00CD657D" w:rsidP="00AD5AED">
            <w:pPr>
              <w:spacing w:after="0"/>
              <w:rPr>
                <w:rFonts w:asciiTheme="majorHAnsi" w:hAnsiTheme="majorHAnsi" w:cstheme="majorHAnsi"/>
                <w:b/>
                <w:bCs/>
                <w:sz w:val="18"/>
                <w:szCs w:val="18"/>
              </w:rPr>
            </w:pPr>
            <w:r w:rsidRPr="00CD657D">
              <w:rPr>
                <w:rFonts w:asciiTheme="majorHAnsi" w:hAnsiTheme="majorHAnsi" w:cstheme="majorHAnsi"/>
                <w:b/>
                <w:bCs/>
                <w:sz w:val="18"/>
                <w:szCs w:val="18"/>
              </w:rPr>
              <w:t>Obec Ostrá</w:t>
            </w:r>
          </w:p>
          <w:p w14:paraId="7B8D4E70"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Připomínka shodná s námitkou č. XI. K návrhu ÚP pro veřejné projednání.</w:t>
            </w:r>
          </w:p>
        </w:tc>
        <w:tc>
          <w:tcPr>
            <w:tcW w:w="3137" w:type="dxa"/>
          </w:tcPr>
          <w:p w14:paraId="77071E36" w14:textId="77777777" w:rsidR="00CD657D" w:rsidRPr="00CD657D" w:rsidRDefault="00CD657D" w:rsidP="00AD5AED">
            <w:pPr>
              <w:spacing w:after="0"/>
              <w:rPr>
                <w:rFonts w:asciiTheme="majorHAnsi" w:hAnsiTheme="majorHAnsi" w:cstheme="majorHAnsi"/>
                <w:sz w:val="18"/>
                <w:szCs w:val="18"/>
              </w:rPr>
            </w:pPr>
            <w:r w:rsidRPr="00CD657D">
              <w:rPr>
                <w:rFonts w:asciiTheme="majorHAnsi" w:hAnsiTheme="majorHAnsi" w:cstheme="majorHAnsi"/>
                <w:sz w:val="18"/>
                <w:szCs w:val="18"/>
              </w:rPr>
              <w:t>Zamítnuto, odůvodnění viz námitka č. XI.</w:t>
            </w:r>
          </w:p>
        </w:tc>
      </w:tr>
    </w:tbl>
    <w:p w14:paraId="49D108F7" w14:textId="77777777" w:rsidR="00CD657D" w:rsidRDefault="00CD657D" w:rsidP="00CD657D">
      <w:pPr>
        <w:rPr>
          <w:rFonts w:asciiTheme="majorHAnsi" w:hAnsiTheme="majorHAnsi" w:cstheme="majorHAnsi"/>
          <w:color w:val="4472C4" w:themeColor="accent5"/>
          <w:sz w:val="18"/>
          <w:szCs w:val="18"/>
        </w:rPr>
      </w:pPr>
    </w:p>
    <w:p w14:paraId="3308EBAD" w14:textId="77777777" w:rsidR="00CD657D" w:rsidRPr="00BC4A0C" w:rsidRDefault="00CD657D" w:rsidP="00BC4A0C">
      <w:pPr>
        <w:spacing w:after="120" w:line="240" w:lineRule="auto"/>
        <w:ind w:firstLine="709"/>
        <w:jc w:val="both"/>
        <w:rPr>
          <w:rFonts w:asciiTheme="majorHAnsi" w:hAnsiTheme="majorHAnsi" w:cstheme="majorHAnsi"/>
          <w:sz w:val="18"/>
          <w:szCs w:val="20"/>
        </w:rPr>
      </w:pPr>
      <w:r w:rsidRPr="00BC4A0C">
        <w:rPr>
          <w:rFonts w:asciiTheme="majorHAnsi" w:hAnsiTheme="majorHAnsi" w:cstheme="majorHAnsi"/>
          <w:sz w:val="18"/>
          <w:szCs w:val="20"/>
        </w:rPr>
        <w:t>ÚPRAVA ÚP NA ZÁKLADĚ POŽADAVKŮ ZASTUPITELSTVA OBCE</w:t>
      </w:r>
    </w:p>
    <w:tbl>
      <w:tblPr>
        <w:tblStyle w:val="Mkatabulky"/>
        <w:tblW w:w="9214" w:type="dxa"/>
        <w:tblInd w:w="-5" w:type="dxa"/>
        <w:tblLook w:val="04A0" w:firstRow="1" w:lastRow="0" w:firstColumn="1" w:lastColumn="0" w:noHBand="0" w:noVBand="1"/>
      </w:tblPr>
      <w:tblGrid>
        <w:gridCol w:w="3686"/>
        <w:gridCol w:w="5528"/>
      </w:tblGrid>
      <w:tr w:rsidR="00CD657D" w:rsidRPr="00CD657D" w14:paraId="2F2201A4" w14:textId="77777777" w:rsidTr="00BC4A0C">
        <w:tc>
          <w:tcPr>
            <w:tcW w:w="3686" w:type="dxa"/>
          </w:tcPr>
          <w:p w14:paraId="784616FF" w14:textId="77777777" w:rsidR="00CD657D" w:rsidRPr="00CD657D" w:rsidRDefault="00CD657D" w:rsidP="00CD657D">
            <w:pPr>
              <w:pStyle w:val="Odstavecseseznamem"/>
              <w:numPr>
                <w:ilvl w:val="0"/>
                <w:numId w:val="50"/>
              </w:numPr>
              <w:rPr>
                <w:rFonts w:asciiTheme="majorHAnsi" w:hAnsiTheme="majorHAnsi" w:cstheme="majorHAnsi"/>
                <w:sz w:val="18"/>
                <w:szCs w:val="18"/>
              </w:rPr>
            </w:pPr>
            <w:bookmarkStart w:id="492" w:name="_Hlk175903617"/>
            <w:r w:rsidRPr="00CD657D">
              <w:rPr>
                <w:rFonts w:asciiTheme="majorHAnsi" w:hAnsiTheme="majorHAnsi" w:cstheme="majorHAnsi"/>
                <w:sz w:val="18"/>
                <w:szCs w:val="18"/>
              </w:rPr>
              <w:t>Zařazení Hronětického náhonu mezi veřejně prospěšné stavby</w:t>
            </w:r>
          </w:p>
        </w:tc>
        <w:tc>
          <w:tcPr>
            <w:tcW w:w="5528" w:type="dxa"/>
          </w:tcPr>
          <w:p w14:paraId="33ED3BF5" w14:textId="77777777"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Hronětický náhon je stanoven jako součást územního systému ekologické stability – lokální biokoridor LBK.2. Bude vymezen jako VPO pro zajištění funkčnosti skladebné části ÚSES.</w:t>
            </w:r>
          </w:p>
        </w:tc>
      </w:tr>
      <w:bookmarkEnd w:id="492"/>
      <w:tr w:rsidR="00CD657D" w:rsidRPr="00CD657D" w14:paraId="0B2702E4" w14:textId="77777777" w:rsidTr="00BC4A0C">
        <w:tc>
          <w:tcPr>
            <w:tcW w:w="3686" w:type="dxa"/>
          </w:tcPr>
          <w:p w14:paraId="46A5D009" w14:textId="77777777" w:rsidR="00CD657D" w:rsidRPr="00CD657D" w:rsidRDefault="00CD657D" w:rsidP="00CD657D">
            <w:pPr>
              <w:pStyle w:val="Odstavecseseznamem"/>
              <w:numPr>
                <w:ilvl w:val="0"/>
                <w:numId w:val="50"/>
              </w:numPr>
              <w:rPr>
                <w:rFonts w:asciiTheme="majorHAnsi" w:hAnsiTheme="majorHAnsi" w:cstheme="majorHAnsi"/>
                <w:sz w:val="18"/>
                <w:szCs w:val="18"/>
              </w:rPr>
            </w:pPr>
            <w:r w:rsidRPr="00CD657D">
              <w:rPr>
                <w:rFonts w:asciiTheme="majorHAnsi" w:hAnsiTheme="majorHAnsi" w:cstheme="majorHAnsi"/>
                <w:sz w:val="18"/>
                <w:szCs w:val="18"/>
              </w:rPr>
              <w:t xml:space="preserve">Vyloučení možnosti umístění FVE v extravilánu obce. </w:t>
            </w:r>
          </w:p>
        </w:tc>
        <w:tc>
          <w:tcPr>
            <w:tcW w:w="5528" w:type="dxa"/>
          </w:tcPr>
          <w:p w14:paraId="622AD2D7" w14:textId="77777777" w:rsidR="00CD657D" w:rsidRPr="00CD657D" w:rsidRDefault="00CD657D" w:rsidP="00AD5AED">
            <w:pPr>
              <w:spacing w:line="259" w:lineRule="auto"/>
              <w:rPr>
                <w:rFonts w:asciiTheme="majorHAnsi" w:hAnsiTheme="majorHAnsi" w:cstheme="majorHAnsi"/>
                <w:sz w:val="18"/>
                <w:szCs w:val="18"/>
              </w:rPr>
            </w:pPr>
            <w:bookmarkStart w:id="493" w:name="_Hlk175903639"/>
            <w:r w:rsidRPr="00CD657D">
              <w:rPr>
                <w:rFonts w:asciiTheme="majorHAnsi" w:hAnsiTheme="majorHAnsi" w:cstheme="majorHAnsi"/>
                <w:sz w:val="18"/>
                <w:szCs w:val="18"/>
              </w:rPr>
              <w:t xml:space="preserve">V kapitole 6. stanovení podmínek pro využití ploch s rozdílným způsobem využití, bude u ploch </w:t>
            </w:r>
          </w:p>
          <w:p w14:paraId="1FE77FB0" w14:textId="77777777" w:rsidR="00CD657D" w:rsidRPr="00CD657D" w:rsidRDefault="00CD657D" w:rsidP="00AD5AED">
            <w:pPr>
              <w:spacing w:line="259" w:lineRule="auto"/>
              <w:rPr>
                <w:rFonts w:asciiTheme="majorHAnsi" w:hAnsiTheme="majorHAnsi" w:cstheme="majorHAnsi"/>
                <w:b/>
                <w:bCs/>
                <w:sz w:val="18"/>
                <w:szCs w:val="18"/>
              </w:rPr>
            </w:pPr>
            <w:r w:rsidRPr="00CD657D">
              <w:rPr>
                <w:rFonts w:asciiTheme="majorHAnsi" w:hAnsiTheme="majorHAnsi" w:cstheme="majorHAnsi"/>
                <w:b/>
                <w:bCs/>
                <w:sz w:val="18"/>
                <w:szCs w:val="18"/>
              </w:rPr>
              <w:t>(79) zemědělské všeobecné (AU)</w:t>
            </w:r>
          </w:p>
          <w:p w14:paraId="0F1A46E7" w14:textId="77777777" w:rsidR="00CD657D" w:rsidRPr="00CD657D" w:rsidRDefault="00CD657D" w:rsidP="00AD5AED">
            <w:pPr>
              <w:spacing w:line="259" w:lineRule="auto"/>
              <w:rPr>
                <w:rFonts w:asciiTheme="majorHAnsi" w:hAnsiTheme="majorHAnsi" w:cstheme="majorHAnsi"/>
                <w:b/>
                <w:bCs/>
                <w:sz w:val="18"/>
                <w:szCs w:val="18"/>
              </w:rPr>
            </w:pPr>
            <w:r w:rsidRPr="00CD657D">
              <w:rPr>
                <w:rFonts w:asciiTheme="majorHAnsi" w:hAnsiTheme="majorHAnsi" w:cstheme="majorHAnsi"/>
                <w:b/>
                <w:bCs/>
                <w:sz w:val="18"/>
                <w:szCs w:val="18"/>
              </w:rPr>
              <w:t xml:space="preserve"> (82) smíšené nezastavěného území, (</w:t>
            </w:r>
            <w:proofErr w:type="gramStart"/>
            <w:r w:rsidRPr="00CD657D">
              <w:rPr>
                <w:rFonts w:asciiTheme="majorHAnsi" w:hAnsiTheme="majorHAnsi" w:cstheme="majorHAnsi"/>
                <w:b/>
                <w:bCs/>
                <w:sz w:val="18"/>
                <w:szCs w:val="18"/>
              </w:rPr>
              <w:t>MU.zp</w:t>
            </w:r>
            <w:proofErr w:type="gramEnd"/>
            <w:r w:rsidRPr="00CD657D">
              <w:rPr>
                <w:rFonts w:asciiTheme="majorHAnsi" w:hAnsiTheme="majorHAnsi" w:cstheme="majorHAnsi"/>
                <w:b/>
                <w:bCs/>
                <w:sz w:val="18"/>
                <w:szCs w:val="18"/>
              </w:rPr>
              <w:t xml:space="preserve">) </w:t>
            </w:r>
          </w:p>
          <w:p w14:paraId="7E1EB5B9" w14:textId="77777777" w:rsidR="00CD657D" w:rsidRPr="00CD657D" w:rsidRDefault="00CD657D" w:rsidP="00AD5AED">
            <w:pPr>
              <w:spacing w:line="259" w:lineRule="auto"/>
              <w:rPr>
                <w:rFonts w:asciiTheme="majorHAnsi" w:hAnsiTheme="majorHAnsi" w:cstheme="majorHAnsi"/>
                <w:sz w:val="18"/>
                <w:szCs w:val="18"/>
              </w:rPr>
            </w:pPr>
            <w:r w:rsidRPr="00CD657D">
              <w:rPr>
                <w:rFonts w:asciiTheme="majorHAnsi" w:hAnsiTheme="majorHAnsi" w:cstheme="majorHAnsi"/>
                <w:sz w:val="18"/>
                <w:szCs w:val="18"/>
              </w:rPr>
              <w:t>doplněn regulativ takto:</w:t>
            </w:r>
          </w:p>
          <w:p w14:paraId="7B2E880B" w14:textId="77777777" w:rsidR="00CD657D" w:rsidRPr="00CD657D" w:rsidRDefault="00CD657D" w:rsidP="00AD5AED">
            <w:pPr>
              <w:rPr>
                <w:rFonts w:asciiTheme="majorHAnsi" w:hAnsiTheme="majorHAnsi" w:cstheme="majorHAnsi"/>
                <w:sz w:val="18"/>
                <w:szCs w:val="18"/>
              </w:rPr>
            </w:pPr>
          </w:p>
          <w:p w14:paraId="4326085B" w14:textId="77777777" w:rsidR="00CD657D" w:rsidRPr="00CD657D" w:rsidRDefault="00CD657D" w:rsidP="00AD5AED">
            <w:pPr>
              <w:spacing w:after="160" w:line="259" w:lineRule="auto"/>
              <w:rPr>
                <w:rFonts w:asciiTheme="majorHAnsi" w:hAnsiTheme="majorHAnsi" w:cstheme="majorHAnsi"/>
                <w:b/>
                <w:bCs/>
                <w:sz w:val="18"/>
                <w:szCs w:val="18"/>
              </w:rPr>
            </w:pPr>
            <w:r w:rsidRPr="00CD657D">
              <w:rPr>
                <w:rFonts w:asciiTheme="majorHAnsi" w:hAnsiTheme="majorHAnsi" w:cstheme="majorHAnsi"/>
                <w:b/>
                <w:bCs/>
                <w:sz w:val="18"/>
                <w:szCs w:val="18"/>
              </w:rPr>
              <w:t>D. nepřípustné využití</w:t>
            </w:r>
          </w:p>
          <w:p w14:paraId="251B565D" w14:textId="77777777" w:rsidR="00CD657D" w:rsidRPr="00CD657D" w:rsidRDefault="00CD657D" w:rsidP="00AD5AED">
            <w:pPr>
              <w:rPr>
                <w:rFonts w:asciiTheme="majorHAnsi" w:hAnsiTheme="majorHAnsi" w:cstheme="majorHAnsi"/>
                <w:b/>
                <w:bCs/>
                <w:sz w:val="18"/>
                <w:szCs w:val="18"/>
              </w:rPr>
            </w:pPr>
            <w:r w:rsidRPr="00CD657D">
              <w:rPr>
                <w:rFonts w:asciiTheme="majorHAnsi" w:hAnsiTheme="majorHAnsi" w:cstheme="majorHAnsi"/>
                <w:sz w:val="18"/>
                <w:szCs w:val="18"/>
              </w:rPr>
              <w:t>Stavby a zařízení pro výrobu energie z obnovitelných zdrojů využívající energii slunečního záření s celkovým instalovaným elektrickým výkonem výrobny elektřiny nad 50 kW.</w:t>
            </w:r>
          </w:p>
          <w:bookmarkEnd w:id="493"/>
          <w:p w14:paraId="24CCF651" w14:textId="77777777" w:rsidR="00CD657D" w:rsidRPr="00CD657D" w:rsidRDefault="00CD657D" w:rsidP="00AD5AED">
            <w:pPr>
              <w:rPr>
                <w:rFonts w:asciiTheme="majorHAnsi" w:hAnsiTheme="majorHAnsi" w:cstheme="majorHAnsi"/>
                <w:sz w:val="18"/>
                <w:szCs w:val="18"/>
                <w:u w:val="single"/>
              </w:rPr>
            </w:pPr>
            <w:r w:rsidRPr="00CD657D">
              <w:rPr>
                <w:rFonts w:asciiTheme="majorHAnsi" w:hAnsiTheme="majorHAnsi" w:cstheme="majorHAnsi"/>
                <w:sz w:val="18"/>
                <w:szCs w:val="18"/>
                <w:u w:val="single"/>
              </w:rPr>
              <w:t>Odůvodnění:</w:t>
            </w:r>
          </w:p>
          <w:p w14:paraId="68471CC1" w14:textId="50EB1EAF" w:rsidR="00CD657D" w:rsidRPr="00CD657D" w:rsidRDefault="00CD657D" w:rsidP="00AD5AED">
            <w:pPr>
              <w:rPr>
                <w:rFonts w:asciiTheme="majorHAnsi" w:hAnsiTheme="majorHAnsi" w:cstheme="majorHAnsi"/>
                <w:sz w:val="18"/>
                <w:szCs w:val="18"/>
              </w:rPr>
            </w:pPr>
            <w:r w:rsidRPr="00CD657D">
              <w:rPr>
                <w:rFonts w:asciiTheme="majorHAnsi" w:hAnsiTheme="majorHAnsi" w:cstheme="majorHAnsi"/>
                <w:sz w:val="18"/>
                <w:szCs w:val="18"/>
              </w:rPr>
              <w:t xml:space="preserve">Na plochách pro zemědělství se omezuje velikost takové výrobny instalovaným výkonem z důvodu zamezení vzniku velkých FVE parků, které by narušily krajinný ráz a ovlivnily hlavní způsob využití, kterým je zemědělská výroba a pozemky ZPF. Splnění požadavků § 19 odst. 1 písm. </w:t>
            </w:r>
            <w:proofErr w:type="gramStart"/>
            <w:r w:rsidRPr="00CD657D">
              <w:rPr>
                <w:rFonts w:asciiTheme="majorHAnsi" w:hAnsiTheme="majorHAnsi" w:cstheme="majorHAnsi"/>
                <w:sz w:val="18"/>
                <w:szCs w:val="18"/>
              </w:rPr>
              <w:t>j)  zákona</w:t>
            </w:r>
            <w:proofErr w:type="gramEnd"/>
            <w:r w:rsidRPr="00CD657D">
              <w:rPr>
                <w:rFonts w:asciiTheme="majorHAnsi" w:hAnsiTheme="majorHAnsi" w:cstheme="majorHAnsi"/>
                <w:sz w:val="18"/>
                <w:szCs w:val="18"/>
              </w:rPr>
              <w:t xml:space="preserve"> č. 183/2006 Sb.</w:t>
            </w:r>
            <w:proofErr w:type="gramStart"/>
            <w:r w:rsidRPr="00CD657D">
              <w:rPr>
                <w:rFonts w:asciiTheme="majorHAnsi" w:hAnsiTheme="majorHAnsi" w:cstheme="majorHAnsi"/>
                <w:sz w:val="18"/>
                <w:szCs w:val="18"/>
              </w:rPr>
              <w:t>, ,</w:t>
            </w:r>
            <w:proofErr w:type="gramEnd"/>
            <w:r w:rsidRPr="00CD657D">
              <w:rPr>
                <w:rFonts w:asciiTheme="majorHAnsi" w:hAnsiTheme="majorHAnsi" w:cstheme="majorHAnsi"/>
                <w:sz w:val="18"/>
                <w:szCs w:val="18"/>
              </w:rPr>
              <w:t xml:space="preserve"> tj. požadavek na vymezování ploch pro výrobny z obnovitelných zdrojů, je zajištěno tak, že umístění těchto staveb umožňují všechny ostatní plochy, </w:t>
            </w:r>
          </w:p>
        </w:tc>
      </w:tr>
    </w:tbl>
    <w:p w14:paraId="2FE37210" w14:textId="316A61EE" w:rsidR="00CD657D" w:rsidRPr="00CD657D" w:rsidRDefault="00CD657D" w:rsidP="00CD657D">
      <w:pPr>
        <w:rPr>
          <w:rFonts w:asciiTheme="majorHAnsi" w:hAnsiTheme="majorHAnsi" w:cstheme="majorHAnsi"/>
          <w:sz w:val="18"/>
          <w:szCs w:val="18"/>
        </w:rPr>
        <w:sectPr w:rsidR="00CD657D" w:rsidRPr="00CD657D" w:rsidSect="0065127D">
          <w:headerReference w:type="default" r:id="rId66"/>
          <w:footerReference w:type="default" r:id="rId67"/>
          <w:pgSz w:w="11906" w:h="16838"/>
          <w:pgMar w:top="1418" w:right="1418" w:bottom="1418" w:left="1418" w:header="709" w:footer="709" w:gutter="0"/>
          <w:pgNumType w:start="3"/>
          <w:cols w:space="708"/>
          <w:docGrid w:linePitch="360"/>
        </w:sectPr>
      </w:pPr>
    </w:p>
    <w:p w14:paraId="439BA215" w14:textId="77777777" w:rsidR="003716AF" w:rsidRPr="006070EA" w:rsidRDefault="003716AF" w:rsidP="00487210">
      <w:pPr>
        <w:pStyle w:val="Odstavecseseznamem"/>
        <w:keepNext/>
        <w:numPr>
          <w:ilvl w:val="0"/>
          <w:numId w:val="1"/>
        </w:num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ind w:left="709" w:hanging="709"/>
        <w:contextualSpacing w:val="0"/>
        <w:jc w:val="both"/>
        <w:outlineLvl w:val="0"/>
        <w:rPr>
          <w:rFonts w:asciiTheme="majorHAnsi" w:hAnsiTheme="majorHAnsi" w:cstheme="majorHAnsi"/>
          <w:b/>
          <w:sz w:val="24"/>
          <w:szCs w:val="28"/>
        </w:rPr>
      </w:pPr>
      <w:bookmarkStart w:id="494" w:name="_Toc424119890"/>
      <w:bookmarkStart w:id="495" w:name="_Toc204678248"/>
      <w:r w:rsidRPr="006070EA">
        <w:rPr>
          <w:rFonts w:asciiTheme="majorHAnsi" w:hAnsiTheme="majorHAnsi" w:cstheme="majorHAnsi"/>
          <w:b/>
          <w:sz w:val="24"/>
          <w:szCs w:val="28"/>
        </w:rPr>
        <w:lastRenderedPageBreak/>
        <w:t xml:space="preserve">OBSAH TEXTOVÉ ČÁSTI </w:t>
      </w:r>
      <w:r w:rsidR="00CA1F2C" w:rsidRPr="006070EA">
        <w:rPr>
          <w:rFonts w:asciiTheme="majorHAnsi" w:hAnsiTheme="majorHAnsi" w:cstheme="majorHAnsi"/>
          <w:b/>
          <w:sz w:val="24"/>
          <w:szCs w:val="28"/>
        </w:rPr>
        <w:t xml:space="preserve">ODŮVODNĚNÍ </w:t>
      </w:r>
      <w:r w:rsidRPr="006070EA">
        <w:rPr>
          <w:rFonts w:asciiTheme="majorHAnsi" w:hAnsiTheme="majorHAnsi" w:cstheme="majorHAnsi"/>
          <w:b/>
          <w:sz w:val="24"/>
          <w:szCs w:val="28"/>
        </w:rPr>
        <w:t>ÚZEMNÍHO PLÁNU</w:t>
      </w:r>
      <w:bookmarkEnd w:id="494"/>
      <w:bookmarkEnd w:id="495"/>
      <w:r w:rsidR="008C192E" w:rsidRPr="006070EA">
        <w:rPr>
          <w:rFonts w:asciiTheme="majorHAnsi" w:hAnsiTheme="majorHAnsi" w:cstheme="majorHAnsi"/>
          <w:b/>
          <w:sz w:val="24"/>
          <w:szCs w:val="28"/>
        </w:rPr>
        <w:t xml:space="preserve"> </w:t>
      </w:r>
    </w:p>
    <w:bookmarkStart w:id="496" w:name="_Toc424119891"/>
    <w:p w14:paraId="39CC0831" w14:textId="3310B252" w:rsidR="005922F8" w:rsidRPr="005922F8" w:rsidRDefault="00F309F7">
      <w:pPr>
        <w:pStyle w:val="Obsah1"/>
        <w:rPr>
          <w:rFonts w:asciiTheme="minorHAnsi" w:eastAsiaTheme="minorEastAsia" w:hAnsiTheme="minorHAnsi" w:cstheme="minorBidi"/>
          <w:caps w:val="0"/>
          <w:kern w:val="2"/>
          <w:sz w:val="24"/>
          <w:szCs w:val="24"/>
          <w:lang w:eastAsia="cs-CZ"/>
          <w14:ligatures w14:val="standardContextual"/>
        </w:rPr>
      </w:pPr>
      <w:r w:rsidRPr="005922F8">
        <w:rPr>
          <w:szCs w:val="28"/>
        </w:rPr>
        <w:fldChar w:fldCharType="begin"/>
      </w:r>
      <w:r w:rsidR="008C192E" w:rsidRPr="005922F8">
        <w:rPr>
          <w:szCs w:val="28"/>
        </w:rPr>
        <w:instrText xml:space="preserve"> TOC \o "1-4" \h \z \u </w:instrText>
      </w:r>
      <w:r w:rsidRPr="005922F8">
        <w:rPr>
          <w:szCs w:val="28"/>
        </w:rPr>
        <w:fldChar w:fldCharType="separate"/>
      </w:r>
      <w:hyperlink w:anchor="_Toc204678161" w:history="1">
        <w:r w:rsidR="005922F8" w:rsidRPr="005922F8">
          <w:rPr>
            <w:rStyle w:val="Hypertextovodkaz"/>
          </w:rPr>
          <w:t>1</w:t>
        </w:r>
        <w:r w:rsidR="005922F8" w:rsidRPr="005922F8">
          <w:rPr>
            <w:rFonts w:asciiTheme="minorHAnsi" w:eastAsiaTheme="minorEastAsia" w:hAnsiTheme="minorHAnsi" w:cstheme="minorBidi"/>
            <w:caps w:val="0"/>
            <w:kern w:val="2"/>
            <w:sz w:val="24"/>
            <w:szCs w:val="24"/>
            <w:lang w:eastAsia="cs-CZ"/>
            <w14:ligatures w14:val="standardContextual"/>
          </w:rPr>
          <w:tab/>
        </w:r>
        <w:r w:rsidR="005922F8" w:rsidRPr="005922F8">
          <w:rPr>
            <w:rStyle w:val="Hypertextovodkaz"/>
          </w:rPr>
          <w:t>POSTUP PŘI POŘÍZENÍ ÚZEMNÍHO PLÁNU</w:t>
        </w:r>
        <w:r w:rsidR="005922F8" w:rsidRPr="005922F8">
          <w:rPr>
            <w:webHidden/>
          </w:rPr>
          <w:tab/>
        </w:r>
        <w:r w:rsidR="005922F8" w:rsidRPr="005922F8">
          <w:rPr>
            <w:webHidden/>
          </w:rPr>
          <w:fldChar w:fldCharType="begin"/>
        </w:r>
        <w:r w:rsidR="005922F8" w:rsidRPr="005922F8">
          <w:rPr>
            <w:webHidden/>
          </w:rPr>
          <w:instrText xml:space="preserve"> PAGEREF _Toc204678161 \h </w:instrText>
        </w:r>
        <w:r w:rsidR="005922F8" w:rsidRPr="005922F8">
          <w:rPr>
            <w:webHidden/>
          </w:rPr>
        </w:r>
        <w:r w:rsidR="005922F8" w:rsidRPr="005922F8">
          <w:rPr>
            <w:webHidden/>
          </w:rPr>
          <w:fldChar w:fldCharType="separate"/>
        </w:r>
        <w:r w:rsidR="000E08BF">
          <w:rPr>
            <w:webHidden/>
          </w:rPr>
          <w:t>3</w:t>
        </w:r>
        <w:r w:rsidR="005922F8" w:rsidRPr="005922F8">
          <w:rPr>
            <w:webHidden/>
          </w:rPr>
          <w:fldChar w:fldCharType="end"/>
        </w:r>
      </w:hyperlink>
    </w:p>
    <w:p w14:paraId="6362FFDD" w14:textId="02BE5509"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62" w:history="1">
        <w:r w:rsidRPr="005922F8">
          <w:rPr>
            <w:rStyle w:val="Hypertextovodkaz"/>
          </w:rPr>
          <w:t>2</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KOORDINACE VYUŽÍVÁNÍ ÚZEMÍ Z HLEDISKA ŠIRŠÍCH VZTAHŮ V ÚZEMÍ</w:t>
        </w:r>
        <w:r w:rsidRPr="005922F8">
          <w:rPr>
            <w:webHidden/>
          </w:rPr>
          <w:tab/>
        </w:r>
        <w:r w:rsidRPr="005922F8">
          <w:rPr>
            <w:webHidden/>
          </w:rPr>
          <w:fldChar w:fldCharType="begin"/>
        </w:r>
        <w:r w:rsidRPr="005922F8">
          <w:rPr>
            <w:webHidden/>
          </w:rPr>
          <w:instrText xml:space="preserve"> PAGEREF _Toc204678162 \h </w:instrText>
        </w:r>
        <w:r w:rsidRPr="005922F8">
          <w:rPr>
            <w:webHidden/>
          </w:rPr>
        </w:r>
        <w:r w:rsidRPr="005922F8">
          <w:rPr>
            <w:webHidden/>
          </w:rPr>
          <w:fldChar w:fldCharType="separate"/>
        </w:r>
        <w:r w:rsidR="000E08BF">
          <w:rPr>
            <w:webHidden/>
          </w:rPr>
          <w:t>4</w:t>
        </w:r>
        <w:r w:rsidRPr="005922F8">
          <w:rPr>
            <w:webHidden/>
          </w:rPr>
          <w:fldChar w:fldCharType="end"/>
        </w:r>
      </w:hyperlink>
    </w:p>
    <w:p w14:paraId="67FEA6BC" w14:textId="1E822FF0"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63" w:history="1">
        <w:r w:rsidRPr="005922F8">
          <w:rPr>
            <w:rStyle w:val="Hypertextovodkaz"/>
            <w:b w:val="0"/>
          </w:rPr>
          <w:t>2.1</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Základní údaje o obci Kostomlaty nad Labem</w:t>
        </w:r>
        <w:r w:rsidRPr="005922F8">
          <w:rPr>
            <w:b w:val="0"/>
            <w:webHidden/>
          </w:rPr>
          <w:tab/>
        </w:r>
        <w:r w:rsidRPr="005922F8">
          <w:rPr>
            <w:b w:val="0"/>
            <w:webHidden/>
          </w:rPr>
          <w:fldChar w:fldCharType="begin"/>
        </w:r>
        <w:r w:rsidRPr="005922F8">
          <w:rPr>
            <w:b w:val="0"/>
            <w:webHidden/>
          </w:rPr>
          <w:instrText xml:space="preserve"> PAGEREF _Toc204678163 \h </w:instrText>
        </w:r>
        <w:r w:rsidRPr="005922F8">
          <w:rPr>
            <w:b w:val="0"/>
            <w:webHidden/>
          </w:rPr>
        </w:r>
        <w:r w:rsidRPr="005922F8">
          <w:rPr>
            <w:b w:val="0"/>
            <w:webHidden/>
          </w:rPr>
          <w:fldChar w:fldCharType="separate"/>
        </w:r>
        <w:r w:rsidR="000E08BF">
          <w:rPr>
            <w:b w:val="0"/>
            <w:webHidden/>
          </w:rPr>
          <w:t>4</w:t>
        </w:r>
        <w:r w:rsidRPr="005922F8">
          <w:rPr>
            <w:b w:val="0"/>
            <w:webHidden/>
          </w:rPr>
          <w:fldChar w:fldCharType="end"/>
        </w:r>
      </w:hyperlink>
    </w:p>
    <w:p w14:paraId="2F4F7841" w14:textId="5C15D996"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64" w:history="1">
        <w:r w:rsidRPr="005922F8">
          <w:rPr>
            <w:rStyle w:val="Hypertextovodkaz"/>
            <w:b w:val="0"/>
          </w:rPr>
          <w:t>2.2</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Postavení obce v systému osídlení a koordinace řešení ÚP s ÚPD sousedních obcí</w:t>
        </w:r>
        <w:r w:rsidRPr="005922F8">
          <w:rPr>
            <w:b w:val="0"/>
            <w:webHidden/>
          </w:rPr>
          <w:tab/>
        </w:r>
        <w:r w:rsidRPr="005922F8">
          <w:rPr>
            <w:b w:val="0"/>
            <w:webHidden/>
          </w:rPr>
          <w:fldChar w:fldCharType="begin"/>
        </w:r>
        <w:r w:rsidRPr="005922F8">
          <w:rPr>
            <w:b w:val="0"/>
            <w:webHidden/>
          </w:rPr>
          <w:instrText xml:space="preserve"> PAGEREF _Toc204678164 \h </w:instrText>
        </w:r>
        <w:r w:rsidRPr="005922F8">
          <w:rPr>
            <w:b w:val="0"/>
            <w:webHidden/>
          </w:rPr>
        </w:r>
        <w:r w:rsidRPr="005922F8">
          <w:rPr>
            <w:b w:val="0"/>
            <w:webHidden/>
          </w:rPr>
          <w:fldChar w:fldCharType="separate"/>
        </w:r>
        <w:r w:rsidR="000E08BF">
          <w:rPr>
            <w:b w:val="0"/>
            <w:webHidden/>
          </w:rPr>
          <w:t>4</w:t>
        </w:r>
        <w:r w:rsidRPr="005922F8">
          <w:rPr>
            <w:b w:val="0"/>
            <w:webHidden/>
          </w:rPr>
          <w:fldChar w:fldCharType="end"/>
        </w:r>
      </w:hyperlink>
    </w:p>
    <w:p w14:paraId="16C5160E" w14:textId="0B674C2F"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65" w:history="1">
        <w:r w:rsidRPr="005922F8">
          <w:rPr>
            <w:rStyle w:val="Hypertextovodkaz"/>
            <w:b w:val="0"/>
          </w:rPr>
          <w:t>2.3</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Širší dopravní vztahy, širší vztahy technické infrastruktury</w:t>
        </w:r>
        <w:r w:rsidRPr="005922F8">
          <w:rPr>
            <w:b w:val="0"/>
            <w:webHidden/>
          </w:rPr>
          <w:tab/>
        </w:r>
        <w:r w:rsidRPr="005922F8">
          <w:rPr>
            <w:b w:val="0"/>
            <w:webHidden/>
          </w:rPr>
          <w:fldChar w:fldCharType="begin"/>
        </w:r>
        <w:r w:rsidRPr="005922F8">
          <w:rPr>
            <w:b w:val="0"/>
            <w:webHidden/>
          </w:rPr>
          <w:instrText xml:space="preserve"> PAGEREF _Toc204678165 \h </w:instrText>
        </w:r>
        <w:r w:rsidRPr="005922F8">
          <w:rPr>
            <w:b w:val="0"/>
            <w:webHidden/>
          </w:rPr>
        </w:r>
        <w:r w:rsidRPr="005922F8">
          <w:rPr>
            <w:b w:val="0"/>
            <w:webHidden/>
          </w:rPr>
          <w:fldChar w:fldCharType="separate"/>
        </w:r>
        <w:r w:rsidR="000E08BF">
          <w:rPr>
            <w:b w:val="0"/>
            <w:webHidden/>
          </w:rPr>
          <w:t>6</w:t>
        </w:r>
        <w:r w:rsidRPr="005922F8">
          <w:rPr>
            <w:b w:val="0"/>
            <w:webHidden/>
          </w:rPr>
          <w:fldChar w:fldCharType="end"/>
        </w:r>
      </w:hyperlink>
    </w:p>
    <w:p w14:paraId="21EBD2A8" w14:textId="49F24DD1"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66" w:history="1">
        <w:r w:rsidRPr="005922F8">
          <w:rPr>
            <w:rStyle w:val="Hypertextovodkaz"/>
            <w:b w:val="0"/>
          </w:rPr>
          <w:t>2.4</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Širší vztahy ÚSES a další přírodní systémy</w:t>
        </w:r>
        <w:r w:rsidRPr="005922F8">
          <w:rPr>
            <w:b w:val="0"/>
            <w:webHidden/>
          </w:rPr>
          <w:tab/>
        </w:r>
        <w:r w:rsidRPr="005922F8">
          <w:rPr>
            <w:b w:val="0"/>
            <w:webHidden/>
          </w:rPr>
          <w:fldChar w:fldCharType="begin"/>
        </w:r>
        <w:r w:rsidRPr="005922F8">
          <w:rPr>
            <w:b w:val="0"/>
            <w:webHidden/>
          </w:rPr>
          <w:instrText xml:space="preserve"> PAGEREF _Toc204678166 \h </w:instrText>
        </w:r>
        <w:r w:rsidRPr="005922F8">
          <w:rPr>
            <w:b w:val="0"/>
            <w:webHidden/>
          </w:rPr>
        </w:r>
        <w:r w:rsidRPr="005922F8">
          <w:rPr>
            <w:b w:val="0"/>
            <w:webHidden/>
          </w:rPr>
          <w:fldChar w:fldCharType="separate"/>
        </w:r>
        <w:r w:rsidR="000E08BF">
          <w:rPr>
            <w:b w:val="0"/>
            <w:webHidden/>
          </w:rPr>
          <w:t>6</w:t>
        </w:r>
        <w:r w:rsidRPr="005922F8">
          <w:rPr>
            <w:b w:val="0"/>
            <w:webHidden/>
          </w:rPr>
          <w:fldChar w:fldCharType="end"/>
        </w:r>
      </w:hyperlink>
    </w:p>
    <w:p w14:paraId="6EFD3A04" w14:textId="6FFC8A5C"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67" w:history="1">
        <w:r w:rsidRPr="005922F8">
          <w:rPr>
            <w:rStyle w:val="Hypertextovodkaz"/>
          </w:rPr>
          <w:t>3</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SOULADU ÚZEMNÍHO PLÁNU S POLITIKOU ÚZEMNÍHO ROZVOJE A ÚZEMNĚ PLÁNOVACÍ DOKUMENTACÍ VYDANOU KRAJEM</w:t>
        </w:r>
        <w:r w:rsidRPr="005922F8">
          <w:rPr>
            <w:webHidden/>
          </w:rPr>
          <w:tab/>
        </w:r>
        <w:r w:rsidRPr="005922F8">
          <w:rPr>
            <w:webHidden/>
          </w:rPr>
          <w:fldChar w:fldCharType="begin"/>
        </w:r>
        <w:r w:rsidRPr="005922F8">
          <w:rPr>
            <w:webHidden/>
          </w:rPr>
          <w:instrText xml:space="preserve"> PAGEREF _Toc204678167 \h </w:instrText>
        </w:r>
        <w:r w:rsidRPr="005922F8">
          <w:rPr>
            <w:webHidden/>
          </w:rPr>
        </w:r>
        <w:r w:rsidRPr="005922F8">
          <w:rPr>
            <w:webHidden/>
          </w:rPr>
          <w:fldChar w:fldCharType="separate"/>
        </w:r>
        <w:r w:rsidR="000E08BF">
          <w:rPr>
            <w:webHidden/>
          </w:rPr>
          <w:t>7</w:t>
        </w:r>
        <w:r w:rsidRPr="005922F8">
          <w:rPr>
            <w:webHidden/>
          </w:rPr>
          <w:fldChar w:fldCharType="end"/>
        </w:r>
      </w:hyperlink>
    </w:p>
    <w:p w14:paraId="03A79422" w14:textId="42B22CF1"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68" w:history="1">
        <w:r w:rsidRPr="005922F8">
          <w:rPr>
            <w:rStyle w:val="Hypertextovodkaz"/>
            <w:b w:val="0"/>
          </w:rPr>
          <w:t>3.1</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souladu územního plánu s Politikou územního rozvoje</w:t>
        </w:r>
        <w:r w:rsidRPr="005922F8">
          <w:rPr>
            <w:b w:val="0"/>
            <w:webHidden/>
          </w:rPr>
          <w:tab/>
        </w:r>
        <w:r w:rsidRPr="005922F8">
          <w:rPr>
            <w:b w:val="0"/>
            <w:webHidden/>
          </w:rPr>
          <w:fldChar w:fldCharType="begin"/>
        </w:r>
        <w:r w:rsidRPr="005922F8">
          <w:rPr>
            <w:b w:val="0"/>
            <w:webHidden/>
          </w:rPr>
          <w:instrText xml:space="preserve"> PAGEREF _Toc204678168 \h </w:instrText>
        </w:r>
        <w:r w:rsidRPr="005922F8">
          <w:rPr>
            <w:b w:val="0"/>
            <w:webHidden/>
          </w:rPr>
        </w:r>
        <w:r w:rsidRPr="005922F8">
          <w:rPr>
            <w:b w:val="0"/>
            <w:webHidden/>
          </w:rPr>
          <w:fldChar w:fldCharType="separate"/>
        </w:r>
        <w:r w:rsidR="000E08BF">
          <w:rPr>
            <w:b w:val="0"/>
            <w:webHidden/>
          </w:rPr>
          <w:t>7</w:t>
        </w:r>
        <w:r w:rsidRPr="005922F8">
          <w:rPr>
            <w:b w:val="0"/>
            <w:webHidden/>
          </w:rPr>
          <w:fldChar w:fldCharType="end"/>
        </w:r>
      </w:hyperlink>
    </w:p>
    <w:p w14:paraId="4EEA8663" w14:textId="7C4C3C5E"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69" w:history="1">
        <w:r w:rsidRPr="005922F8">
          <w:rPr>
            <w:rStyle w:val="Hypertextovodkaz"/>
            <w:b w:val="0"/>
          </w:rPr>
          <w:t>3.2</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souladu územního plánu s územně plánovací dokumentací vydanou krajem</w:t>
        </w:r>
        <w:r w:rsidRPr="005922F8">
          <w:rPr>
            <w:b w:val="0"/>
            <w:webHidden/>
          </w:rPr>
          <w:tab/>
        </w:r>
        <w:r w:rsidRPr="005922F8">
          <w:rPr>
            <w:b w:val="0"/>
            <w:webHidden/>
          </w:rPr>
          <w:fldChar w:fldCharType="begin"/>
        </w:r>
        <w:r w:rsidRPr="005922F8">
          <w:rPr>
            <w:b w:val="0"/>
            <w:webHidden/>
          </w:rPr>
          <w:instrText xml:space="preserve"> PAGEREF _Toc204678169 \h </w:instrText>
        </w:r>
        <w:r w:rsidRPr="005922F8">
          <w:rPr>
            <w:b w:val="0"/>
            <w:webHidden/>
          </w:rPr>
        </w:r>
        <w:r w:rsidRPr="005922F8">
          <w:rPr>
            <w:b w:val="0"/>
            <w:webHidden/>
          </w:rPr>
          <w:fldChar w:fldCharType="separate"/>
        </w:r>
        <w:r w:rsidR="000E08BF">
          <w:rPr>
            <w:b w:val="0"/>
            <w:webHidden/>
          </w:rPr>
          <w:t>12</w:t>
        </w:r>
        <w:r w:rsidRPr="005922F8">
          <w:rPr>
            <w:b w:val="0"/>
            <w:webHidden/>
          </w:rPr>
          <w:fldChar w:fldCharType="end"/>
        </w:r>
      </w:hyperlink>
    </w:p>
    <w:p w14:paraId="163259FC" w14:textId="1E0040FF"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70" w:history="1">
        <w:r w:rsidRPr="005922F8">
          <w:rPr>
            <w:rStyle w:val="Hypertextovodkaz"/>
          </w:rPr>
          <w:t>4</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VÝČET ZÁLEŽITOSTÍ NADMÍSTNÍHO VÝZNAMU, KTERÉ NEJSOU ŘEŠENY V ZÁSADÁCH ÚZEMNÍHO ROZVOJE (§ 43 ODST. 1 STAVEBNÍHO ZÁKONA), S ODŮVODNĚNÍM POTŘEBY JEJICH VYMEZENÍ</w:t>
        </w:r>
        <w:r w:rsidRPr="005922F8">
          <w:rPr>
            <w:webHidden/>
          </w:rPr>
          <w:tab/>
        </w:r>
        <w:r w:rsidRPr="005922F8">
          <w:rPr>
            <w:webHidden/>
          </w:rPr>
          <w:fldChar w:fldCharType="begin"/>
        </w:r>
        <w:r w:rsidRPr="005922F8">
          <w:rPr>
            <w:webHidden/>
          </w:rPr>
          <w:instrText xml:space="preserve"> PAGEREF _Toc204678170 \h </w:instrText>
        </w:r>
        <w:r w:rsidRPr="005922F8">
          <w:rPr>
            <w:webHidden/>
          </w:rPr>
        </w:r>
        <w:r w:rsidRPr="005922F8">
          <w:rPr>
            <w:webHidden/>
          </w:rPr>
          <w:fldChar w:fldCharType="separate"/>
        </w:r>
        <w:r w:rsidR="000E08BF">
          <w:rPr>
            <w:webHidden/>
          </w:rPr>
          <w:t>19</w:t>
        </w:r>
        <w:r w:rsidRPr="005922F8">
          <w:rPr>
            <w:webHidden/>
          </w:rPr>
          <w:fldChar w:fldCharType="end"/>
        </w:r>
      </w:hyperlink>
    </w:p>
    <w:p w14:paraId="24B2E01B" w14:textId="0DB7D2EB"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71" w:history="1">
        <w:r w:rsidRPr="005922F8">
          <w:rPr>
            <w:rStyle w:val="Hypertextovodkaz"/>
          </w:rPr>
          <w:t>5</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SOULADU S CÍLI A ÚKOLY ÚZEMNÍHO PLÁNOVÁNÍ, ZEJMÉNA S POŽADAVKY NA OCHRANU ARCHITEKTONICKÝCH A URBANISTICKÝCH HODNOT V ÚZEMÍ A POŽADAVKY NA OCHRANU NEZASTAVĚNÉHO ÚZEMÍ</w:t>
        </w:r>
        <w:r w:rsidRPr="005922F8">
          <w:rPr>
            <w:webHidden/>
          </w:rPr>
          <w:tab/>
        </w:r>
        <w:r w:rsidRPr="005922F8">
          <w:rPr>
            <w:webHidden/>
          </w:rPr>
          <w:fldChar w:fldCharType="begin"/>
        </w:r>
        <w:r w:rsidRPr="005922F8">
          <w:rPr>
            <w:webHidden/>
          </w:rPr>
          <w:instrText xml:space="preserve"> PAGEREF _Toc204678171 \h </w:instrText>
        </w:r>
        <w:r w:rsidRPr="005922F8">
          <w:rPr>
            <w:webHidden/>
          </w:rPr>
        </w:r>
        <w:r w:rsidRPr="005922F8">
          <w:rPr>
            <w:webHidden/>
          </w:rPr>
          <w:fldChar w:fldCharType="separate"/>
        </w:r>
        <w:r w:rsidR="000E08BF">
          <w:rPr>
            <w:webHidden/>
          </w:rPr>
          <w:t>19</w:t>
        </w:r>
        <w:r w:rsidRPr="005922F8">
          <w:rPr>
            <w:webHidden/>
          </w:rPr>
          <w:fldChar w:fldCharType="end"/>
        </w:r>
      </w:hyperlink>
    </w:p>
    <w:p w14:paraId="7D4C3130" w14:textId="43FC7FFE"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72" w:history="1">
        <w:r w:rsidRPr="005922F8">
          <w:rPr>
            <w:rStyle w:val="Hypertextovodkaz"/>
            <w:b w:val="0"/>
          </w:rPr>
          <w:t>5.1</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souladu s cíli územního plánování</w:t>
        </w:r>
        <w:r w:rsidRPr="005922F8">
          <w:rPr>
            <w:b w:val="0"/>
            <w:webHidden/>
          </w:rPr>
          <w:tab/>
        </w:r>
        <w:r w:rsidRPr="005922F8">
          <w:rPr>
            <w:b w:val="0"/>
            <w:webHidden/>
          </w:rPr>
          <w:fldChar w:fldCharType="begin"/>
        </w:r>
        <w:r w:rsidRPr="005922F8">
          <w:rPr>
            <w:b w:val="0"/>
            <w:webHidden/>
          </w:rPr>
          <w:instrText xml:space="preserve"> PAGEREF _Toc204678172 \h </w:instrText>
        </w:r>
        <w:r w:rsidRPr="005922F8">
          <w:rPr>
            <w:b w:val="0"/>
            <w:webHidden/>
          </w:rPr>
        </w:r>
        <w:r w:rsidRPr="005922F8">
          <w:rPr>
            <w:b w:val="0"/>
            <w:webHidden/>
          </w:rPr>
          <w:fldChar w:fldCharType="separate"/>
        </w:r>
        <w:r w:rsidR="000E08BF">
          <w:rPr>
            <w:b w:val="0"/>
            <w:webHidden/>
          </w:rPr>
          <w:t>19</w:t>
        </w:r>
        <w:r w:rsidRPr="005922F8">
          <w:rPr>
            <w:b w:val="0"/>
            <w:webHidden/>
          </w:rPr>
          <w:fldChar w:fldCharType="end"/>
        </w:r>
      </w:hyperlink>
    </w:p>
    <w:p w14:paraId="6F080648" w14:textId="171E0569"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73" w:history="1">
        <w:r w:rsidRPr="005922F8">
          <w:rPr>
            <w:rStyle w:val="Hypertextovodkaz"/>
            <w:b w:val="0"/>
          </w:rPr>
          <w:t>5.2</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souladu s úkoly územního plánování</w:t>
        </w:r>
        <w:r w:rsidRPr="005922F8">
          <w:rPr>
            <w:b w:val="0"/>
            <w:webHidden/>
          </w:rPr>
          <w:tab/>
        </w:r>
        <w:r w:rsidRPr="005922F8">
          <w:rPr>
            <w:b w:val="0"/>
            <w:webHidden/>
          </w:rPr>
          <w:fldChar w:fldCharType="begin"/>
        </w:r>
        <w:r w:rsidRPr="005922F8">
          <w:rPr>
            <w:b w:val="0"/>
            <w:webHidden/>
          </w:rPr>
          <w:instrText xml:space="preserve"> PAGEREF _Toc204678173 \h </w:instrText>
        </w:r>
        <w:r w:rsidRPr="005922F8">
          <w:rPr>
            <w:b w:val="0"/>
            <w:webHidden/>
          </w:rPr>
        </w:r>
        <w:r w:rsidRPr="005922F8">
          <w:rPr>
            <w:b w:val="0"/>
            <w:webHidden/>
          </w:rPr>
          <w:fldChar w:fldCharType="separate"/>
        </w:r>
        <w:r w:rsidR="000E08BF">
          <w:rPr>
            <w:b w:val="0"/>
            <w:webHidden/>
          </w:rPr>
          <w:t>20</w:t>
        </w:r>
        <w:r w:rsidRPr="005922F8">
          <w:rPr>
            <w:b w:val="0"/>
            <w:webHidden/>
          </w:rPr>
          <w:fldChar w:fldCharType="end"/>
        </w:r>
      </w:hyperlink>
    </w:p>
    <w:p w14:paraId="21E5DE23" w14:textId="3724D1B8"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74" w:history="1">
        <w:r w:rsidRPr="005922F8">
          <w:rPr>
            <w:rStyle w:val="Hypertextovodkaz"/>
          </w:rPr>
          <w:t>6</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SOULADU S POŽADAVKY STAVEBNÍHO ZÁKONA A JEHO PROVÁDĚCÍCH PRÁVNÍCH PŘEDPISŮ</w:t>
        </w:r>
        <w:r w:rsidRPr="005922F8">
          <w:rPr>
            <w:webHidden/>
          </w:rPr>
          <w:tab/>
        </w:r>
        <w:r w:rsidRPr="005922F8">
          <w:rPr>
            <w:webHidden/>
          </w:rPr>
          <w:fldChar w:fldCharType="begin"/>
        </w:r>
        <w:r w:rsidRPr="005922F8">
          <w:rPr>
            <w:webHidden/>
          </w:rPr>
          <w:instrText xml:space="preserve"> PAGEREF _Toc204678174 \h </w:instrText>
        </w:r>
        <w:r w:rsidRPr="005922F8">
          <w:rPr>
            <w:webHidden/>
          </w:rPr>
        </w:r>
        <w:r w:rsidRPr="005922F8">
          <w:rPr>
            <w:webHidden/>
          </w:rPr>
          <w:fldChar w:fldCharType="separate"/>
        </w:r>
        <w:r w:rsidR="000E08BF">
          <w:rPr>
            <w:webHidden/>
          </w:rPr>
          <w:t>22</w:t>
        </w:r>
        <w:r w:rsidRPr="005922F8">
          <w:rPr>
            <w:webHidden/>
          </w:rPr>
          <w:fldChar w:fldCharType="end"/>
        </w:r>
      </w:hyperlink>
    </w:p>
    <w:p w14:paraId="0A87A070" w14:textId="6332D350"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75" w:history="1">
        <w:r w:rsidRPr="005922F8">
          <w:rPr>
            <w:rStyle w:val="Hypertextovodkaz"/>
          </w:rPr>
          <w:t>7</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SOULADU S POŽADAVKY ZVLÁŠTNÍCH PRÁVNÍCH PŘEDPISŮ A SE STANOVISKY DOTČENÝCH ORGÁNŮ PODLE ZVLÁŠTNÍCH PRÁVNÍCH PŘEDPISŮ, POPŘÍPADĚ S VÝSLEDKEM ŘEŠENÍ ROZPORŮ</w:t>
        </w:r>
        <w:r w:rsidRPr="005922F8">
          <w:rPr>
            <w:webHidden/>
          </w:rPr>
          <w:tab/>
        </w:r>
        <w:r w:rsidRPr="005922F8">
          <w:rPr>
            <w:webHidden/>
          </w:rPr>
          <w:fldChar w:fldCharType="begin"/>
        </w:r>
        <w:r w:rsidRPr="005922F8">
          <w:rPr>
            <w:webHidden/>
          </w:rPr>
          <w:instrText xml:space="preserve"> PAGEREF _Toc204678175 \h </w:instrText>
        </w:r>
        <w:r w:rsidRPr="005922F8">
          <w:rPr>
            <w:webHidden/>
          </w:rPr>
        </w:r>
        <w:r w:rsidRPr="005922F8">
          <w:rPr>
            <w:webHidden/>
          </w:rPr>
          <w:fldChar w:fldCharType="separate"/>
        </w:r>
        <w:r w:rsidR="000E08BF">
          <w:rPr>
            <w:webHidden/>
          </w:rPr>
          <w:t>23</w:t>
        </w:r>
        <w:r w:rsidRPr="005922F8">
          <w:rPr>
            <w:webHidden/>
          </w:rPr>
          <w:fldChar w:fldCharType="end"/>
        </w:r>
      </w:hyperlink>
    </w:p>
    <w:p w14:paraId="10229340" w14:textId="7A12084B"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76" w:history="1">
        <w:r w:rsidRPr="005922F8">
          <w:rPr>
            <w:rStyle w:val="Hypertextovodkaz"/>
          </w:rPr>
          <w:t>8</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VÝSLEDEK PŘEZKOUMÁNÍ ÚZEMNÍHO PLÁNU PODLE § 53 ODST. 4 PÍSM A) AŽ D) STAVEBNÍHO ZÁKONA</w:t>
        </w:r>
        <w:r w:rsidRPr="005922F8">
          <w:rPr>
            <w:webHidden/>
          </w:rPr>
          <w:tab/>
        </w:r>
        <w:r w:rsidRPr="005922F8">
          <w:rPr>
            <w:webHidden/>
          </w:rPr>
          <w:fldChar w:fldCharType="begin"/>
        </w:r>
        <w:r w:rsidRPr="005922F8">
          <w:rPr>
            <w:webHidden/>
          </w:rPr>
          <w:instrText xml:space="preserve"> PAGEREF _Toc204678176 \h </w:instrText>
        </w:r>
        <w:r w:rsidRPr="005922F8">
          <w:rPr>
            <w:webHidden/>
          </w:rPr>
        </w:r>
        <w:r w:rsidRPr="005922F8">
          <w:rPr>
            <w:webHidden/>
          </w:rPr>
          <w:fldChar w:fldCharType="separate"/>
        </w:r>
        <w:r w:rsidR="000E08BF">
          <w:rPr>
            <w:webHidden/>
          </w:rPr>
          <w:t>23</w:t>
        </w:r>
        <w:r w:rsidRPr="005922F8">
          <w:rPr>
            <w:webHidden/>
          </w:rPr>
          <w:fldChar w:fldCharType="end"/>
        </w:r>
      </w:hyperlink>
    </w:p>
    <w:p w14:paraId="1977B852" w14:textId="28E5A2BD"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77" w:history="1">
        <w:r w:rsidRPr="005922F8">
          <w:rPr>
            <w:rStyle w:val="Hypertextovodkaz"/>
          </w:rPr>
          <w:t>9</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SPLNĚNÍ POŽADAVKŮ ZADÁNÍ</w:t>
        </w:r>
        <w:r w:rsidRPr="005922F8">
          <w:rPr>
            <w:webHidden/>
          </w:rPr>
          <w:tab/>
        </w:r>
        <w:r w:rsidRPr="005922F8">
          <w:rPr>
            <w:webHidden/>
          </w:rPr>
          <w:fldChar w:fldCharType="begin"/>
        </w:r>
        <w:r w:rsidRPr="005922F8">
          <w:rPr>
            <w:webHidden/>
          </w:rPr>
          <w:instrText xml:space="preserve"> PAGEREF _Toc204678177 \h </w:instrText>
        </w:r>
        <w:r w:rsidRPr="005922F8">
          <w:rPr>
            <w:webHidden/>
          </w:rPr>
        </w:r>
        <w:r w:rsidRPr="005922F8">
          <w:rPr>
            <w:webHidden/>
          </w:rPr>
          <w:fldChar w:fldCharType="separate"/>
        </w:r>
        <w:r w:rsidR="000E08BF">
          <w:rPr>
            <w:webHidden/>
          </w:rPr>
          <w:t>24</w:t>
        </w:r>
        <w:r w:rsidRPr="005922F8">
          <w:rPr>
            <w:webHidden/>
          </w:rPr>
          <w:fldChar w:fldCharType="end"/>
        </w:r>
      </w:hyperlink>
    </w:p>
    <w:p w14:paraId="20E6F2DD" w14:textId="14307FF7"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78" w:history="1">
        <w:r w:rsidRPr="005922F8">
          <w:rPr>
            <w:rStyle w:val="Hypertextovodkaz"/>
          </w:rPr>
          <w:t>10</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ÚČELNÉHO VYUŽITÍ ZASTAVĚNÉHO ÚZEMÍ A VYHODNOCENÍ POTŘEBY VYMEZENÍ ZASTAVITELNÝCH PLOCH</w:t>
        </w:r>
        <w:r w:rsidRPr="005922F8">
          <w:rPr>
            <w:webHidden/>
          </w:rPr>
          <w:tab/>
        </w:r>
        <w:r w:rsidRPr="005922F8">
          <w:rPr>
            <w:webHidden/>
          </w:rPr>
          <w:fldChar w:fldCharType="begin"/>
        </w:r>
        <w:r w:rsidRPr="005922F8">
          <w:rPr>
            <w:webHidden/>
          </w:rPr>
          <w:instrText xml:space="preserve"> PAGEREF _Toc204678178 \h </w:instrText>
        </w:r>
        <w:r w:rsidRPr="005922F8">
          <w:rPr>
            <w:webHidden/>
          </w:rPr>
        </w:r>
        <w:r w:rsidRPr="005922F8">
          <w:rPr>
            <w:webHidden/>
          </w:rPr>
          <w:fldChar w:fldCharType="separate"/>
        </w:r>
        <w:r w:rsidR="000E08BF">
          <w:rPr>
            <w:webHidden/>
          </w:rPr>
          <w:t>33</w:t>
        </w:r>
        <w:r w:rsidRPr="005922F8">
          <w:rPr>
            <w:webHidden/>
          </w:rPr>
          <w:fldChar w:fldCharType="end"/>
        </w:r>
      </w:hyperlink>
    </w:p>
    <w:p w14:paraId="56FFD04A" w14:textId="4821BE09"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79" w:history="1">
        <w:r w:rsidRPr="005922F8">
          <w:rPr>
            <w:rStyle w:val="Hypertextovodkaz"/>
            <w:b w:val="0"/>
          </w:rPr>
          <w:t>10.1</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účelného využití zastavěného území</w:t>
        </w:r>
        <w:r w:rsidRPr="005922F8">
          <w:rPr>
            <w:b w:val="0"/>
            <w:webHidden/>
          </w:rPr>
          <w:tab/>
        </w:r>
        <w:r w:rsidRPr="005922F8">
          <w:rPr>
            <w:b w:val="0"/>
            <w:webHidden/>
          </w:rPr>
          <w:fldChar w:fldCharType="begin"/>
        </w:r>
        <w:r w:rsidRPr="005922F8">
          <w:rPr>
            <w:b w:val="0"/>
            <w:webHidden/>
          </w:rPr>
          <w:instrText xml:space="preserve"> PAGEREF _Toc204678179 \h </w:instrText>
        </w:r>
        <w:r w:rsidRPr="005922F8">
          <w:rPr>
            <w:b w:val="0"/>
            <w:webHidden/>
          </w:rPr>
        </w:r>
        <w:r w:rsidRPr="005922F8">
          <w:rPr>
            <w:b w:val="0"/>
            <w:webHidden/>
          </w:rPr>
          <w:fldChar w:fldCharType="separate"/>
        </w:r>
        <w:r w:rsidR="000E08BF">
          <w:rPr>
            <w:b w:val="0"/>
            <w:webHidden/>
          </w:rPr>
          <w:t>33</w:t>
        </w:r>
        <w:r w:rsidRPr="005922F8">
          <w:rPr>
            <w:b w:val="0"/>
            <w:webHidden/>
          </w:rPr>
          <w:fldChar w:fldCharType="end"/>
        </w:r>
      </w:hyperlink>
    </w:p>
    <w:p w14:paraId="2EE69614" w14:textId="586A5A86"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80" w:history="1">
        <w:r w:rsidRPr="005922F8">
          <w:rPr>
            <w:rStyle w:val="Hypertextovodkaz"/>
            <w:b w:val="0"/>
          </w:rPr>
          <w:t>10.2</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Sociodemografický vývoj území</w:t>
        </w:r>
        <w:r w:rsidRPr="005922F8">
          <w:rPr>
            <w:b w:val="0"/>
            <w:webHidden/>
          </w:rPr>
          <w:tab/>
        </w:r>
        <w:r w:rsidRPr="005922F8">
          <w:rPr>
            <w:b w:val="0"/>
            <w:webHidden/>
          </w:rPr>
          <w:fldChar w:fldCharType="begin"/>
        </w:r>
        <w:r w:rsidRPr="005922F8">
          <w:rPr>
            <w:b w:val="0"/>
            <w:webHidden/>
          </w:rPr>
          <w:instrText xml:space="preserve"> PAGEREF _Toc204678180 \h </w:instrText>
        </w:r>
        <w:r w:rsidRPr="005922F8">
          <w:rPr>
            <w:b w:val="0"/>
            <w:webHidden/>
          </w:rPr>
        </w:r>
        <w:r w:rsidRPr="005922F8">
          <w:rPr>
            <w:b w:val="0"/>
            <w:webHidden/>
          </w:rPr>
          <w:fldChar w:fldCharType="separate"/>
        </w:r>
        <w:r w:rsidR="000E08BF">
          <w:rPr>
            <w:b w:val="0"/>
            <w:webHidden/>
          </w:rPr>
          <w:t>36</w:t>
        </w:r>
        <w:r w:rsidRPr="005922F8">
          <w:rPr>
            <w:b w:val="0"/>
            <w:webHidden/>
          </w:rPr>
          <w:fldChar w:fldCharType="end"/>
        </w:r>
      </w:hyperlink>
    </w:p>
    <w:p w14:paraId="5F184605" w14:textId="71942682"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81" w:history="1">
        <w:r w:rsidRPr="005922F8">
          <w:rPr>
            <w:rStyle w:val="Hypertextovodkaz"/>
            <w:b w:val="0"/>
          </w:rPr>
          <w:t>10.3</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Vývoj domovního a bytového fondu</w:t>
        </w:r>
        <w:r w:rsidRPr="005922F8">
          <w:rPr>
            <w:b w:val="0"/>
            <w:webHidden/>
          </w:rPr>
          <w:tab/>
        </w:r>
        <w:r w:rsidRPr="005922F8">
          <w:rPr>
            <w:b w:val="0"/>
            <w:webHidden/>
          </w:rPr>
          <w:fldChar w:fldCharType="begin"/>
        </w:r>
        <w:r w:rsidRPr="005922F8">
          <w:rPr>
            <w:b w:val="0"/>
            <w:webHidden/>
          </w:rPr>
          <w:instrText xml:space="preserve"> PAGEREF _Toc204678181 \h </w:instrText>
        </w:r>
        <w:r w:rsidRPr="005922F8">
          <w:rPr>
            <w:b w:val="0"/>
            <w:webHidden/>
          </w:rPr>
        </w:r>
        <w:r w:rsidRPr="005922F8">
          <w:rPr>
            <w:b w:val="0"/>
            <w:webHidden/>
          </w:rPr>
          <w:fldChar w:fldCharType="separate"/>
        </w:r>
        <w:r w:rsidR="000E08BF">
          <w:rPr>
            <w:b w:val="0"/>
            <w:webHidden/>
          </w:rPr>
          <w:t>40</w:t>
        </w:r>
        <w:r w:rsidRPr="005922F8">
          <w:rPr>
            <w:b w:val="0"/>
            <w:webHidden/>
          </w:rPr>
          <w:fldChar w:fldCharType="end"/>
        </w:r>
      </w:hyperlink>
    </w:p>
    <w:p w14:paraId="414315F8" w14:textId="2E8C1539"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82" w:history="1">
        <w:r w:rsidRPr="005922F8">
          <w:rPr>
            <w:rStyle w:val="Hypertextovodkaz"/>
            <w:b w:val="0"/>
          </w:rPr>
          <w:t>10.4</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využití zastavitelných ploch vymezených ve schválené ÚPD obce Kostomlaty nad Labem</w:t>
        </w:r>
        <w:r w:rsidRPr="005922F8">
          <w:rPr>
            <w:b w:val="0"/>
            <w:webHidden/>
          </w:rPr>
          <w:tab/>
        </w:r>
        <w:r w:rsidRPr="005922F8">
          <w:rPr>
            <w:b w:val="0"/>
            <w:webHidden/>
          </w:rPr>
          <w:fldChar w:fldCharType="begin"/>
        </w:r>
        <w:r w:rsidRPr="005922F8">
          <w:rPr>
            <w:b w:val="0"/>
            <w:webHidden/>
          </w:rPr>
          <w:instrText xml:space="preserve"> PAGEREF _Toc204678182 \h </w:instrText>
        </w:r>
        <w:r w:rsidRPr="005922F8">
          <w:rPr>
            <w:b w:val="0"/>
            <w:webHidden/>
          </w:rPr>
        </w:r>
        <w:r w:rsidRPr="005922F8">
          <w:rPr>
            <w:b w:val="0"/>
            <w:webHidden/>
          </w:rPr>
          <w:fldChar w:fldCharType="separate"/>
        </w:r>
        <w:r w:rsidR="000E08BF">
          <w:rPr>
            <w:b w:val="0"/>
            <w:webHidden/>
          </w:rPr>
          <w:t>41</w:t>
        </w:r>
        <w:r w:rsidRPr="005922F8">
          <w:rPr>
            <w:b w:val="0"/>
            <w:webHidden/>
          </w:rPr>
          <w:fldChar w:fldCharType="end"/>
        </w:r>
      </w:hyperlink>
    </w:p>
    <w:p w14:paraId="45AE9100" w14:textId="3E541F07"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83" w:history="1">
        <w:r w:rsidRPr="005922F8">
          <w:rPr>
            <w:rStyle w:val="Hypertextovodkaz"/>
            <w:b w:val="0"/>
          </w:rPr>
          <w:t>10.5</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podaných žádostí o změnu ÚPD (žádosti soukromých vlastníků) a způsob jejich vypořádání</w:t>
        </w:r>
        <w:r w:rsidRPr="005922F8">
          <w:rPr>
            <w:b w:val="0"/>
            <w:webHidden/>
          </w:rPr>
          <w:tab/>
        </w:r>
        <w:r w:rsidRPr="005922F8">
          <w:rPr>
            <w:b w:val="0"/>
            <w:webHidden/>
          </w:rPr>
          <w:fldChar w:fldCharType="begin"/>
        </w:r>
        <w:r w:rsidRPr="005922F8">
          <w:rPr>
            <w:b w:val="0"/>
            <w:webHidden/>
          </w:rPr>
          <w:instrText xml:space="preserve"> PAGEREF _Toc204678183 \h </w:instrText>
        </w:r>
        <w:r w:rsidRPr="005922F8">
          <w:rPr>
            <w:b w:val="0"/>
            <w:webHidden/>
          </w:rPr>
        </w:r>
        <w:r w:rsidRPr="005922F8">
          <w:rPr>
            <w:b w:val="0"/>
            <w:webHidden/>
          </w:rPr>
          <w:fldChar w:fldCharType="separate"/>
        </w:r>
        <w:r w:rsidR="000E08BF">
          <w:rPr>
            <w:b w:val="0"/>
            <w:webHidden/>
          </w:rPr>
          <w:t>42</w:t>
        </w:r>
        <w:r w:rsidRPr="005922F8">
          <w:rPr>
            <w:b w:val="0"/>
            <w:webHidden/>
          </w:rPr>
          <w:fldChar w:fldCharType="end"/>
        </w:r>
      </w:hyperlink>
    </w:p>
    <w:p w14:paraId="54FD98E5" w14:textId="2A2492D2"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84" w:history="1">
        <w:r w:rsidRPr="005922F8">
          <w:rPr>
            <w:rStyle w:val="Hypertextovodkaz"/>
            <w:b w:val="0"/>
          </w:rPr>
          <w:t>10.6</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potřeby vymezení zastavitelných ploch</w:t>
        </w:r>
        <w:r w:rsidRPr="005922F8">
          <w:rPr>
            <w:b w:val="0"/>
            <w:webHidden/>
          </w:rPr>
          <w:tab/>
        </w:r>
        <w:r w:rsidRPr="005922F8">
          <w:rPr>
            <w:b w:val="0"/>
            <w:webHidden/>
          </w:rPr>
          <w:fldChar w:fldCharType="begin"/>
        </w:r>
        <w:r w:rsidRPr="005922F8">
          <w:rPr>
            <w:b w:val="0"/>
            <w:webHidden/>
          </w:rPr>
          <w:instrText xml:space="preserve"> PAGEREF _Toc204678184 \h </w:instrText>
        </w:r>
        <w:r w:rsidRPr="005922F8">
          <w:rPr>
            <w:b w:val="0"/>
            <w:webHidden/>
          </w:rPr>
        </w:r>
        <w:r w:rsidRPr="005922F8">
          <w:rPr>
            <w:b w:val="0"/>
            <w:webHidden/>
          </w:rPr>
          <w:fldChar w:fldCharType="separate"/>
        </w:r>
        <w:r w:rsidR="000E08BF">
          <w:rPr>
            <w:b w:val="0"/>
            <w:webHidden/>
          </w:rPr>
          <w:t>49</w:t>
        </w:r>
        <w:r w:rsidRPr="005922F8">
          <w:rPr>
            <w:b w:val="0"/>
            <w:webHidden/>
          </w:rPr>
          <w:fldChar w:fldCharType="end"/>
        </w:r>
      </w:hyperlink>
    </w:p>
    <w:p w14:paraId="1FDF789D" w14:textId="0F7136D9"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185" w:history="1">
        <w:r w:rsidRPr="005922F8">
          <w:rPr>
            <w:rStyle w:val="Hypertextovodkaz"/>
          </w:rPr>
          <w:t>11</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KOMPLEXNÍ ZDŮVODNĚNÍ PŘIJATÉHO ŘEŠENÍ</w:t>
        </w:r>
        <w:r w:rsidRPr="005922F8">
          <w:rPr>
            <w:webHidden/>
          </w:rPr>
          <w:tab/>
        </w:r>
        <w:r w:rsidRPr="005922F8">
          <w:rPr>
            <w:webHidden/>
          </w:rPr>
          <w:fldChar w:fldCharType="begin"/>
        </w:r>
        <w:r w:rsidRPr="005922F8">
          <w:rPr>
            <w:webHidden/>
          </w:rPr>
          <w:instrText xml:space="preserve"> PAGEREF _Toc204678185 \h </w:instrText>
        </w:r>
        <w:r w:rsidRPr="005922F8">
          <w:rPr>
            <w:webHidden/>
          </w:rPr>
        </w:r>
        <w:r w:rsidRPr="005922F8">
          <w:rPr>
            <w:webHidden/>
          </w:rPr>
          <w:fldChar w:fldCharType="separate"/>
        </w:r>
        <w:r w:rsidR="000E08BF">
          <w:rPr>
            <w:webHidden/>
          </w:rPr>
          <w:t>52</w:t>
        </w:r>
        <w:r w:rsidRPr="005922F8">
          <w:rPr>
            <w:webHidden/>
          </w:rPr>
          <w:fldChar w:fldCharType="end"/>
        </w:r>
      </w:hyperlink>
    </w:p>
    <w:p w14:paraId="5B22D655" w14:textId="32ADE2CF"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86" w:history="1">
        <w:r w:rsidRPr="005922F8">
          <w:rPr>
            <w:rStyle w:val="Hypertextovodkaz"/>
            <w:b w:val="0"/>
          </w:rPr>
          <w:t>11.1</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vymezení zastavěného území</w:t>
        </w:r>
        <w:r w:rsidRPr="005922F8">
          <w:rPr>
            <w:b w:val="0"/>
            <w:webHidden/>
          </w:rPr>
          <w:tab/>
        </w:r>
        <w:r w:rsidRPr="005922F8">
          <w:rPr>
            <w:b w:val="0"/>
            <w:webHidden/>
          </w:rPr>
          <w:fldChar w:fldCharType="begin"/>
        </w:r>
        <w:r w:rsidRPr="005922F8">
          <w:rPr>
            <w:b w:val="0"/>
            <w:webHidden/>
          </w:rPr>
          <w:instrText xml:space="preserve"> PAGEREF _Toc204678186 \h </w:instrText>
        </w:r>
        <w:r w:rsidRPr="005922F8">
          <w:rPr>
            <w:b w:val="0"/>
            <w:webHidden/>
          </w:rPr>
        </w:r>
        <w:r w:rsidRPr="005922F8">
          <w:rPr>
            <w:b w:val="0"/>
            <w:webHidden/>
          </w:rPr>
          <w:fldChar w:fldCharType="separate"/>
        </w:r>
        <w:r w:rsidR="000E08BF">
          <w:rPr>
            <w:b w:val="0"/>
            <w:webHidden/>
          </w:rPr>
          <w:t>52</w:t>
        </w:r>
        <w:r w:rsidRPr="005922F8">
          <w:rPr>
            <w:b w:val="0"/>
            <w:webHidden/>
          </w:rPr>
          <w:fldChar w:fldCharType="end"/>
        </w:r>
      </w:hyperlink>
    </w:p>
    <w:p w14:paraId="628556AA" w14:textId="424B4AE7"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87" w:history="1">
        <w:r w:rsidRPr="005922F8">
          <w:rPr>
            <w:rStyle w:val="Hypertextovodkaz"/>
            <w:b w:val="0"/>
          </w:rPr>
          <w:t>11.2</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koncepce rozvoje území obce, ochrany a rozvoje jeho hodnot</w:t>
        </w:r>
        <w:r w:rsidRPr="005922F8">
          <w:rPr>
            <w:b w:val="0"/>
            <w:webHidden/>
          </w:rPr>
          <w:tab/>
        </w:r>
        <w:r w:rsidRPr="005922F8">
          <w:rPr>
            <w:b w:val="0"/>
            <w:webHidden/>
          </w:rPr>
          <w:fldChar w:fldCharType="begin"/>
        </w:r>
        <w:r w:rsidRPr="005922F8">
          <w:rPr>
            <w:b w:val="0"/>
            <w:webHidden/>
          </w:rPr>
          <w:instrText xml:space="preserve"> PAGEREF _Toc204678187 \h </w:instrText>
        </w:r>
        <w:r w:rsidRPr="005922F8">
          <w:rPr>
            <w:b w:val="0"/>
            <w:webHidden/>
          </w:rPr>
        </w:r>
        <w:r w:rsidRPr="005922F8">
          <w:rPr>
            <w:b w:val="0"/>
            <w:webHidden/>
          </w:rPr>
          <w:fldChar w:fldCharType="separate"/>
        </w:r>
        <w:r w:rsidR="000E08BF">
          <w:rPr>
            <w:b w:val="0"/>
            <w:webHidden/>
          </w:rPr>
          <w:t>56</w:t>
        </w:r>
        <w:r w:rsidRPr="005922F8">
          <w:rPr>
            <w:b w:val="0"/>
            <w:webHidden/>
          </w:rPr>
          <w:fldChar w:fldCharType="end"/>
        </w:r>
      </w:hyperlink>
    </w:p>
    <w:p w14:paraId="305AA528" w14:textId="620D3F69"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88" w:history="1">
        <w:r w:rsidRPr="005922F8">
          <w:rPr>
            <w:rStyle w:val="Hypertextovodkaz"/>
            <w:rFonts w:asciiTheme="majorHAnsi" w:hAnsiTheme="majorHAnsi" w:cstheme="majorHAnsi"/>
            <w:b w:val="0"/>
            <w:bCs/>
          </w:rPr>
          <w:t>11.2.1</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vymezení řešeného území</w:t>
        </w:r>
        <w:r w:rsidRPr="005922F8">
          <w:rPr>
            <w:b w:val="0"/>
            <w:bCs/>
            <w:webHidden/>
          </w:rPr>
          <w:tab/>
        </w:r>
        <w:r w:rsidRPr="005922F8">
          <w:rPr>
            <w:b w:val="0"/>
            <w:bCs/>
            <w:webHidden/>
          </w:rPr>
          <w:fldChar w:fldCharType="begin"/>
        </w:r>
        <w:r w:rsidRPr="005922F8">
          <w:rPr>
            <w:b w:val="0"/>
            <w:bCs/>
            <w:webHidden/>
          </w:rPr>
          <w:instrText xml:space="preserve"> PAGEREF _Toc204678188 \h </w:instrText>
        </w:r>
        <w:r w:rsidRPr="005922F8">
          <w:rPr>
            <w:b w:val="0"/>
            <w:bCs/>
            <w:webHidden/>
          </w:rPr>
        </w:r>
        <w:r w:rsidRPr="005922F8">
          <w:rPr>
            <w:b w:val="0"/>
            <w:bCs/>
            <w:webHidden/>
          </w:rPr>
          <w:fldChar w:fldCharType="separate"/>
        </w:r>
        <w:r w:rsidR="000E08BF">
          <w:rPr>
            <w:b w:val="0"/>
            <w:bCs/>
            <w:webHidden/>
          </w:rPr>
          <w:t>56</w:t>
        </w:r>
        <w:r w:rsidRPr="005922F8">
          <w:rPr>
            <w:b w:val="0"/>
            <w:bCs/>
            <w:webHidden/>
          </w:rPr>
          <w:fldChar w:fldCharType="end"/>
        </w:r>
      </w:hyperlink>
    </w:p>
    <w:p w14:paraId="207EAA81" w14:textId="7B1FE4BD"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89" w:history="1">
        <w:r w:rsidRPr="005922F8">
          <w:rPr>
            <w:rStyle w:val="Hypertextovodkaz"/>
            <w:rFonts w:asciiTheme="majorHAnsi" w:hAnsiTheme="majorHAnsi" w:cstheme="majorHAnsi"/>
            <w:b w:val="0"/>
            <w:bCs/>
          </w:rPr>
          <w:t>11.2.2</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koncepce rozvoje území obce</w:t>
        </w:r>
        <w:r w:rsidRPr="005922F8">
          <w:rPr>
            <w:b w:val="0"/>
            <w:bCs/>
            <w:webHidden/>
          </w:rPr>
          <w:tab/>
        </w:r>
        <w:r w:rsidRPr="005922F8">
          <w:rPr>
            <w:b w:val="0"/>
            <w:bCs/>
            <w:webHidden/>
          </w:rPr>
          <w:fldChar w:fldCharType="begin"/>
        </w:r>
        <w:r w:rsidRPr="005922F8">
          <w:rPr>
            <w:b w:val="0"/>
            <w:bCs/>
            <w:webHidden/>
          </w:rPr>
          <w:instrText xml:space="preserve"> PAGEREF _Toc204678189 \h </w:instrText>
        </w:r>
        <w:r w:rsidRPr="005922F8">
          <w:rPr>
            <w:b w:val="0"/>
            <w:bCs/>
            <w:webHidden/>
          </w:rPr>
        </w:r>
        <w:r w:rsidRPr="005922F8">
          <w:rPr>
            <w:b w:val="0"/>
            <w:bCs/>
            <w:webHidden/>
          </w:rPr>
          <w:fldChar w:fldCharType="separate"/>
        </w:r>
        <w:r w:rsidR="000E08BF">
          <w:rPr>
            <w:b w:val="0"/>
            <w:bCs/>
            <w:webHidden/>
          </w:rPr>
          <w:t>56</w:t>
        </w:r>
        <w:r w:rsidRPr="005922F8">
          <w:rPr>
            <w:b w:val="0"/>
            <w:bCs/>
            <w:webHidden/>
          </w:rPr>
          <w:fldChar w:fldCharType="end"/>
        </w:r>
      </w:hyperlink>
    </w:p>
    <w:p w14:paraId="365FC877" w14:textId="6B148823"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90" w:history="1">
        <w:r w:rsidRPr="005922F8">
          <w:rPr>
            <w:rStyle w:val="Hypertextovodkaz"/>
            <w:rFonts w:asciiTheme="majorHAnsi" w:hAnsiTheme="majorHAnsi" w:cstheme="majorHAnsi"/>
            <w:b w:val="0"/>
            <w:bCs/>
          </w:rPr>
          <w:t>11.2.3</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koncepce ochrany a rozvoje hodnot území</w:t>
        </w:r>
        <w:r w:rsidRPr="005922F8">
          <w:rPr>
            <w:b w:val="0"/>
            <w:bCs/>
            <w:webHidden/>
          </w:rPr>
          <w:tab/>
        </w:r>
        <w:r w:rsidRPr="005922F8">
          <w:rPr>
            <w:b w:val="0"/>
            <w:bCs/>
            <w:webHidden/>
          </w:rPr>
          <w:fldChar w:fldCharType="begin"/>
        </w:r>
        <w:r w:rsidRPr="005922F8">
          <w:rPr>
            <w:b w:val="0"/>
            <w:bCs/>
            <w:webHidden/>
          </w:rPr>
          <w:instrText xml:space="preserve"> PAGEREF _Toc204678190 \h </w:instrText>
        </w:r>
        <w:r w:rsidRPr="005922F8">
          <w:rPr>
            <w:b w:val="0"/>
            <w:bCs/>
            <w:webHidden/>
          </w:rPr>
        </w:r>
        <w:r w:rsidRPr="005922F8">
          <w:rPr>
            <w:b w:val="0"/>
            <w:bCs/>
            <w:webHidden/>
          </w:rPr>
          <w:fldChar w:fldCharType="separate"/>
        </w:r>
        <w:r w:rsidR="000E08BF">
          <w:rPr>
            <w:b w:val="0"/>
            <w:bCs/>
            <w:webHidden/>
          </w:rPr>
          <w:t>57</w:t>
        </w:r>
        <w:r w:rsidRPr="005922F8">
          <w:rPr>
            <w:b w:val="0"/>
            <w:bCs/>
            <w:webHidden/>
          </w:rPr>
          <w:fldChar w:fldCharType="end"/>
        </w:r>
      </w:hyperlink>
    </w:p>
    <w:p w14:paraId="139A6083" w14:textId="554FA7F3"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91" w:history="1">
        <w:r w:rsidRPr="005922F8">
          <w:rPr>
            <w:rStyle w:val="Hypertextovodkaz"/>
            <w:rFonts w:asciiTheme="majorHAnsi" w:hAnsiTheme="majorHAnsi" w:cstheme="majorHAnsi"/>
            <w:b w:val="0"/>
            <w:bCs/>
          </w:rPr>
          <w:t>11.2.4</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Civilní obrana, obrana státu, požární ochrana a další specifické požadavky</w:t>
        </w:r>
        <w:r w:rsidRPr="005922F8">
          <w:rPr>
            <w:b w:val="0"/>
            <w:bCs/>
            <w:webHidden/>
          </w:rPr>
          <w:tab/>
        </w:r>
        <w:r w:rsidRPr="005922F8">
          <w:rPr>
            <w:b w:val="0"/>
            <w:bCs/>
            <w:webHidden/>
          </w:rPr>
          <w:fldChar w:fldCharType="begin"/>
        </w:r>
        <w:r w:rsidRPr="005922F8">
          <w:rPr>
            <w:b w:val="0"/>
            <w:bCs/>
            <w:webHidden/>
          </w:rPr>
          <w:instrText xml:space="preserve"> PAGEREF _Toc204678191 \h </w:instrText>
        </w:r>
        <w:r w:rsidRPr="005922F8">
          <w:rPr>
            <w:b w:val="0"/>
            <w:bCs/>
            <w:webHidden/>
          </w:rPr>
        </w:r>
        <w:r w:rsidRPr="005922F8">
          <w:rPr>
            <w:b w:val="0"/>
            <w:bCs/>
            <w:webHidden/>
          </w:rPr>
          <w:fldChar w:fldCharType="separate"/>
        </w:r>
        <w:r w:rsidR="000E08BF">
          <w:rPr>
            <w:b w:val="0"/>
            <w:bCs/>
            <w:webHidden/>
          </w:rPr>
          <w:t>62</w:t>
        </w:r>
        <w:r w:rsidRPr="005922F8">
          <w:rPr>
            <w:b w:val="0"/>
            <w:bCs/>
            <w:webHidden/>
          </w:rPr>
          <w:fldChar w:fldCharType="end"/>
        </w:r>
      </w:hyperlink>
    </w:p>
    <w:p w14:paraId="24754EEB" w14:textId="2E06CD88"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92" w:history="1">
        <w:r w:rsidRPr="005922F8">
          <w:rPr>
            <w:rStyle w:val="Hypertextovodkaz"/>
            <w:b w:val="0"/>
          </w:rPr>
          <w:t>11.3</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urbanistické koncepce, včetně urbanistické kompozice, vymezení ploch s rozdílným způsobem využití, zastavitelných ploch, ploch přestavby a systému sídelní zeleně</w:t>
        </w:r>
        <w:r w:rsidRPr="005922F8">
          <w:rPr>
            <w:b w:val="0"/>
            <w:webHidden/>
          </w:rPr>
          <w:tab/>
        </w:r>
        <w:r w:rsidRPr="005922F8">
          <w:rPr>
            <w:b w:val="0"/>
            <w:webHidden/>
          </w:rPr>
          <w:fldChar w:fldCharType="begin"/>
        </w:r>
        <w:r w:rsidRPr="005922F8">
          <w:rPr>
            <w:b w:val="0"/>
            <w:webHidden/>
          </w:rPr>
          <w:instrText xml:space="preserve"> PAGEREF _Toc204678192 \h </w:instrText>
        </w:r>
        <w:r w:rsidRPr="005922F8">
          <w:rPr>
            <w:b w:val="0"/>
            <w:webHidden/>
          </w:rPr>
        </w:r>
        <w:r w:rsidRPr="005922F8">
          <w:rPr>
            <w:b w:val="0"/>
            <w:webHidden/>
          </w:rPr>
          <w:fldChar w:fldCharType="separate"/>
        </w:r>
        <w:r w:rsidR="000E08BF">
          <w:rPr>
            <w:b w:val="0"/>
            <w:webHidden/>
          </w:rPr>
          <w:t>64</w:t>
        </w:r>
        <w:r w:rsidRPr="005922F8">
          <w:rPr>
            <w:b w:val="0"/>
            <w:webHidden/>
          </w:rPr>
          <w:fldChar w:fldCharType="end"/>
        </w:r>
      </w:hyperlink>
    </w:p>
    <w:p w14:paraId="4361523B" w14:textId="7C5C1771"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93" w:history="1">
        <w:r w:rsidRPr="005922F8">
          <w:rPr>
            <w:rStyle w:val="Hypertextovodkaz"/>
            <w:rFonts w:asciiTheme="majorHAnsi" w:hAnsiTheme="majorHAnsi" w:cstheme="majorHAnsi"/>
            <w:b w:val="0"/>
            <w:bCs/>
          </w:rPr>
          <w:t>11.3.1</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urbanistické koncepce a urbanistické kompozice</w:t>
        </w:r>
        <w:r w:rsidRPr="005922F8">
          <w:rPr>
            <w:b w:val="0"/>
            <w:bCs/>
            <w:webHidden/>
          </w:rPr>
          <w:tab/>
        </w:r>
        <w:r w:rsidRPr="005922F8">
          <w:rPr>
            <w:b w:val="0"/>
            <w:bCs/>
            <w:webHidden/>
          </w:rPr>
          <w:fldChar w:fldCharType="begin"/>
        </w:r>
        <w:r w:rsidRPr="005922F8">
          <w:rPr>
            <w:b w:val="0"/>
            <w:bCs/>
            <w:webHidden/>
          </w:rPr>
          <w:instrText xml:space="preserve"> PAGEREF _Toc204678193 \h </w:instrText>
        </w:r>
        <w:r w:rsidRPr="005922F8">
          <w:rPr>
            <w:b w:val="0"/>
            <w:bCs/>
            <w:webHidden/>
          </w:rPr>
        </w:r>
        <w:r w:rsidRPr="005922F8">
          <w:rPr>
            <w:b w:val="0"/>
            <w:bCs/>
            <w:webHidden/>
          </w:rPr>
          <w:fldChar w:fldCharType="separate"/>
        </w:r>
        <w:r w:rsidR="000E08BF">
          <w:rPr>
            <w:b w:val="0"/>
            <w:bCs/>
            <w:webHidden/>
          </w:rPr>
          <w:t>64</w:t>
        </w:r>
        <w:r w:rsidRPr="005922F8">
          <w:rPr>
            <w:b w:val="0"/>
            <w:bCs/>
            <w:webHidden/>
          </w:rPr>
          <w:fldChar w:fldCharType="end"/>
        </w:r>
      </w:hyperlink>
    </w:p>
    <w:p w14:paraId="079C7881" w14:textId="2E638C43"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94" w:history="1">
        <w:r w:rsidRPr="005922F8">
          <w:rPr>
            <w:rStyle w:val="Hypertextovodkaz"/>
            <w:rFonts w:asciiTheme="majorHAnsi" w:hAnsiTheme="majorHAnsi" w:cstheme="majorHAnsi"/>
            <w:b w:val="0"/>
            <w:bCs/>
          </w:rPr>
          <w:t>11.3.2</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vymezení ploch s rozdílným způsobem využití</w:t>
        </w:r>
        <w:r w:rsidRPr="005922F8">
          <w:rPr>
            <w:b w:val="0"/>
            <w:bCs/>
            <w:webHidden/>
          </w:rPr>
          <w:tab/>
        </w:r>
        <w:r w:rsidRPr="005922F8">
          <w:rPr>
            <w:b w:val="0"/>
            <w:bCs/>
            <w:webHidden/>
          </w:rPr>
          <w:fldChar w:fldCharType="begin"/>
        </w:r>
        <w:r w:rsidRPr="005922F8">
          <w:rPr>
            <w:b w:val="0"/>
            <w:bCs/>
            <w:webHidden/>
          </w:rPr>
          <w:instrText xml:space="preserve"> PAGEREF _Toc204678194 \h </w:instrText>
        </w:r>
        <w:r w:rsidRPr="005922F8">
          <w:rPr>
            <w:b w:val="0"/>
            <w:bCs/>
            <w:webHidden/>
          </w:rPr>
        </w:r>
        <w:r w:rsidRPr="005922F8">
          <w:rPr>
            <w:b w:val="0"/>
            <w:bCs/>
            <w:webHidden/>
          </w:rPr>
          <w:fldChar w:fldCharType="separate"/>
        </w:r>
        <w:r w:rsidR="000E08BF">
          <w:rPr>
            <w:b w:val="0"/>
            <w:bCs/>
            <w:webHidden/>
          </w:rPr>
          <w:t>76</w:t>
        </w:r>
        <w:r w:rsidRPr="005922F8">
          <w:rPr>
            <w:b w:val="0"/>
            <w:bCs/>
            <w:webHidden/>
          </w:rPr>
          <w:fldChar w:fldCharType="end"/>
        </w:r>
      </w:hyperlink>
    </w:p>
    <w:p w14:paraId="18C7A2E4" w14:textId="33F89675"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95" w:history="1">
        <w:r w:rsidRPr="005922F8">
          <w:rPr>
            <w:rStyle w:val="Hypertextovodkaz"/>
            <w:rFonts w:asciiTheme="majorHAnsi" w:hAnsiTheme="majorHAnsi" w:cstheme="majorHAnsi"/>
            <w:b w:val="0"/>
            <w:bCs/>
          </w:rPr>
          <w:t>11.3.3</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vymezení zastavitelných ploch</w:t>
        </w:r>
        <w:r w:rsidRPr="005922F8">
          <w:rPr>
            <w:b w:val="0"/>
            <w:bCs/>
            <w:webHidden/>
          </w:rPr>
          <w:tab/>
        </w:r>
        <w:r w:rsidRPr="005922F8">
          <w:rPr>
            <w:b w:val="0"/>
            <w:bCs/>
            <w:webHidden/>
          </w:rPr>
          <w:fldChar w:fldCharType="begin"/>
        </w:r>
        <w:r w:rsidRPr="005922F8">
          <w:rPr>
            <w:b w:val="0"/>
            <w:bCs/>
            <w:webHidden/>
          </w:rPr>
          <w:instrText xml:space="preserve"> PAGEREF _Toc204678195 \h </w:instrText>
        </w:r>
        <w:r w:rsidRPr="005922F8">
          <w:rPr>
            <w:b w:val="0"/>
            <w:bCs/>
            <w:webHidden/>
          </w:rPr>
        </w:r>
        <w:r w:rsidRPr="005922F8">
          <w:rPr>
            <w:b w:val="0"/>
            <w:bCs/>
            <w:webHidden/>
          </w:rPr>
          <w:fldChar w:fldCharType="separate"/>
        </w:r>
        <w:r w:rsidR="000E08BF">
          <w:rPr>
            <w:b w:val="0"/>
            <w:bCs/>
            <w:webHidden/>
          </w:rPr>
          <w:t>77</w:t>
        </w:r>
        <w:r w:rsidRPr="005922F8">
          <w:rPr>
            <w:b w:val="0"/>
            <w:bCs/>
            <w:webHidden/>
          </w:rPr>
          <w:fldChar w:fldCharType="end"/>
        </w:r>
      </w:hyperlink>
    </w:p>
    <w:p w14:paraId="3DC0B6E1" w14:textId="34793A37"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96" w:history="1">
        <w:r w:rsidRPr="005922F8">
          <w:rPr>
            <w:rStyle w:val="Hypertextovodkaz"/>
            <w:rFonts w:asciiTheme="majorHAnsi" w:hAnsiTheme="majorHAnsi" w:cstheme="majorHAnsi"/>
            <w:b w:val="0"/>
            <w:bCs/>
          </w:rPr>
          <w:t>11.3.4</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vymezení systému sídelní zeleně</w:t>
        </w:r>
        <w:r w:rsidRPr="005922F8">
          <w:rPr>
            <w:b w:val="0"/>
            <w:bCs/>
            <w:webHidden/>
          </w:rPr>
          <w:tab/>
        </w:r>
        <w:r w:rsidRPr="005922F8">
          <w:rPr>
            <w:b w:val="0"/>
            <w:bCs/>
            <w:webHidden/>
          </w:rPr>
          <w:fldChar w:fldCharType="begin"/>
        </w:r>
        <w:r w:rsidRPr="005922F8">
          <w:rPr>
            <w:b w:val="0"/>
            <w:bCs/>
            <w:webHidden/>
          </w:rPr>
          <w:instrText xml:space="preserve"> PAGEREF _Toc204678196 \h </w:instrText>
        </w:r>
        <w:r w:rsidRPr="005922F8">
          <w:rPr>
            <w:b w:val="0"/>
            <w:bCs/>
            <w:webHidden/>
          </w:rPr>
        </w:r>
        <w:r w:rsidRPr="005922F8">
          <w:rPr>
            <w:b w:val="0"/>
            <w:bCs/>
            <w:webHidden/>
          </w:rPr>
          <w:fldChar w:fldCharType="separate"/>
        </w:r>
        <w:r w:rsidR="000E08BF">
          <w:rPr>
            <w:b w:val="0"/>
            <w:bCs/>
            <w:webHidden/>
          </w:rPr>
          <w:t>85</w:t>
        </w:r>
        <w:r w:rsidRPr="005922F8">
          <w:rPr>
            <w:b w:val="0"/>
            <w:bCs/>
            <w:webHidden/>
          </w:rPr>
          <w:fldChar w:fldCharType="end"/>
        </w:r>
      </w:hyperlink>
    </w:p>
    <w:p w14:paraId="2534BC78" w14:textId="08CAD6CC"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197" w:history="1">
        <w:r w:rsidRPr="005922F8">
          <w:rPr>
            <w:rStyle w:val="Hypertextovodkaz"/>
            <w:b w:val="0"/>
          </w:rPr>
          <w:t>11.4</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koncepce veřejné infrastruktury</w:t>
        </w:r>
        <w:r w:rsidRPr="005922F8">
          <w:rPr>
            <w:b w:val="0"/>
            <w:webHidden/>
          </w:rPr>
          <w:tab/>
        </w:r>
        <w:r w:rsidRPr="005922F8">
          <w:rPr>
            <w:b w:val="0"/>
            <w:webHidden/>
          </w:rPr>
          <w:fldChar w:fldCharType="begin"/>
        </w:r>
        <w:r w:rsidRPr="005922F8">
          <w:rPr>
            <w:b w:val="0"/>
            <w:webHidden/>
          </w:rPr>
          <w:instrText xml:space="preserve"> PAGEREF _Toc204678197 \h </w:instrText>
        </w:r>
        <w:r w:rsidRPr="005922F8">
          <w:rPr>
            <w:b w:val="0"/>
            <w:webHidden/>
          </w:rPr>
        </w:r>
        <w:r w:rsidRPr="005922F8">
          <w:rPr>
            <w:b w:val="0"/>
            <w:webHidden/>
          </w:rPr>
          <w:fldChar w:fldCharType="separate"/>
        </w:r>
        <w:r w:rsidR="000E08BF">
          <w:rPr>
            <w:b w:val="0"/>
            <w:webHidden/>
          </w:rPr>
          <w:t>86</w:t>
        </w:r>
        <w:r w:rsidRPr="005922F8">
          <w:rPr>
            <w:b w:val="0"/>
            <w:webHidden/>
          </w:rPr>
          <w:fldChar w:fldCharType="end"/>
        </w:r>
      </w:hyperlink>
    </w:p>
    <w:p w14:paraId="732EFC31" w14:textId="37C69E40"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98" w:history="1">
        <w:r w:rsidRPr="005922F8">
          <w:rPr>
            <w:rStyle w:val="Hypertextovodkaz"/>
            <w:rFonts w:asciiTheme="majorHAnsi" w:hAnsiTheme="majorHAnsi" w:cstheme="majorHAnsi"/>
            <w:b w:val="0"/>
            <w:bCs/>
          </w:rPr>
          <w:t>11.4.1</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koncepce občanského vybavení</w:t>
        </w:r>
        <w:r w:rsidRPr="005922F8">
          <w:rPr>
            <w:b w:val="0"/>
            <w:bCs/>
            <w:webHidden/>
          </w:rPr>
          <w:tab/>
        </w:r>
        <w:r w:rsidRPr="005922F8">
          <w:rPr>
            <w:b w:val="0"/>
            <w:bCs/>
            <w:webHidden/>
          </w:rPr>
          <w:fldChar w:fldCharType="begin"/>
        </w:r>
        <w:r w:rsidRPr="005922F8">
          <w:rPr>
            <w:b w:val="0"/>
            <w:bCs/>
            <w:webHidden/>
          </w:rPr>
          <w:instrText xml:space="preserve"> PAGEREF _Toc204678198 \h </w:instrText>
        </w:r>
        <w:r w:rsidRPr="005922F8">
          <w:rPr>
            <w:b w:val="0"/>
            <w:bCs/>
            <w:webHidden/>
          </w:rPr>
        </w:r>
        <w:r w:rsidRPr="005922F8">
          <w:rPr>
            <w:b w:val="0"/>
            <w:bCs/>
            <w:webHidden/>
          </w:rPr>
          <w:fldChar w:fldCharType="separate"/>
        </w:r>
        <w:r w:rsidR="000E08BF">
          <w:rPr>
            <w:b w:val="0"/>
            <w:bCs/>
            <w:webHidden/>
          </w:rPr>
          <w:t>86</w:t>
        </w:r>
        <w:r w:rsidRPr="005922F8">
          <w:rPr>
            <w:b w:val="0"/>
            <w:bCs/>
            <w:webHidden/>
          </w:rPr>
          <w:fldChar w:fldCharType="end"/>
        </w:r>
      </w:hyperlink>
    </w:p>
    <w:p w14:paraId="6C8DD145" w14:textId="160B653D"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199" w:history="1">
        <w:r w:rsidRPr="005922F8">
          <w:rPr>
            <w:rStyle w:val="Hypertextovodkaz"/>
            <w:rFonts w:asciiTheme="majorHAnsi" w:hAnsiTheme="majorHAnsi" w:cstheme="majorHAnsi"/>
            <w:b w:val="0"/>
            <w:bCs/>
          </w:rPr>
          <w:t>11.4.2</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koncepce veřejných prostranství</w:t>
        </w:r>
        <w:r w:rsidRPr="005922F8">
          <w:rPr>
            <w:b w:val="0"/>
            <w:bCs/>
            <w:webHidden/>
          </w:rPr>
          <w:tab/>
        </w:r>
        <w:r w:rsidRPr="005922F8">
          <w:rPr>
            <w:b w:val="0"/>
            <w:bCs/>
            <w:webHidden/>
          </w:rPr>
          <w:fldChar w:fldCharType="begin"/>
        </w:r>
        <w:r w:rsidRPr="005922F8">
          <w:rPr>
            <w:b w:val="0"/>
            <w:bCs/>
            <w:webHidden/>
          </w:rPr>
          <w:instrText xml:space="preserve"> PAGEREF _Toc204678199 \h </w:instrText>
        </w:r>
        <w:r w:rsidRPr="005922F8">
          <w:rPr>
            <w:b w:val="0"/>
            <w:bCs/>
            <w:webHidden/>
          </w:rPr>
        </w:r>
        <w:r w:rsidRPr="005922F8">
          <w:rPr>
            <w:b w:val="0"/>
            <w:bCs/>
            <w:webHidden/>
          </w:rPr>
          <w:fldChar w:fldCharType="separate"/>
        </w:r>
        <w:r w:rsidR="000E08BF">
          <w:rPr>
            <w:b w:val="0"/>
            <w:bCs/>
            <w:webHidden/>
          </w:rPr>
          <w:t>87</w:t>
        </w:r>
        <w:r w:rsidRPr="005922F8">
          <w:rPr>
            <w:b w:val="0"/>
            <w:bCs/>
            <w:webHidden/>
          </w:rPr>
          <w:fldChar w:fldCharType="end"/>
        </w:r>
      </w:hyperlink>
    </w:p>
    <w:p w14:paraId="17A22C72" w14:textId="44565D51"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0" w:history="1">
        <w:r w:rsidRPr="005922F8">
          <w:rPr>
            <w:rStyle w:val="Hypertextovodkaz"/>
            <w:rFonts w:asciiTheme="majorHAnsi" w:hAnsiTheme="majorHAnsi" w:cstheme="majorHAnsi"/>
            <w:b w:val="0"/>
            <w:bCs/>
          </w:rPr>
          <w:t>11.4.3</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koncepce dopravní infrastruktury</w:t>
        </w:r>
        <w:r w:rsidRPr="005922F8">
          <w:rPr>
            <w:b w:val="0"/>
            <w:bCs/>
            <w:webHidden/>
          </w:rPr>
          <w:tab/>
        </w:r>
        <w:r w:rsidRPr="005922F8">
          <w:rPr>
            <w:b w:val="0"/>
            <w:bCs/>
            <w:webHidden/>
          </w:rPr>
          <w:fldChar w:fldCharType="begin"/>
        </w:r>
        <w:r w:rsidRPr="005922F8">
          <w:rPr>
            <w:b w:val="0"/>
            <w:bCs/>
            <w:webHidden/>
          </w:rPr>
          <w:instrText xml:space="preserve"> PAGEREF _Toc204678200 \h </w:instrText>
        </w:r>
        <w:r w:rsidRPr="005922F8">
          <w:rPr>
            <w:b w:val="0"/>
            <w:bCs/>
            <w:webHidden/>
          </w:rPr>
        </w:r>
        <w:r w:rsidRPr="005922F8">
          <w:rPr>
            <w:b w:val="0"/>
            <w:bCs/>
            <w:webHidden/>
          </w:rPr>
          <w:fldChar w:fldCharType="separate"/>
        </w:r>
        <w:r w:rsidR="000E08BF">
          <w:rPr>
            <w:b w:val="0"/>
            <w:bCs/>
            <w:webHidden/>
          </w:rPr>
          <w:t>88</w:t>
        </w:r>
        <w:r w:rsidRPr="005922F8">
          <w:rPr>
            <w:b w:val="0"/>
            <w:bCs/>
            <w:webHidden/>
          </w:rPr>
          <w:fldChar w:fldCharType="end"/>
        </w:r>
      </w:hyperlink>
    </w:p>
    <w:p w14:paraId="438FC5F0" w14:textId="766A6DC9"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1" w:history="1">
        <w:r w:rsidRPr="005922F8">
          <w:rPr>
            <w:rStyle w:val="Hypertextovodkaz"/>
            <w:rFonts w:asciiTheme="majorHAnsi" w:hAnsiTheme="majorHAnsi" w:cstheme="majorHAnsi"/>
            <w:b w:val="0"/>
            <w:bCs/>
          </w:rPr>
          <w:t>11.4.4</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koncepce technické infrastruktury</w:t>
        </w:r>
        <w:r w:rsidRPr="005922F8">
          <w:rPr>
            <w:b w:val="0"/>
            <w:bCs/>
            <w:webHidden/>
          </w:rPr>
          <w:tab/>
        </w:r>
        <w:r w:rsidRPr="005922F8">
          <w:rPr>
            <w:b w:val="0"/>
            <w:bCs/>
            <w:webHidden/>
          </w:rPr>
          <w:fldChar w:fldCharType="begin"/>
        </w:r>
        <w:r w:rsidRPr="005922F8">
          <w:rPr>
            <w:b w:val="0"/>
            <w:bCs/>
            <w:webHidden/>
          </w:rPr>
          <w:instrText xml:space="preserve"> PAGEREF _Toc204678201 \h </w:instrText>
        </w:r>
        <w:r w:rsidRPr="005922F8">
          <w:rPr>
            <w:b w:val="0"/>
            <w:bCs/>
            <w:webHidden/>
          </w:rPr>
        </w:r>
        <w:r w:rsidRPr="005922F8">
          <w:rPr>
            <w:b w:val="0"/>
            <w:bCs/>
            <w:webHidden/>
          </w:rPr>
          <w:fldChar w:fldCharType="separate"/>
        </w:r>
        <w:r w:rsidR="000E08BF">
          <w:rPr>
            <w:b w:val="0"/>
            <w:bCs/>
            <w:webHidden/>
          </w:rPr>
          <w:t>100</w:t>
        </w:r>
        <w:r w:rsidRPr="005922F8">
          <w:rPr>
            <w:b w:val="0"/>
            <w:bCs/>
            <w:webHidden/>
          </w:rPr>
          <w:fldChar w:fldCharType="end"/>
        </w:r>
      </w:hyperlink>
    </w:p>
    <w:p w14:paraId="7DA96EB0" w14:textId="3E767F0F"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02" w:history="1">
        <w:r w:rsidRPr="005922F8">
          <w:rPr>
            <w:rStyle w:val="Hypertextovodkaz"/>
            <w:b w:val="0"/>
          </w:rPr>
          <w:t>11.5</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koncepce uspořádání krajiny</w:t>
        </w:r>
        <w:r w:rsidRPr="005922F8">
          <w:rPr>
            <w:b w:val="0"/>
            <w:webHidden/>
          </w:rPr>
          <w:tab/>
        </w:r>
        <w:r w:rsidRPr="005922F8">
          <w:rPr>
            <w:b w:val="0"/>
            <w:webHidden/>
          </w:rPr>
          <w:fldChar w:fldCharType="begin"/>
        </w:r>
        <w:r w:rsidRPr="005922F8">
          <w:rPr>
            <w:b w:val="0"/>
            <w:webHidden/>
          </w:rPr>
          <w:instrText xml:space="preserve"> PAGEREF _Toc204678202 \h </w:instrText>
        </w:r>
        <w:r w:rsidRPr="005922F8">
          <w:rPr>
            <w:b w:val="0"/>
            <w:webHidden/>
          </w:rPr>
        </w:r>
        <w:r w:rsidRPr="005922F8">
          <w:rPr>
            <w:b w:val="0"/>
            <w:webHidden/>
          </w:rPr>
          <w:fldChar w:fldCharType="separate"/>
        </w:r>
        <w:r w:rsidR="000E08BF">
          <w:rPr>
            <w:b w:val="0"/>
            <w:webHidden/>
          </w:rPr>
          <w:t>110</w:t>
        </w:r>
        <w:r w:rsidRPr="005922F8">
          <w:rPr>
            <w:b w:val="0"/>
            <w:webHidden/>
          </w:rPr>
          <w:fldChar w:fldCharType="end"/>
        </w:r>
      </w:hyperlink>
    </w:p>
    <w:p w14:paraId="6808425B" w14:textId="74F9F5D8"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3" w:history="1">
        <w:r w:rsidRPr="005922F8">
          <w:rPr>
            <w:rStyle w:val="Hypertextovodkaz"/>
            <w:rFonts w:asciiTheme="majorHAnsi" w:hAnsiTheme="majorHAnsi" w:cstheme="majorHAnsi"/>
            <w:b w:val="0"/>
            <w:bCs/>
          </w:rPr>
          <w:t>11.5.1</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Východiska pro návrh řešení – přírodní podmínky v území</w:t>
        </w:r>
        <w:r w:rsidRPr="005922F8">
          <w:rPr>
            <w:b w:val="0"/>
            <w:bCs/>
            <w:webHidden/>
          </w:rPr>
          <w:tab/>
        </w:r>
        <w:r w:rsidRPr="005922F8">
          <w:rPr>
            <w:b w:val="0"/>
            <w:bCs/>
            <w:webHidden/>
          </w:rPr>
          <w:fldChar w:fldCharType="begin"/>
        </w:r>
        <w:r w:rsidRPr="005922F8">
          <w:rPr>
            <w:b w:val="0"/>
            <w:bCs/>
            <w:webHidden/>
          </w:rPr>
          <w:instrText xml:space="preserve"> PAGEREF _Toc204678203 \h </w:instrText>
        </w:r>
        <w:r w:rsidRPr="005922F8">
          <w:rPr>
            <w:b w:val="0"/>
            <w:bCs/>
            <w:webHidden/>
          </w:rPr>
        </w:r>
        <w:r w:rsidRPr="005922F8">
          <w:rPr>
            <w:b w:val="0"/>
            <w:bCs/>
            <w:webHidden/>
          </w:rPr>
          <w:fldChar w:fldCharType="separate"/>
        </w:r>
        <w:r w:rsidR="000E08BF">
          <w:rPr>
            <w:b w:val="0"/>
            <w:bCs/>
            <w:webHidden/>
          </w:rPr>
          <w:t>110</w:t>
        </w:r>
        <w:r w:rsidRPr="005922F8">
          <w:rPr>
            <w:b w:val="0"/>
            <w:bCs/>
            <w:webHidden/>
          </w:rPr>
          <w:fldChar w:fldCharType="end"/>
        </w:r>
      </w:hyperlink>
    </w:p>
    <w:p w14:paraId="1FE696F8" w14:textId="64141717"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4" w:history="1">
        <w:r w:rsidRPr="005922F8">
          <w:rPr>
            <w:rStyle w:val="Hypertextovodkaz"/>
            <w:rFonts w:asciiTheme="majorHAnsi" w:hAnsiTheme="majorHAnsi" w:cstheme="majorHAnsi"/>
            <w:b w:val="0"/>
            <w:bCs/>
          </w:rPr>
          <w:t>11.5.2</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koncepce uspořádání krajiny</w:t>
        </w:r>
        <w:r w:rsidRPr="005922F8">
          <w:rPr>
            <w:b w:val="0"/>
            <w:bCs/>
            <w:webHidden/>
          </w:rPr>
          <w:tab/>
        </w:r>
        <w:r w:rsidRPr="005922F8">
          <w:rPr>
            <w:b w:val="0"/>
            <w:bCs/>
            <w:webHidden/>
          </w:rPr>
          <w:fldChar w:fldCharType="begin"/>
        </w:r>
        <w:r w:rsidRPr="005922F8">
          <w:rPr>
            <w:b w:val="0"/>
            <w:bCs/>
            <w:webHidden/>
          </w:rPr>
          <w:instrText xml:space="preserve"> PAGEREF _Toc204678204 \h </w:instrText>
        </w:r>
        <w:r w:rsidRPr="005922F8">
          <w:rPr>
            <w:b w:val="0"/>
            <w:bCs/>
            <w:webHidden/>
          </w:rPr>
        </w:r>
        <w:r w:rsidRPr="005922F8">
          <w:rPr>
            <w:b w:val="0"/>
            <w:bCs/>
            <w:webHidden/>
          </w:rPr>
          <w:fldChar w:fldCharType="separate"/>
        </w:r>
        <w:r w:rsidR="000E08BF">
          <w:rPr>
            <w:b w:val="0"/>
            <w:bCs/>
            <w:webHidden/>
          </w:rPr>
          <w:t>114</w:t>
        </w:r>
        <w:r w:rsidRPr="005922F8">
          <w:rPr>
            <w:b w:val="0"/>
            <w:bCs/>
            <w:webHidden/>
          </w:rPr>
          <w:fldChar w:fldCharType="end"/>
        </w:r>
      </w:hyperlink>
    </w:p>
    <w:p w14:paraId="6C3A6FDF" w14:textId="713EEA56"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5" w:history="1">
        <w:r w:rsidRPr="005922F8">
          <w:rPr>
            <w:rStyle w:val="Hypertextovodkaz"/>
            <w:rFonts w:asciiTheme="majorHAnsi" w:hAnsiTheme="majorHAnsi" w:cstheme="majorHAnsi"/>
            <w:b w:val="0"/>
            <w:bCs/>
          </w:rPr>
          <w:t>11.5.3</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vymezení ploch s rozdílným způsobem využití</w:t>
        </w:r>
        <w:r w:rsidRPr="005922F8">
          <w:rPr>
            <w:b w:val="0"/>
            <w:bCs/>
            <w:webHidden/>
          </w:rPr>
          <w:tab/>
        </w:r>
        <w:r w:rsidRPr="005922F8">
          <w:rPr>
            <w:b w:val="0"/>
            <w:bCs/>
            <w:webHidden/>
          </w:rPr>
          <w:fldChar w:fldCharType="begin"/>
        </w:r>
        <w:r w:rsidRPr="005922F8">
          <w:rPr>
            <w:b w:val="0"/>
            <w:bCs/>
            <w:webHidden/>
          </w:rPr>
          <w:instrText xml:space="preserve"> PAGEREF _Toc204678205 \h </w:instrText>
        </w:r>
        <w:r w:rsidRPr="005922F8">
          <w:rPr>
            <w:b w:val="0"/>
            <w:bCs/>
            <w:webHidden/>
          </w:rPr>
        </w:r>
        <w:r w:rsidRPr="005922F8">
          <w:rPr>
            <w:b w:val="0"/>
            <w:bCs/>
            <w:webHidden/>
          </w:rPr>
          <w:fldChar w:fldCharType="separate"/>
        </w:r>
        <w:r w:rsidR="000E08BF">
          <w:rPr>
            <w:b w:val="0"/>
            <w:bCs/>
            <w:webHidden/>
          </w:rPr>
          <w:t>116</w:t>
        </w:r>
        <w:r w:rsidRPr="005922F8">
          <w:rPr>
            <w:b w:val="0"/>
            <w:bCs/>
            <w:webHidden/>
          </w:rPr>
          <w:fldChar w:fldCharType="end"/>
        </w:r>
      </w:hyperlink>
    </w:p>
    <w:p w14:paraId="18E2BEAB" w14:textId="3CAFEB8F"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6" w:history="1">
        <w:r w:rsidRPr="005922F8">
          <w:rPr>
            <w:rStyle w:val="Hypertextovodkaz"/>
            <w:rFonts w:asciiTheme="majorHAnsi" w:hAnsiTheme="majorHAnsi" w:cstheme="majorHAnsi"/>
            <w:b w:val="0"/>
            <w:bCs/>
          </w:rPr>
          <w:t>11.5.4</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vymezení ploch změn v krajině</w:t>
        </w:r>
        <w:r w:rsidRPr="005922F8">
          <w:rPr>
            <w:b w:val="0"/>
            <w:bCs/>
            <w:webHidden/>
          </w:rPr>
          <w:tab/>
        </w:r>
        <w:r w:rsidRPr="005922F8">
          <w:rPr>
            <w:b w:val="0"/>
            <w:bCs/>
            <w:webHidden/>
          </w:rPr>
          <w:fldChar w:fldCharType="begin"/>
        </w:r>
        <w:r w:rsidRPr="005922F8">
          <w:rPr>
            <w:b w:val="0"/>
            <w:bCs/>
            <w:webHidden/>
          </w:rPr>
          <w:instrText xml:space="preserve"> PAGEREF _Toc204678206 \h </w:instrText>
        </w:r>
        <w:r w:rsidRPr="005922F8">
          <w:rPr>
            <w:b w:val="0"/>
            <w:bCs/>
            <w:webHidden/>
          </w:rPr>
        </w:r>
        <w:r w:rsidRPr="005922F8">
          <w:rPr>
            <w:b w:val="0"/>
            <w:bCs/>
            <w:webHidden/>
          </w:rPr>
          <w:fldChar w:fldCharType="separate"/>
        </w:r>
        <w:r w:rsidR="000E08BF">
          <w:rPr>
            <w:b w:val="0"/>
            <w:bCs/>
            <w:webHidden/>
          </w:rPr>
          <w:t>116</w:t>
        </w:r>
        <w:r w:rsidRPr="005922F8">
          <w:rPr>
            <w:b w:val="0"/>
            <w:bCs/>
            <w:webHidden/>
          </w:rPr>
          <w:fldChar w:fldCharType="end"/>
        </w:r>
      </w:hyperlink>
    </w:p>
    <w:p w14:paraId="4DB954F3" w14:textId="6A68324D"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7" w:history="1">
        <w:r w:rsidRPr="005922F8">
          <w:rPr>
            <w:rStyle w:val="Hypertextovodkaz"/>
            <w:rFonts w:asciiTheme="majorHAnsi" w:hAnsiTheme="majorHAnsi" w:cstheme="majorHAnsi"/>
            <w:b w:val="0"/>
            <w:bCs/>
          </w:rPr>
          <w:t>11.5.5</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vymezení územního systému ekologické stability</w:t>
        </w:r>
        <w:r w:rsidRPr="005922F8">
          <w:rPr>
            <w:b w:val="0"/>
            <w:bCs/>
            <w:webHidden/>
          </w:rPr>
          <w:tab/>
        </w:r>
        <w:r w:rsidRPr="005922F8">
          <w:rPr>
            <w:b w:val="0"/>
            <w:bCs/>
            <w:webHidden/>
          </w:rPr>
          <w:fldChar w:fldCharType="begin"/>
        </w:r>
        <w:r w:rsidRPr="005922F8">
          <w:rPr>
            <w:b w:val="0"/>
            <w:bCs/>
            <w:webHidden/>
          </w:rPr>
          <w:instrText xml:space="preserve"> PAGEREF _Toc204678207 \h </w:instrText>
        </w:r>
        <w:r w:rsidRPr="005922F8">
          <w:rPr>
            <w:b w:val="0"/>
            <w:bCs/>
            <w:webHidden/>
          </w:rPr>
        </w:r>
        <w:r w:rsidRPr="005922F8">
          <w:rPr>
            <w:b w:val="0"/>
            <w:bCs/>
            <w:webHidden/>
          </w:rPr>
          <w:fldChar w:fldCharType="separate"/>
        </w:r>
        <w:r w:rsidR="000E08BF">
          <w:rPr>
            <w:b w:val="0"/>
            <w:bCs/>
            <w:webHidden/>
          </w:rPr>
          <w:t>118</w:t>
        </w:r>
        <w:r w:rsidRPr="005922F8">
          <w:rPr>
            <w:b w:val="0"/>
            <w:bCs/>
            <w:webHidden/>
          </w:rPr>
          <w:fldChar w:fldCharType="end"/>
        </w:r>
      </w:hyperlink>
    </w:p>
    <w:p w14:paraId="59FCDC45" w14:textId="5AD1BAF2"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8" w:history="1">
        <w:r w:rsidRPr="005922F8">
          <w:rPr>
            <w:rStyle w:val="Hypertextovodkaz"/>
            <w:rFonts w:asciiTheme="majorHAnsi" w:hAnsiTheme="majorHAnsi" w:cstheme="majorHAnsi"/>
            <w:b w:val="0"/>
            <w:bCs/>
          </w:rPr>
          <w:t>11.5.6</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zásad zajištění prostupnosti krajiny</w:t>
        </w:r>
        <w:r w:rsidRPr="005922F8">
          <w:rPr>
            <w:b w:val="0"/>
            <w:bCs/>
            <w:webHidden/>
          </w:rPr>
          <w:tab/>
        </w:r>
        <w:r w:rsidRPr="005922F8">
          <w:rPr>
            <w:b w:val="0"/>
            <w:bCs/>
            <w:webHidden/>
          </w:rPr>
          <w:fldChar w:fldCharType="begin"/>
        </w:r>
        <w:r w:rsidRPr="005922F8">
          <w:rPr>
            <w:b w:val="0"/>
            <w:bCs/>
            <w:webHidden/>
          </w:rPr>
          <w:instrText xml:space="preserve"> PAGEREF _Toc204678208 \h </w:instrText>
        </w:r>
        <w:r w:rsidRPr="005922F8">
          <w:rPr>
            <w:b w:val="0"/>
            <w:bCs/>
            <w:webHidden/>
          </w:rPr>
        </w:r>
        <w:r w:rsidRPr="005922F8">
          <w:rPr>
            <w:b w:val="0"/>
            <w:bCs/>
            <w:webHidden/>
          </w:rPr>
          <w:fldChar w:fldCharType="separate"/>
        </w:r>
        <w:r w:rsidR="000E08BF">
          <w:rPr>
            <w:b w:val="0"/>
            <w:bCs/>
            <w:webHidden/>
          </w:rPr>
          <w:t>123</w:t>
        </w:r>
        <w:r w:rsidRPr="005922F8">
          <w:rPr>
            <w:b w:val="0"/>
            <w:bCs/>
            <w:webHidden/>
          </w:rPr>
          <w:fldChar w:fldCharType="end"/>
        </w:r>
      </w:hyperlink>
    </w:p>
    <w:p w14:paraId="549B35C8" w14:textId="33269B73"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09" w:history="1">
        <w:r w:rsidRPr="005922F8">
          <w:rPr>
            <w:rStyle w:val="Hypertextovodkaz"/>
            <w:rFonts w:asciiTheme="majorHAnsi" w:hAnsiTheme="majorHAnsi" w:cstheme="majorHAnsi"/>
            <w:b w:val="0"/>
            <w:bCs/>
          </w:rPr>
          <w:t>11.5.7</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protierozních a revitalizačních opatření v krajině</w:t>
        </w:r>
        <w:r w:rsidRPr="005922F8">
          <w:rPr>
            <w:b w:val="0"/>
            <w:bCs/>
            <w:webHidden/>
          </w:rPr>
          <w:tab/>
        </w:r>
        <w:r w:rsidRPr="005922F8">
          <w:rPr>
            <w:b w:val="0"/>
            <w:bCs/>
            <w:webHidden/>
          </w:rPr>
          <w:fldChar w:fldCharType="begin"/>
        </w:r>
        <w:r w:rsidRPr="005922F8">
          <w:rPr>
            <w:b w:val="0"/>
            <w:bCs/>
            <w:webHidden/>
          </w:rPr>
          <w:instrText xml:space="preserve"> PAGEREF _Toc204678209 \h </w:instrText>
        </w:r>
        <w:r w:rsidRPr="005922F8">
          <w:rPr>
            <w:b w:val="0"/>
            <w:bCs/>
            <w:webHidden/>
          </w:rPr>
        </w:r>
        <w:r w:rsidRPr="005922F8">
          <w:rPr>
            <w:b w:val="0"/>
            <w:bCs/>
            <w:webHidden/>
          </w:rPr>
          <w:fldChar w:fldCharType="separate"/>
        </w:r>
        <w:r w:rsidR="000E08BF">
          <w:rPr>
            <w:b w:val="0"/>
            <w:bCs/>
            <w:webHidden/>
          </w:rPr>
          <w:t>123</w:t>
        </w:r>
        <w:r w:rsidRPr="005922F8">
          <w:rPr>
            <w:b w:val="0"/>
            <w:bCs/>
            <w:webHidden/>
          </w:rPr>
          <w:fldChar w:fldCharType="end"/>
        </w:r>
      </w:hyperlink>
    </w:p>
    <w:p w14:paraId="616B1704" w14:textId="36B323D4"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10" w:history="1">
        <w:r w:rsidRPr="005922F8">
          <w:rPr>
            <w:rStyle w:val="Hypertextovodkaz"/>
            <w:rFonts w:asciiTheme="majorHAnsi" w:hAnsiTheme="majorHAnsi" w:cstheme="majorHAnsi"/>
            <w:b w:val="0"/>
            <w:bCs/>
          </w:rPr>
          <w:t>11.5.8</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stanovené ochrany před povodněmi</w:t>
        </w:r>
        <w:r w:rsidRPr="005922F8">
          <w:rPr>
            <w:b w:val="0"/>
            <w:bCs/>
            <w:webHidden/>
          </w:rPr>
          <w:tab/>
        </w:r>
        <w:r w:rsidRPr="005922F8">
          <w:rPr>
            <w:b w:val="0"/>
            <w:bCs/>
            <w:webHidden/>
          </w:rPr>
          <w:fldChar w:fldCharType="begin"/>
        </w:r>
        <w:r w:rsidRPr="005922F8">
          <w:rPr>
            <w:b w:val="0"/>
            <w:bCs/>
            <w:webHidden/>
          </w:rPr>
          <w:instrText xml:space="preserve"> PAGEREF _Toc204678210 \h </w:instrText>
        </w:r>
        <w:r w:rsidRPr="005922F8">
          <w:rPr>
            <w:b w:val="0"/>
            <w:bCs/>
            <w:webHidden/>
          </w:rPr>
        </w:r>
        <w:r w:rsidRPr="005922F8">
          <w:rPr>
            <w:b w:val="0"/>
            <w:bCs/>
            <w:webHidden/>
          </w:rPr>
          <w:fldChar w:fldCharType="separate"/>
        </w:r>
        <w:r w:rsidR="000E08BF">
          <w:rPr>
            <w:b w:val="0"/>
            <w:bCs/>
            <w:webHidden/>
          </w:rPr>
          <w:t>124</w:t>
        </w:r>
        <w:r w:rsidRPr="005922F8">
          <w:rPr>
            <w:b w:val="0"/>
            <w:bCs/>
            <w:webHidden/>
          </w:rPr>
          <w:fldChar w:fldCharType="end"/>
        </w:r>
      </w:hyperlink>
    </w:p>
    <w:p w14:paraId="645EDABA" w14:textId="6763661D"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11" w:history="1">
        <w:r w:rsidRPr="005922F8">
          <w:rPr>
            <w:rStyle w:val="Hypertextovodkaz"/>
            <w:rFonts w:asciiTheme="majorHAnsi" w:hAnsiTheme="majorHAnsi" w:cstheme="majorHAnsi"/>
            <w:b w:val="0"/>
            <w:bCs/>
          </w:rPr>
          <w:t>11.5.9</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koncepce rekreace a cestovního ruchu</w:t>
        </w:r>
        <w:r w:rsidRPr="005922F8">
          <w:rPr>
            <w:b w:val="0"/>
            <w:bCs/>
            <w:webHidden/>
          </w:rPr>
          <w:tab/>
        </w:r>
        <w:r w:rsidRPr="005922F8">
          <w:rPr>
            <w:b w:val="0"/>
            <w:bCs/>
            <w:webHidden/>
          </w:rPr>
          <w:fldChar w:fldCharType="begin"/>
        </w:r>
        <w:r w:rsidRPr="005922F8">
          <w:rPr>
            <w:b w:val="0"/>
            <w:bCs/>
            <w:webHidden/>
          </w:rPr>
          <w:instrText xml:space="preserve"> PAGEREF _Toc204678211 \h </w:instrText>
        </w:r>
        <w:r w:rsidRPr="005922F8">
          <w:rPr>
            <w:b w:val="0"/>
            <w:bCs/>
            <w:webHidden/>
          </w:rPr>
        </w:r>
        <w:r w:rsidRPr="005922F8">
          <w:rPr>
            <w:b w:val="0"/>
            <w:bCs/>
            <w:webHidden/>
          </w:rPr>
          <w:fldChar w:fldCharType="separate"/>
        </w:r>
        <w:r w:rsidR="000E08BF">
          <w:rPr>
            <w:b w:val="0"/>
            <w:bCs/>
            <w:webHidden/>
          </w:rPr>
          <w:t>125</w:t>
        </w:r>
        <w:r w:rsidRPr="005922F8">
          <w:rPr>
            <w:b w:val="0"/>
            <w:bCs/>
            <w:webHidden/>
          </w:rPr>
          <w:fldChar w:fldCharType="end"/>
        </w:r>
      </w:hyperlink>
    </w:p>
    <w:p w14:paraId="25FA0F74" w14:textId="27E2EBC1"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12" w:history="1">
        <w:r w:rsidRPr="005922F8">
          <w:rPr>
            <w:rStyle w:val="Hypertextovodkaz"/>
            <w:rFonts w:asciiTheme="majorHAnsi" w:hAnsiTheme="majorHAnsi" w:cstheme="majorHAnsi"/>
            <w:b w:val="0"/>
            <w:bCs/>
          </w:rPr>
          <w:t>11.5.10</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podmínek pro dobývání ložisek nerostných surovin</w:t>
        </w:r>
        <w:r w:rsidRPr="005922F8">
          <w:rPr>
            <w:b w:val="0"/>
            <w:bCs/>
            <w:webHidden/>
          </w:rPr>
          <w:tab/>
        </w:r>
        <w:r w:rsidRPr="005922F8">
          <w:rPr>
            <w:b w:val="0"/>
            <w:bCs/>
            <w:webHidden/>
          </w:rPr>
          <w:fldChar w:fldCharType="begin"/>
        </w:r>
        <w:r w:rsidRPr="005922F8">
          <w:rPr>
            <w:b w:val="0"/>
            <w:bCs/>
            <w:webHidden/>
          </w:rPr>
          <w:instrText xml:space="preserve"> PAGEREF _Toc204678212 \h </w:instrText>
        </w:r>
        <w:r w:rsidRPr="005922F8">
          <w:rPr>
            <w:b w:val="0"/>
            <w:bCs/>
            <w:webHidden/>
          </w:rPr>
        </w:r>
        <w:r w:rsidRPr="005922F8">
          <w:rPr>
            <w:b w:val="0"/>
            <w:bCs/>
            <w:webHidden/>
          </w:rPr>
          <w:fldChar w:fldCharType="separate"/>
        </w:r>
        <w:r w:rsidR="000E08BF">
          <w:rPr>
            <w:b w:val="0"/>
            <w:bCs/>
            <w:webHidden/>
          </w:rPr>
          <w:t>126</w:t>
        </w:r>
        <w:r w:rsidRPr="005922F8">
          <w:rPr>
            <w:b w:val="0"/>
            <w:bCs/>
            <w:webHidden/>
          </w:rPr>
          <w:fldChar w:fldCharType="end"/>
        </w:r>
      </w:hyperlink>
    </w:p>
    <w:p w14:paraId="052F8E9D" w14:textId="58798B01"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13" w:history="1">
        <w:r w:rsidRPr="005922F8">
          <w:rPr>
            <w:rStyle w:val="Hypertextovodkaz"/>
            <w:b w:val="0"/>
          </w:rPr>
          <w:t>11.6</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podmínek využití a prostorové uspořádání území</w:t>
        </w:r>
        <w:r w:rsidRPr="005922F8">
          <w:rPr>
            <w:b w:val="0"/>
            <w:webHidden/>
          </w:rPr>
          <w:tab/>
        </w:r>
        <w:r w:rsidRPr="005922F8">
          <w:rPr>
            <w:b w:val="0"/>
            <w:webHidden/>
          </w:rPr>
          <w:fldChar w:fldCharType="begin"/>
        </w:r>
        <w:r w:rsidRPr="005922F8">
          <w:rPr>
            <w:b w:val="0"/>
            <w:webHidden/>
          </w:rPr>
          <w:instrText xml:space="preserve"> PAGEREF _Toc204678213 \h </w:instrText>
        </w:r>
        <w:r w:rsidRPr="005922F8">
          <w:rPr>
            <w:b w:val="0"/>
            <w:webHidden/>
          </w:rPr>
        </w:r>
        <w:r w:rsidRPr="005922F8">
          <w:rPr>
            <w:b w:val="0"/>
            <w:webHidden/>
          </w:rPr>
          <w:fldChar w:fldCharType="separate"/>
        </w:r>
        <w:r w:rsidR="000E08BF">
          <w:rPr>
            <w:b w:val="0"/>
            <w:webHidden/>
          </w:rPr>
          <w:t>126</w:t>
        </w:r>
        <w:r w:rsidRPr="005922F8">
          <w:rPr>
            <w:b w:val="0"/>
            <w:webHidden/>
          </w:rPr>
          <w:fldChar w:fldCharType="end"/>
        </w:r>
      </w:hyperlink>
    </w:p>
    <w:p w14:paraId="0C7EDCBA" w14:textId="45DD73EC"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14" w:history="1">
        <w:r w:rsidRPr="005922F8">
          <w:rPr>
            <w:rStyle w:val="Hypertextovodkaz"/>
            <w:rFonts w:asciiTheme="majorHAnsi" w:hAnsiTheme="majorHAnsi" w:cstheme="majorHAnsi"/>
            <w:b w:val="0"/>
            <w:bCs/>
          </w:rPr>
          <w:t>11.6.1</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výkladu pojmů</w:t>
        </w:r>
        <w:r w:rsidRPr="005922F8">
          <w:rPr>
            <w:b w:val="0"/>
            <w:bCs/>
            <w:webHidden/>
          </w:rPr>
          <w:tab/>
        </w:r>
        <w:r w:rsidRPr="005922F8">
          <w:rPr>
            <w:b w:val="0"/>
            <w:bCs/>
            <w:webHidden/>
          </w:rPr>
          <w:fldChar w:fldCharType="begin"/>
        </w:r>
        <w:r w:rsidRPr="005922F8">
          <w:rPr>
            <w:b w:val="0"/>
            <w:bCs/>
            <w:webHidden/>
          </w:rPr>
          <w:instrText xml:space="preserve"> PAGEREF _Toc204678214 \h </w:instrText>
        </w:r>
        <w:r w:rsidRPr="005922F8">
          <w:rPr>
            <w:b w:val="0"/>
            <w:bCs/>
            <w:webHidden/>
          </w:rPr>
        </w:r>
        <w:r w:rsidRPr="005922F8">
          <w:rPr>
            <w:b w:val="0"/>
            <w:bCs/>
            <w:webHidden/>
          </w:rPr>
          <w:fldChar w:fldCharType="separate"/>
        </w:r>
        <w:r w:rsidR="000E08BF">
          <w:rPr>
            <w:b w:val="0"/>
            <w:bCs/>
            <w:webHidden/>
          </w:rPr>
          <w:t>126</w:t>
        </w:r>
        <w:r w:rsidRPr="005922F8">
          <w:rPr>
            <w:b w:val="0"/>
            <w:bCs/>
            <w:webHidden/>
          </w:rPr>
          <w:fldChar w:fldCharType="end"/>
        </w:r>
      </w:hyperlink>
    </w:p>
    <w:p w14:paraId="79E68E2E" w14:textId="4B6E89DD"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15" w:history="1">
        <w:r w:rsidRPr="005922F8">
          <w:rPr>
            <w:rStyle w:val="Hypertextovodkaz"/>
            <w:rFonts w:asciiTheme="majorHAnsi" w:hAnsiTheme="majorHAnsi" w:cstheme="majorHAnsi"/>
            <w:b w:val="0"/>
            <w:bCs/>
          </w:rPr>
          <w:t>11.6.2</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Odůvodnění podmínek využití a prostorového uspořádání území</w:t>
        </w:r>
        <w:r w:rsidRPr="005922F8">
          <w:rPr>
            <w:b w:val="0"/>
            <w:bCs/>
            <w:webHidden/>
          </w:rPr>
          <w:tab/>
        </w:r>
        <w:r w:rsidRPr="005922F8">
          <w:rPr>
            <w:b w:val="0"/>
            <w:bCs/>
            <w:webHidden/>
          </w:rPr>
          <w:fldChar w:fldCharType="begin"/>
        </w:r>
        <w:r w:rsidRPr="005922F8">
          <w:rPr>
            <w:b w:val="0"/>
            <w:bCs/>
            <w:webHidden/>
          </w:rPr>
          <w:instrText xml:space="preserve"> PAGEREF _Toc204678215 \h </w:instrText>
        </w:r>
        <w:r w:rsidRPr="005922F8">
          <w:rPr>
            <w:b w:val="0"/>
            <w:bCs/>
            <w:webHidden/>
          </w:rPr>
        </w:r>
        <w:r w:rsidRPr="005922F8">
          <w:rPr>
            <w:b w:val="0"/>
            <w:bCs/>
            <w:webHidden/>
          </w:rPr>
          <w:fldChar w:fldCharType="separate"/>
        </w:r>
        <w:r w:rsidR="000E08BF">
          <w:rPr>
            <w:b w:val="0"/>
            <w:bCs/>
            <w:webHidden/>
          </w:rPr>
          <w:t>126</w:t>
        </w:r>
        <w:r w:rsidRPr="005922F8">
          <w:rPr>
            <w:b w:val="0"/>
            <w:bCs/>
            <w:webHidden/>
          </w:rPr>
          <w:fldChar w:fldCharType="end"/>
        </w:r>
      </w:hyperlink>
    </w:p>
    <w:p w14:paraId="1CE966E9" w14:textId="5BA56DB9"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16" w:history="1">
        <w:r w:rsidRPr="005922F8">
          <w:rPr>
            <w:rStyle w:val="Hypertextovodkaz"/>
            <w:b w:val="0"/>
          </w:rPr>
          <w:t>11.7</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vymezení veřejně prospěšných staveb, veřejně prospěšných opatření, staveb a opatření k zajišťování obrany a bezpečnosti státu, ploch pro asanaci, pro které lze práva k pozemkům a stavbám vyvlastnit</w:t>
        </w:r>
        <w:r w:rsidRPr="005922F8">
          <w:rPr>
            <w:b w:val="0"/>
            <w:webHidden/>
          </w:rPr>
          <w:tab/>
        </w:r>
        <w:r w:rsidRPr="005922F8">
          <w:rPr>
            <w:b w:val="0"/>
            <w:webHidden/>
          </w:rPr>
          <w:fldChar w:fldCharType="begin"/>
        </w:r>
        <w:r w:rsidRPr="005922F8">
          <w:rPr>
            <w:b w:val="0"/>
            <w:webHidden/>
          </w:rPr>
          <w:instrText xml:space="preserve"> PAGEREF _Toc204678216 \h </w:instrText>
        </w:r>
        <w:r w:rsidRPr="005922F8">
          <w:rPr>
            <w:b w:val="0"/>
            <w:webHidden/>
          </w:rPr>
        </w:r>
        <w:r w:rsidRPr="005922F8">
          <w:rPr>
            <w:b w:val="0"/>
            <w:webHidden/>
          </w:rPr>
          <w:fldChar w:fldCharType="separate"/>
        </w:r>
        <w:r w:rsidR="000E08BF">
          <w:rPr>
            <w:b w:val="0"/>
            <w:webHidden/>
          </w:rPr>
          <w:t>136</w:t>
        </w:r>
        <w:r w:rsidRPr="005922F8">
          <w:rPr>
            <w:b w:val="0"/>
            <w:webHidden/>
          </w:rPr>
          <w:fldChar w:fldCharType="end"/>
        </w:r>
      </w:hyperlink>
    </w:p>
    <w:p w14:paraId="411DB736" w14:textId="6B4C73C0"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17" w:history="1">
        <w:r w:rsidRPr="005922F8">
          <w:rPr>
            <w:rStyle w:val="Hypertextovodkaz"/>
            <w:b w:val="0"/>
          </w:rPr>
          <w:t>11.8</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vymezení veřejně prospěšných staveb a veřejných prostranství, pro které lze uplatnit předkupní právo</w:t>
        </w:r>
        <w:r w:rsidRPr="005922F8">
          <w:rPr>
            <w:b w:val="0"/>
            <w:webHidden/>
          </w:rPr>
          <w:tab/>
        </w:r>
        <w:r w:rsidRPr="005922F8">
          <w:rPr>
            <w:b w:val="0"/>
            <w:webHidden/>
          </w:rPr>
          <w:fldChar w:fldCharType="begin"/>
        </w:r>
        <w:r w:rsidRPr="005922F8">
          <w:rPr>
            <w:b w:val="0"/>
            <w:webHidden/>
          </w:rPr>
          <w:instrText xml:space="preserve"> PAGEREF _Toc204678217 \h </w:instrText>
        </w:r>
        <w:r w:rsidRPr="005922F8">
          <w:rPr>
            <w:b w:val="0"/>
            <w:webHidden/>
          </w:rPr>
        </w:r>
        <w:r w:rsidRPr="005922F8">
          <w:rPr>
            <w:b w:val="0"/>
            <w:webHidden/>
          </w:rPr>
          <w:fldChar w:fldCharType="separate"/>
        </w:r>
        <w:r w:rsidR="000E08BF">
          <w:rPr>
            <w:b w:val="0"/>
            <w:webHidden/>
          </w:rPr>
          <w:t>137</w:t>
        </w:r>
        <w:r w:rsidRPr="005922F8">
          <w:rPr>
            <w:b w:val="0"/>
            <w:webHidden/>
          </w:rPr>
          <w:fldChar w:fldCharType="end"/>
        </w:r>
      </w:hyperlink>
    </w:p>
    <w:p w14:paraId="2C0A5FCB" w14:textId="24E8F3AC"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18" w:history="1">
        <w:r w:rsidRPr="005922F8">
          <w:rPr>
            <w:rStyle w:val="Hypertextovodkaz"/>
            <w:b w:val="0"/>
          </w:rPr>
          <w:t>11.9</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stanovení kompenzačních opatření</w:t>
        </w:r>
        <w:r w:rsidRPr="005922F8">
          <w:rPr>
            <w:b w:val="0"/>
            <w:webHidden/>
          </w:rPr>
          <w:tab/>
        </w:r>
        <w:r w:rsidRPr="005922F8">
          <w:rPr>
            <w:b w:val="0"/>
            <w:webHidden/>
          </w:rPr>
          <w:fldChar w:fldCharType="begin"/>
        </w:r>
        <w:r w:rsidRPr="005922F8">
          <w:rPr>
            <w:b w:val="0"/>
            <w:webHidden/>
          </w:rPr>
          <w:instrText xml:space="preserve"> PAGEREF _Toc204678218 \h </w:instrText>
        </w:r>
        <w:r w:rsidRPr="005922F8">
          <w:rPr>
            <w:b w:val="0"/>
            <w:webHidden/>
          </w:rPr>
        </w:r>
        <w:r w:rsidRPr="005922F8">
          <w:rPr>
            <w:b w:val="0"/>
            <w:webHidden/>
          </w:rPr>
          <w:fldChar w:fldCharType="separate"/>
        </w:r>
        <w:r w:rsidR="000E08BF">
          <w:rPr>
            <w:b w:val="0"/>
            <w:webHidden/>
          </w:rPr>
          <w:t>138</w:t>
        </w:r>
        <w:r w:rsidRPr="005922F8">
          <w:rPr>
            <w:b w:val="0"/>
            <w:webHidden/>
          </w:rPr>
          <w:fldChar w:fldCharType="end"/>
        </w:r>
      </w:hyperlink>
    </w:p>
    <w:p w14:paraId="2509CC09" w14:textId="73E7D296"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19" w:history="1">
        <w:r w:rsidRPr="005922F8">
          <w:rPr>
            <w:rStyle w:val="Hypertextovodkaz"/>
            <w:b w:val="0"/>
          </w:rPr>
          <w:t>11.10</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vymezení ploch a koridorů územních rezerv</w:t>
        </w:r>
        <w:r w:rsidRPr="005922F8">
          <w:rPr>
            <w:b w:val="0"/>
            <w:webHidden/>
          </w:rPr>
          <w:tab/>
        </w:r>
        <w:r w:rsidRPr="005922F8">
          <w:rPr>
            <w:b w:val="0"/>
            <w:webHidden/>
          </w:rPr>
          <w:fldChar w:fldCharType="begin"/>
        </w:r>
        <w:r w:rsidRPr="005922F8">
          <w:rPr>
            <w:b w:val="0"/>
            <w:webHidden/>
          </w:rPr>
          <w:instrText xml:space="preserve"> PAGEREF _Toc204678219 \h </w:instrText>
        </w:r>
        <w:r w:rsidRPr="005922F8">
          <w:rPr>
            <w:b w:val="0"/>
            <w:webHidden/>
          </w:rPr>
        </w:r>
        <w:r w:rsidRPr="005922F8">
          <w:rPr>
            <w:b w:val="0"/>
            <w:webHidden/>
          </w:rPr>
          <w:fldChar w:fldCharType="separate"/>
        </w:r>
        <w:r w:rsidR="000E08BF">
          <w:rPr>
            <w:b w:val="0"/>
            <w:webHidden/>
          </w:rPr>
          <w:t>138</w:t>
        </w:r>
        <w:r w:rsidRPr="005922F8">
          <w:rPr>
            <w:b w:val="0"/>
            <w:webHidden/>
          </w:rPr>
          <w:fldChar w:fldCharType="end"/>
        </w:r>
      </w:hyperlink>
    </w:p>
    <w:p w14:paraId="03E52E38" w14:textId="0C801D18"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20" w:history="1">
        <w:r w:rsidRPr="005922F8">
          <w:rPr>
            <w:rStyle w:val="Hypertextovodkaz"/>
            <w:b w:val="0"/>
          </w:rPr>
          <w:t>11.11</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vymezení ploch a koridorů, ve kterých je rozhodování o změnách v území podmíněno dohodou o parcelaci</w:t>
        </w:r>
        <w:r w:rsidRPr="005922F8">
          <w:rPr>
            <w:b w:val="0"/>
            <w:webHidden/>
          </w:rPr>
          <w:tab/>
        </w:r>
        <w:r w:rsidRPr="005922F8">
          <w:rPr>
            <w:b w:val="0"/>
            <w:webHidden/>
          </w:rPr>
          <w:fldChar w:fldCharType="begin"/>
        </w:r>
        <w:r w:rsidRPr="005922F8">
          <w:rPr>
            <w:b w:val="0"/>
            <w:webHidden/>
          </w:rPr>
          <w:instrText xml:space="preserve"> PAGEREF _Toc204678220 \h </w:instrText>
        </w:r>
        <w:r w:rsidRPr="005922F8">
          <w:rPr>
            <w:b w:val="0"/>
            <w:webHidden/>
          </w:rPr>
        </w:r>
        <w:r w:rsidRPr="005922F8">
          <w:rPr>
            <w:b w:val="0"/>
            <w:webHidden/>
          </w:rPr>
          <w:fldChar w:fldCharType="separate"/>
        </w:r>
        <w:r w:rsidR="000E08BF">
          <w:rPr>
            <w:b w:val="0"/>
            <w:webHidden/>
          </w:rPr>
          <w:t>139</w:t>
        </w:r>
        <w:r w:rsidRPr="005922F8">
          <w:rPr>
            <w:b w:val="0"/>
            <w:webHidden/>
          </w:rPr>
          <w:fldChar w:fldCharType="end"/>
        </w:r>
      </w:hyperlink>
    </w:p>
    <w:p w14:paraId="0A2ACF9F" w14:textId="62172A0D"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21" w:history="1">
        <w:r w:rsidRPr="005922F8">
          <w:rPr>
            <w:rStyle w:val="Hypertextovodkaz"/>
            <w:b w:val="0"/>
          </w:rPr>
          <w:t>11.12</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vymezení ploch a koridorů, ve kterých je rozhodování o změnách v území podmíněno zpracováním územní studie</w:t>
        </w:r>
        <w:r w:rsidRPr="005922F8">
          <w:rPr>
            <w:b w:val="0"/>
            <w:webHidden/>
          </w:rPr>
          <w:tab/>
        </w:r>
        <w:r w:rsidRPr="005922F8">
          <w:rPr>
            <w:b w:val="0"/>
            <w:webHidden/>
          </w:rPr>
          <w:fldChar w:fldCharType="begin"/>
        </w:r>
        <w:r w:rsidRPr="005922F8">
          <w:rPr>
            <w:b w:val="0"/>
            <w:webHidden/>
          </w:rPr>
          <w:instrText xml:space="preserve"> PAGEREF _Toc204678221 \h </w:instrText>
        </w:r>
        <w:r w:rsidRPr="005922F8">
          <w:rPr>
            <w:b w:val="0"/>
            <w:webHidden/>
          </w:rPr>
        </w:r>
        <w:r w:rsidRPr="005922F8">
          <w:rPr>
            <w:b w:val="0"/>
            <w:webHidden/>
          </w:rPr>
          <w:fldChar w:fldCharType="separate"/>
        </w:r>
        <w:r w:rsidR="000E08BF">
          <w:rPr>
            <w:b w:val="0"/>
            <w:webHidden/>
          </w:rPr>
          <w:t>139</w:t>
        </w:r>
        <w:r w:rsidRPr="005922F8">
          <w:rPr>
            <w:b w:val="0"/>
            <w:webHidden/>
          </w:rPr>
          <w:fldChar w:fldCharType="end"/>
        </w:r>
      </w:hyperlink>
    </w:p>
    <w:p w14:paraId="276BBFDC" w14:textId="1B5D5E0A"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22" w:history="1">
        <w:r w:rsidRPr="005922F8">
          <w:rPr>
            <w:rStyle w:val="Hypertextovodkaz"/>
            <w:b w:val="0"/>
          </w:rPr>
          <w:t>11.13</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vymezení ploch a koridorů, ve kterých je rozhodování o změnách v území podmíněno vydáním regulačního plánu</w:t>
        </w:r>
        <w:r w:rsidRPr="005922F8">
          <w:rPr>
            <w:b w:val="0"/>
            <w:webHidden/>
          </w:rPr>
          <w:tab/>
        </w:r>
        <w:r w:rsidRPr="005922F8">
          <w:rPr>
            <w:b w:val="0"/>
            <w:webHidden/>
          </w:rPr>
          <w:fldChar w:fldCharType="begin"/>
        </w:r>
        <w:r w:rsidRPr="005922F8">
          <w:rPr>
            <w:b w:val="0"/>
            <w:webHidden/>
          </w:rPr>
          <w:instrText xml:space="preserve"> PAGEREF _Toc204678222 \h </w:instrText>
        </w:r>
        <w:r w:rsidRPr="005922F8">
          <w:rPr>
            <w:b w:val="0"/>
            <w:webHidden/>
          </w:rPr>
        </w:r>
        <w:r w:rsidRPr="005922F8">
          <w:rPr>
            <w:b w:val="0"/>
            <w:webHidden/>
          </w:rPr>
          <w:fldChar w:fldCharType="separate"/>
        </w:r>
        <w:r w:rsidR="000E08BF">
          <w:rPr>
            <w:b w:val="0"/>
            <w:webHidden/>
          </w:rPr>
          <w:t>141</w:t>
        </w:r>
        <w:r w:rsidRPr="005922F8">
          <w:rPr>
            <w:b w:val="0"/>
            <w:webHidden/>
          </w:rPr>
          <w:fldChar w:fldCharType="end"/>
        </w:r>
      </w:hyperlink>
    </w:p>
    <w:p w14:paraId="6BAC1E21" w14:textId="1A91158A"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23" w:history="1">
        <w:r w:rsidRPr="005922F8">
          <w:rPr>
            <w:rStyle w:val="Hypertextovodkaz"/>
            <w:b w:val="0"/>
          </w:rPr>
          <w:t>11.14</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Odůvodnění stanovení pořadí změn v území</w:t>
        </w:r>
        <w:r w:rsidRPr="005922F8">
          <w:rPr>
            <w:b w:val="0"/>
            <w:webHidden/>
          </w:rPr>
          <w:tab/>
        </w:r>
        <w:r w:rsidRPr="005922F8">
          <w:rPr>
            <w:b w:val="0"/>
            <w:webHidden/>
          </w:rPr>
          <w:fldChar w:fldCharType="begin"/>
        </w:r>
        <w:r w:rsidRPr="005922F8">
          <w:rPr>
            <w:b w:val="0"/>
            <w:webHidden/>
          </w:rPr>
          <w:instrText xml:space="preserve"> PAGEREF _Toc204678223 \h </w:instrText>
        </w:r>
        <w:r w:rsidRPr="005922F8">
          <w:rPr>
            <w:b w:val="0"/>
            <w:webHidden/>
          </w:rPr>
        </w:r>
        <w:r w:rsidRPr="005922F8">
          <w:rPr>
            <w:b w:val="0"/>
            <w:webHidden/>
          </w:rPr>
          <w:fldChar w:fldCharType="separate"/>
        </w:r>
        <w:r w:rsidR="000E08BF">
          <w:rPr>
            <w:b w:val="0"/>
            <w:webHidden/>
          </w:rPr>
          <w:t>142</w:t>
        </w:r>
        <w:r w:rsidRPr="005922F8">
          <w:rPr>
            <w:b w:val="0"/>
            <w:webHidden/>
          </w:rPr>
          <w:fldChar w:fldCharType="end"/>
        </w:r>
      </w:hyperlink>
    </w:p>
    <w:p w14:paraId="450CD591" w14:textId="11E36081"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24" w:history="1">
        <w:r w:rsidRPr="005922F8">
          <w:rPr>
            <w:rStyle w:val="Hypertextovodkaz"/>
          </w:rPr>
          <w:t>12</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PŘEDPOKLÁDANÝCH DŮSLEDKŮ NAVRHOVANÉHO ŘEŠENÍ NA ZEMĚDĚLSKÝ PŮDNÍ FOND A POZEMKY URČENÉ K PLNĚNÍ FUNKCE LESA</w:t>
        </w:r>
        <w:r w:rsidRPr="005922F8">
          <w:rPr>
            <w:webHidden/>
          </w:rPr>
          <w:tab/>
        </w:r>
        <w:r w:rsidRPr="005922F8">
          <w:rPr>
            <w:webHidden/>
          </w:rPr>
          <w:fldChar w:fldCharType="begin"/>
        </w:r>
        <w:r w:rsidRPr="005922F8">
          <w:rPr>
            <w:webHidden/>
          </w:rPr>
          <w:instrText xml:space="preserve"> PAGEREF _Toc204678224 \h </w:instrText>
        </w:r>
        <w:r w:rsidRPr="005922F8">
          <w:rPr>
            <w:webHidden/>
          </w:rPr>
        </w:r>
        <w:r w:rsidRPr="005922F8">
          <w:rPr>
            <w:webHidden/>
          </w:rPr>
          <w:fldChar w:fldCharType="separate"/>
        </w:r>
        <w:r w:rsidR="000E08BF">
          <w:rPr>
            <w:webHidden/>
          </w:rPr>
          <w:t>142</w:t>
        </w:r>
        <w:r w:rsidRPr="005922F8">
          <w:rPr>
            <w:webHidden/>
          </w:rPr>
          <w:fldChar w:fldCharType="end"/>
        </w:r>
      </w:hyperlink>
    </w:p>
    <w:p w14:paraId="186A0600" w14:textId="439D5D63"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25" w:history="1">
        <w:r w:rsidRPr="005922F8">
          <w:rPr>
            <w:rStyle w:val="Hypertextovodkaz"/>
            <w:b w:val="0"/>
          </w:rPr>
          <w:t>12.1</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předpokládaných důsledků navrhovaného řešené na zemědělský půdní fond</w:t>
        </w:r>
        <w:r w:rsidRPr="005922F8">
          <w:rPr>
            <w:b w:val="0"/>
            <w:webHidden/>
          </w:rPr>
          <w:tab/>
        </w:r>
        <w:r w:rsidRPr="005922F8">
          <w:rPr>
            <w:b w:val="0"/>
            <w:webHidden/>
          </w:rPr>
          <w:fldChar w:fldCharType="begin"/>
        </w:r>
        <w:r w:rsidRPr="005922F8">
          <w:rPr>
            <w:b w:val="0"/>
            <w:webHidden/>
          </w:rPr>
          <w:instrText xml:space="preserve"> PAGEREF _Toc204678225 \h </w:instrText>
        </w:r>
        <w:r w:rsidRPr="005922F8">
          <w:rPr>
            <w:b w:val="0"/>
            <w:webHidden/>
          </w:rPr>
        </w:r>
        <w:r w:rsidRPr="005922F8">
          <w:rPr>
            <w:b w:val="0"/>
            <w:webHidden/>
          </w:rPr>
          <w:fldChar w:fldCharType="separate"/>
        </w:r>
        <w:r w:rsidR="000E08BF">
          <w:rPr>
            <w:b w:val="0"/>
            <w:webHidden/>
          </w:rPr>
          <w:t>142</w:t>
        </w:r>
        <w:r w:rsidRPr="005922F8">
          <w:rPr>
            <w:b w:val="0"/>
            <w:webHidden/>
          </w:rPr>
          <w:fldChar w:fldCharType="end"/>
        </w:r>
      </w:hyperlink>
    </w:p>
    <w:p w14:paraId="3674FE2D" w14:textId="349F88B6"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26" w:history="1">
        <w:r w:rsidRPr="005922F8">
          <w:rPr>
            <w:rStyle w:val="Hypertextovodkaz"/>
            <w:rFonts w:asciiTheme="majorHAnsi" w:hAnsiTheme="majorHAnsi" w:cstheme="majorHAnsi"/>
            <w:b w:val="0"/>
            <w:bCs/>
          </w:rPr>
          <w:t>12.1.1</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Hranice zastavěného území</w:t>
        </w:r>
        <w:r w:rsidRPr="005922F8">
          <w:rPr>
            <w:b w:val="0"/>
            <w:bCs/>
            <w:webHidden/>
          </w:rPr>
          <w:tab/>
        </w:r>
        <w:r w:rsidRPr="005922F8">
          <w:rPr>
            <w:b w:val="0"/>
            <w:bCs/>
            <w:webHidden/>
          </w:rPr>
          <w:fldChar w:fldCharType="begin"/>
        </w:r>
        <w:r w:rsidRPr="005922F8">
          <w:rPr>
            <w:b w:val="0"/>
            <w:bCs/>
            <w:webHidden/>
          </w:rPr>
          <w:instrText xml:space="preserve"> PAGEREF _Toc204678226 \h </w:instrText>
        </w:r>
        <w:r w:rsidRPr="005922F8">
          <w:rPr>
            <w:b w:val="0"/>
            <w:bCs/>
            <w:webHidden/>
          </w:rPr>
        </w:r>
        <w:r w:rsidRPr="005922F8">
          <w:rPr>
            <w:b w:val="0"/>
            <w:bCs/>
            <w:webHidden/>
          </w:rPr>
          <w:fldChar w:fldCharType="separate"/>
        </w:r>
        <w:r w:rsidR="000E08BF">
          <w:rPr>
            <w:b w:val="0"/>
            <w:bCs/>
            <w:webHidden/>
          </w:rPr>
          <w:t>142</w:t>
        </w:r>
        <w:r w:rsidRPr="005922F8">
          <w:rPr>
            <w:b w:val="0"/>
            <w:bCs/>
            <w:webHidden/>
          </w:rPr>
          <w:fldChar w:fldCharType="end"/>
        </w:r>
      </w:hyperlink>
    </w:p>
    <w:p w14:paraId="4147C576" w14:textId="7C848522"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27" w:history="1">
        <w:r w:rsidRPr="005922F8">
          <w:rPr>
            <w:rStyle w:val="Hypertextovodkaz"/>
            <w:rFonts w:asciiTheme="majorHAnsi" w:hAnsiTheme="majorHAnsi" w:cstheme="majorHAnsi"/>
            <w:b w:val="0"/>
            <w:bCs/>
          </w:rPr>
          <w:t>12.1.2</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Struktura využití pozemků</w:t>
        </w:r>
        <w:r w:rsidRPr="005922F8">
          <w:rPr>
            <w:b w:val="0"/>
            <w:bCs/>
            <w:webHidden/>
          </w:rPr>
          <w:tab/>
        </w:r>
        <w:r w:rsidRPr="005922F8">
          <w:rPr>
            <w:b w:val="0"/>
            <w:bCs/>
            <w:webHidden/>
          </w:rPr>
          <w:fldChar w:fldCharType="begin"/>
        </w:r>
        <w:r w:rsidRPr="005922F8">
          <w:rPr>
            <w:b w:val="0"/>
            <w:bCs/>
            <w:webHidden/>
          </w:rPr>
          <w:instrText xml:space="preserve"> PAGEREF _Toc204678227 \h </w:instrText>
        </w:r>
        <w:r w:rsidRPr="005922F8">
          <w:rPr>
            <w:b w:val="0"/>
            <w:bCs/>
            <w:webHidden/>
          </w:rPr>
        </w:r>
        <w:r w:rsidRPr="005922F8">
          <w:rPr>
            <w:b w:val="0"/>
            <w:bCs/>
            <w:webHidden/>
          </w:rPr>
          <w:fldChar w:fldCharType="separate"/>
        </w:r>
        <w:r w:rsidR="000E08BF">
          <w:rPr>
            <w:b w:val="0"/>
            <w:bCs/>
            <w:webHidden/>
          </w:rPr>
          <w:t>142</w:t>
        </w:r>
        <w:r w:rsidRPr="005922F8">
          <w:rPr>
            <w:b w:val="0"/>
            <w:bCs/>
            <w:webHidden/>
          </w:rPr>
          <w:fldChar w:fldCharType="end"/>
        </w:r>
      </w:hyperlink>
    </w:p>
    <w:p w14:paraId="796F13C9" w14:textId="72940029"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28" w:history="1">
        <w:r w:rsidRPr="005922F8">
          <w:rPr>
            <w:rStyle w:val="Hypertextovodkaz"/>
            <w:rFonts w:asciiTheme="majorHAnsi" w:hAnsiTheme="majorHAnsi" w:cstheme="majorHAnsi"/>
            <w:b w:val="0"/>
            <w:bCs/>
          </w:rPr>
          <w:t>12.1.3</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Pedologické podmínky, uspořádání ZPF v území</w:t>
        </w:r>
        <w:r w:rsidRPr="005922F8">
          <w:rPr>
            <w:b w:val="0"/>
            <w:bCs/>
            <w:webHidden/>
          </w:rPr>
          <w:tab/>
        </w:r>
        <w:r w:rsidRPr="005922F8">
          <w:rPr>
            <w:b w:val="0"/>
            <w:bCs/>
            <w:webHidden/>
          </w:rPr>
          <w:fldChar w:fldCharType="begin"/>
        </w:r>
        <w:r w:rsidRPr="005922F8">
          <w:rPr>
            <w:b w:val="0"/>
            <w:bCs/>
            <w:webHidden/>
          </w:rPr>
          <w:instrText xml:space="preserve"> PAGEREF _Toc204678228 \h </w:instrText>
        </w:r>
        <w:r w:rsidRPr="005922F8">
          <w:rPr>
            <w:b w:val="0"/>
            <w:bCs/>
            <w:webHidden/>
          </w:rPr>
        </w:r>
        <w:r w:rsidRPr="005922F8">
          <w:rPr>
            <w:b w:val="0"/>
            <w:bCs/>
            <w:webHidden/>
          </w:rPr>
          <w:fldChar w:fldCharType="separate"/>
        </w:r>
        <w:r w:rsidR="000E08BF">
          <w:rPr>
            <w:b w:val="0"/>
            <w:bCs/>
            <w:webHidden/>
          </w:rPr>
          <w:t>143</w:t>
        </w:r>
        <w:r w:rsidRPr="005922F8">
          <w:rPr>
            <w:b w:val="0"/>
            <w:bCs/>
            <w:webHidden/>
          </w:rPr>
          <w:fldChar w:fldCharType="end"/>
        </w:r>
      </w:hyperlink>
    </w:p>
    <w:p w14:paraId="3556F0A5" w14:textId="7F33614F"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29" w:history="1">
        <w:r w:rsidRPr="005922F8">
          <w:rPr>
            <w:rStyle w:val="Hypertextovodkaz"/>
            <w:rFonts w:asciiTheme="majorHAnsi" w:hAnsiTheme="majorHAnsi" w:cstheme="majorHAnsi"/>
            <w:b w:val="0"/>
            <w:bCs/>
          </w:rPr>
          <w:t>12.1.4</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Pozemkové úpravy</w:t>
        </w:r>
        <w:r w:rsidRPr="005922F8">
          <w:rPr>
            <w:b w:val="0"/>
            <w:bCs/>
            <w:webHidden/>
          </w:rPr>
          <w:tab/>
        </w:r>
        <w:r w:rsidRPr="005922F8">
          <w:rPr>
            <w:b w:val="0"/>
            <w:bCs/>
            <w:webHidden/>
          </w:rPr>
          <w:fldChar w:fldCharType="begin"/>
        </w:r>
        <w:r w:rsidRPr="005922F8">
          <w:rPr>
            <w:b w:val="0"/>
            <w:bCs/>
            <w:webHidden/>
          </w:rPr>
          <w:instrText xml:space="preserve"> PAGEREF _Toc204678229 \h </w:instrText>
        </w:r>
        <w:r w:rsidRPr="005922F8">
          <w:rPr>
            <w:b w:val="0"/>
            <w:bCs/>
            <w:webHidden/>
          </w:rPr>
        </w:r>
        <w:r w:rsidRPr="005922F8">
          <w:rPr>
            <w:b w:val="0"/>
            <w:bCs/>
            <w:webHidden/>
          </w:rPr>
          <w:fldChar w:fldCharType="separate"/>
        </w:r>
        <w:r w:rsidR="000E08BF">
          <w:rPr>
            <w:b w:val="0"/>
            <w:bCs/>
            <w:webHidden/>
          </w:rPr>
          <w:t>144</w:t>
        </w:r>
        <w:r w:rsidRPr="005922F8">
          <w:rPr>
            <w:b w:val="0"/>
            <w:bCs/>
            <w:webHidden/>
          </w:rPr>
          <w:fldChar w:fldCharType="end"/>
        </w:r>
      </w:hyperlink>
    </w:p>
    <w:p w14:paraId="635AAFB3" w14:textId="4D60D3F2"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0" w:history="1">
        <w:r w:rsidRPr="005922F8">
          <w:rPr>
            <w:rStyle w:val="Hypertextovodkaz"/>
            <w:rFonts w:asciiTheme="majorHAnsi" w:hAnsiTheme="majorHAnsi" w:cstheme="majorHAnsi"/>
            <w:b w:val="0"/>
            <w:bCs/>
          </w:rPr>
          <w:t>12.1.5</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Investice do půdy</w:t>
        </w:r>
        <w:r w:rsidRPr="005922F8">
          <w:rPr>
            <w:b w:val="0"/>
            <w:bCs/>
            <w:webHidden/>
          </w:rPr>
          <w:tab/>
        </w:r>
        <w:r w:rsidRPr="005922F8">
          <w:rPr>
            <w:b w:val="0"/>
            <w:bCs/>
            <w:webHidden/>
          </w:rPr>
          <w:fldChar w:fldCharType="begin"/>
        </w:r>
        <w:r w:rsidRPr="005922F8">
          <w:rPr>
            <w:b w:val="0"/>
            <w:bCs/>
            <w:webHidden/>
          </w:rPr>
          <w:instrText xml:space="preserve"> PAGEREF _Toc204678230 \h </w:instrText>
        </w:r>
        <w:r w:rsidRPr="005922F8">
          <w:rPr>
            <w:b w:val="0"/>
            <w:bCs/>
            <w:webHidden/>
          </w:rPr>
        </w:r>
        <w:r w:rsidRPr="005922F8">
          <w:rPr>
            <w:b w:val="0"/>
            <w:bCs/>
            <w:webHidden/>
          </w:rPr>
          <w:fldChar w:fldCharType="separate"/>
        </w:r>
        <w:r w:rsidR="000E08BF">
          <w:rPr>
            <w:b w:val="0"/>
            <w:bCs/>
            <w:webHidden/>
          </w:rPr>
          <w:t>144</w:t>
        </w:r>
        <w:r w:rsidRPr="005922F8">
          <w:rPr>
            <w:b w:val="0"/>
            <w:bCs/>
            <w:webHidden/>
          </w:rPr>
          <w:fldChar w:fldCharType="end"/>
        </w:r>
      </w:hyperlink>
    </w:p>
    <w:p w14:paraId="291343FD" w14:textId="7243D8F4"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1" w:history="1">
        <w:r w:rsidRPr="005922F8">
          <w:rPr>
            <w:rStyle w:val="Hypertextovodkaz"/>
            <w:rFonts w:asciiTheme="majorHAnsi" w:hAnsiTheme="majorHAnsi" w:cstheme="majorHAnsi"/>
            <w:b w:val="0"/>
            <w:bCs/>
          </w:rPr>
          <w:t>12.1.6</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Opatření k zajištění ekologické stability, protierozní opatření</w:t>
        </w:r>
        <w:r w:rsidRPr="005922F8">
          <w:rPr>
            <w:b w:val="0"/>
            <w:bCs/>
            <w:webHidden/>
          </w:rPr>
          <w:tab/>
        </w:r>
        <w:r w:rsidRPr="005922F8">
          <w:rPr>
            <w:b w:val="0"/>
            <w:bCs/>
            <w:webHidden/>
          </w:rPr>
          <w:fldChar w:fldCharType="begin"/>
        </w:r>
        <w:r w:rsidRPr="005922F8">
          <w:rPr>
            <w:b w:val="0"/>
            <w:bCs/>
            <w:webHidden/>
          </w:rPr>
          <w:instrText xml:space="preserve"> PAGEREF _Toc204678231 \h </w:instrText>
        </w:r>
        <w:r w:rsidRPr="005922F8">
          <w:rPr>
            <w:b w:val="0"/>
            <w:bCs/>
            <w:webHidden/>
          </w:rPr>
        </w:r>
        <w:r w:rsidRPr="005922F8">
          <w:rPr>
            <w:b w:val="0"/>
            <w:bCs/>
            <w:webHidden/>
          </w:rPr>
          <w:fldChar w:fldCharType="separate"/>
        </w:r>
        <w:r w:rsidR="000E08BF">
          <w:rPr>
            <w:b w:val="0"/>
            <w:bCs/>
            <w:webHidden/>
          </w:rPr>
          <w:t>146</w:t>
        </w:r>
        <w:r w:rsidRPr="005922F8">
          <w:rPr>
            <w:b w:val="0"/>
            <w:bCs/>
            <w:webHidden/>
          </w:rPr>
          <w:fldChar w:fldCharType="end"/>
        </w:r>
      </w:hyperlink>
    </w:p>
    <w:p w14:paraId="63241235" w14:textId="49A20260"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2" w:history="1">
        <w:r w:rsidRPr="005922F8">
          <w:rPr>
            <w:rStyle w:val="Hypertextovodkaz"/>
            <w:rFonts w:asciiTheme="majorHAnsi" w:hAnsiTheme="majorHAnsi" w:cstheme="majorHAnsi"/>
            <w:b w:val="0"/>
            <w:bCs/>
          </w:rPr>
          <w:t>12.1.7</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Prostupnost krajiny a zemědělské účelové komunikace</w:t>
        </w:r>
        <w:r w:rsidRPr="005922F8">
          <w:rPr>
            <w:b w:val="0"/>
            <w:bCs/>
            <w:webHidden/>
          </w:rPr>
          <w:tab/>
        </w:r>
        <w:r w:rsidRPr="005922F8">
          <w:rPr>
            <w:b w:val="0"/>
            <w:bCs/>
            <w:webHidden/>
          </w:rPr>
          <w:fldChar w:fldCharType="begin"/>
        </w:r>
        <w:r w:rsidRPr="005922F8">
          <w:rPr>
            <w:b w:val="0"/>
            <w:bCs/>
            <w:webHidden/>
          </w:rPr>
          <w:instrText xml:space="preserve"> PAGEREF _Toc204678232 \h </w:instrText>
        </w:r>
        <w:r w:rsidRPr="005922F8">
          <w:rPr>
            <w:b w:val="0"/>
            <w:bCs/>
            <w:webHidden/>
          </w:rPr>
        </w:r>
        <w:r w:rsidRPr="005922F8">
          <w:rPr>
            <w:b w:val="0"/>
            <w:bCs/>
            <w:webHidden/>
          </w:rPr>
          <w:fldChar w:fldCharType="separate"/>
        </w:r>
        <w:r w:rsidR="000E08BF">
          <w:rPr>
            <w:b w:val="0"/>
            <w:bCs/>
            <w:webHidden/>
          </w:rPr>
          <w:t>146</w:t>
        </w:r>
        <w:r w:rsidRPr="005922F8">
          <w:rPr>
            <w:b w:val="0"/>
            <w:bCs/>
            <w:webHidden/>
          </w:rPr>
          <w:fldChar w:fldCharType="end"/>
        </w:r>
      </w:hyperlink>
    </w:p>
    <w:p w14:paraId="79DB5829" w14:textId="69B96F9B"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3" w:history="1">
        <w:r w:rsidRPr="005922F8">
          <w:rPr>
            <w:rStyle w:val="Hypertextovodkaz"/>
            <w:rFonts w:asciiTheme="majorHAnsi" w:hAnsiTheme="majorHAnsi" w:cstheme="majorHAnsi"/>
            <w:b w:val="0"/>
            <w:bCs/>
          </w:rPr>
          <w:t>12.1.8</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Zemědělská prvovýroba</w:t>
        </w:r>
        <w:r w:rsidRPr="005922F8">
          <w:rPr>
            <w:b w:val="0"/>
            <w:bCs/>
            <w:webHidden/>
          </w:rPr>
          <w:tab/>
        </w:r>
        <w:r w:rsidRPr="005922F8">
          <w:rPr>
            <w:b w:val="0"/>
            <w:bCs/>
            <w:webHidden/>
          </w:rPr>
          <w:fldChar w:fldCharType="begin"/>
        </w:r>
        <w:r w:rsidRPr="005922F8">
          <w:rPr>
            <w:b w:val="0"/>
            <w:bCs/>
            <w:webHidden/>
          </w:rPr>
          <w:instrText xml:space="preserve"> PAGEREF _Toc204678233 \h </w:instrText>
        </w:r>
        <w:r w:rsidRPr="005922F8">
          <w:rPr>
            <w:b w:val="0"/>
            <w:bCs/>
            <w:webHidden/>
          </w:rPr>
        </w:r>
        <w:r w:rsidRPr="005922F8">
          <w:rPr>
            <w:b w:val="0"/>
            <w:bCs/>
            <w:webHidden/>
          </w:rPr>
          <w:fldChar w:fldCharType="separate"/>
        </w:r>
        <w:r w:rsidR="000E08BF">
          <w:rPr>
            <w:b w:val="0"/>
            <w:bCs/>
            <w:webHidden/>
          </w:rPr>
          <w:t>146</w:t>
        </w:r>
        <w:r w:rsidRPr="005922F8">
          <w:rPr>
            <w:b w:val="0"/>
            <w:bCs/>
            <w:webHidden/>
          </w:rPr>
          <w:fldChar w:fldCharType="end"/>
        </w:r>
      </w:hyperlink>
    </w:p>
    <w:p w14:paraId="6ED22616" w14:textId="0FF568D9"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4" w:history="1">
        <w:r w:rsidRPr="005922F8">
          <w:rPr>
            <w:rStyle w:val="Hypertextovodkaz"/>
            <w:rFonts w:asciiTheme="majorHAnsi" w:hAnsiTheme="majorHAnsi" w:cstheme="majorHAnsi"/>
            <w:b w:val="0"/>
            <w:bCs/>
          </w:rPr>
          <w:t>12.1.9</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Vyhodnocení záborů zemědělského půdního fondu</w:t>
        </w:r>
        <w:r w:rsidRPr="005922F8">
          <w:rPr>
            <w:b w:val="0"/>
            <w:bCs/>
            <w:webHidden/>
          </w:rPr>
          <w:tab/>
        </w:r>
        <w:r w:rsidRPr="005922F8">
          <w:rPr>
            <w:b w:val="0"/>
            <w:bCs/>
            <w:webHidden/>
          </w:rPr>
          <w:fldChar w:fldCharType="begin"/>
        </w:r>
        <w:r w:rsidRPr="005922F8">
          <w:rPr>
            <w:b w:val="0"/>
            <w:bCs/>
            <w:webHidden/>
          </w:rPr>
          <w:instrText xml:space="preserve"> PAGEREF _Toc204678234 \h </w:instrText>
        </w:r>
        <w:r w:rsidRPr="005922F8">
          <w:rPr>
            <w:b w:val="0"/>
            <w:bCs/>
            <w:webHidden/>
          </w:rPr>
        </w:r>
        <w:r w:rsidRPr="005922F8">
          <w:rPr>
            <w:b w:val="0"/>
            <w:bCs/>
            <w:webHidden/>
          </w:rPr>
          <w:fldChar w:fldCharType="separate"/>
        </w:r>
        <w:r w:rsidR="000E08BF">
          <w:rPr>
            <w:b w:val="0"/>
            <w:bCs/>
            <w:webHidden/>
          </w:rPr>
          <w:t>146</w:t>
        </w:r>
        <w:r w:rsidRPr="005922F8">
          <w:rPr>
            <w:b w:val="0"/>
            <w:bCs/>
            <w:webHidden/>
          </w:rPr>
          <w:fldChar w:fldCharType="end"/>
        </w:r>
      </w:hyperlink>
    </w:p>
    <w:p w14:paraId="0F0C0A50" w14:textId="7CBD1A58"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5" w:history="1">
        <w:r w:rsidRPr="005922F8">
          <w:rPr>
            <w:rStyle w:val="Hypertextovodkaz"/>
            <w:rFonts w:asciiTheme="majorHAnsi" w:hAnsiTheme="majorHAnsi" w:cstheme="majorHAnsi"/>
            <w:b w:val="0"/>
            <w:bCs/>
          </w:rPr>
          <w:t>12.1.10</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Zdůvodnění vhodnosti navrženého řešení oproti jiným variantám</w:t>
        </w:r>
        <w:r w:rsidRPr="005922F8">
          <w:rPr>
            <w:b w:val="0"/>
            <w:bCs/>
            <w:webHidden/>
          </w:rPr>
          <w:tab/>
        </w:r>
        <w:r w:rsidRPr="005922F8">
          <w:rPr>
            <w:b w:val="0"/>
            <w:bCs/>
            <w:webHidden/>
          </w:rPr>
          <w:fldChar w:fldCharType="begin"/>
        </w:r>
        <w:r w:rsidRPr="005922F8">
          <w:rPr>
            <w:b w:val="0"/>
            <w:bCs/>
            <w:webHidden/>
          </w:rPr>
          <w:instrText xml:space="preserve"> PAGEREF _Toc204678235 \h </w:instrText>
        </w:r>
        <w:r w:rsidRPr="005922F8">
          <w:rPr>
            <w:b w:val="0"/>
            <w:bCs/>
            <w:webHidden/>
          </w:rPr>
        </w:r>
        <w:r w:rsidRPr="005922F8">
          <w:rPr>
            <w:b w:val="0"/>
            <w:bCs/>
            <w:webHidden/>
          </w:rPr>
          <w:fldChar w:fldCharType="separate"/>
        </w:r>
        <w:r w:rsidR="000E08BF">
          <w:rPr>
            <w:b w:val="0"/>
            <w:bCs/>
            <w:webHidden/>
          </w:rPr>
          <w:t>148</w:t>
        </w:r>
        <w:r w:rsidRPr="005922F8">
          <w:rPr>
            <w:b w:val="0"/>
            <w:bCs/>
            <w:webHidden/>
          </w:rPr>
          <w:fldChar w:fldCharType="end"/>
        </w:r>
      </w:hyperlink>
    </w:p>
    <w:p w14:paraId="5BF45D54" w14:textId="48EC691C" w:rsidR="005922F8" w:rsidRPr="005922F8" w:rsidRDefault="005922F8">
      <w:pPr>
        <w:pStyle w:val="Obsah2"/>
        <w:rPr>
          <w:rFonts w:asciiTheme="minorHAnsi" w:eastAsiaTheme="minorEastAsia" w:hAnsiTheme="minorHAnsi" w:cstheme="minorBidi"/>
          <w:b w:val="0"/>
          <w:kern w:val="2"/>
          <w:sz w:val="24"/>
          <w:szCs w:val="24"/>
          <w:lang w:eastAsia="cs-CZ"/>
          <w14:ligatures w14:val="standardContextual"/>
        </w:rPr>
      </w:pPr>
      <w:hyperlink w:anchor="_Toc204678236" w:history="1">
        <w:r w:rsidRPr="005922F8">
          <w:rPr>
            <w:rStyle w:val="Hypertextovodkaz"/>
            <w:b w:val="0"/>
          </w:rPr>
          <w:t>12.2</w:t>
        </w:r>
        <w:r w:rsidRPr="005922F8">
          <w:rPr>
            <w:rFonts w:asciiTheme="minorHAnsi" w:eastAsiaTheme="minorEastAsia" w:hAnsiTheme="minorHAnsi" w:cstheme="minorBidi"/>
            <w:b w:val="0"/>
            <w:kern w:val="2"/>
            <w:sz w:val="24"/>
            <w:szCs w:val="24"/>
            <w:lang w:eastAsia="cs-CZ"/>
            <w14:ligatures w14:val="standardContextual"/>
          </w:rPr>
          <w:tab/>
        </w:r>
        <w:r w:rsidRPr="005922F8">
          <w:rPr>
            <w:rStyle w:val="Hypertextovodkaz"/>
            <w:b w:val="0"/>
          </w:rPr>
          <w:t>Vyhodnocení předpokládaných důsledků navrhovaného řešení na pozemky určené k plnění funkce lesa</w:t>
        </w:r>
        <w:r w:rsidRPr="005922F8">
          <w:rPr>
            <w:b w:val="0"/>
            <w:webHidden/>
          </w:rPr>
          <w:tab/>
        </w:r>
        <w:r w:rsidRPr="005922F8">
          <w:rPr>
            <w:b w:val="0"/>
            <w:webHidden/>
          </w:rPr>
          <w:fldChar w:fldCharType="begin"/>
        </w:r>
        <w:r w:rsidRPr="005922F8">
          <w:rPr>
            <w:b w:val="0"/>
            <w:webHidden/>
          </w:rPr>
          <w:instrText xml:space="preserve"> PAGEREF _Toc204678236 \h </w:instrText>
        </w:r>
        <w:r w:rsidRPr="005922F8">
          <w:rPr>
            <w:b w:val="0"/>
            <w:webHidden/>
          </w:rPr>
        </w:r>
        <w:r w:rsidRPr="005922F8">
          <w:rPr>
            <w:b w:val="0"/>
            <w:webHidden/>
          </w:rPr>
          <w:fldChar w:fldCharType="separate"/>
        </w:r>
        <w:r w:rsidR="000E08BF">
          <w:rPr>
            <w:b w:val="0"/>
            <w:webHidden/>
          </w:rPr>
          <w:t>150</w:t>
        </w:r>
        <w:r w:rsidRPr="005922F8">
          <w:rPr>
            <w:b w:val="0"/>
            <w:webHidden/>
          </w:rPr>
          <w:fldChar w:fldCharType="end"/>
        </w:r>
      </w:hyperlink>
    </w:p>
    <w:p w14:paraId="48AD372E" w14:textId="18C5A1CD"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7" w:history="1">
        <w:r w:rsidRPr="005922F8">
          <w:rPr>
            <w:rStyle w:val="Hypertextovodkaz"/>
            <w:rFonts w:asciiTheme="majorHAnsi" w:hAnsiTheme="majorHAnsi" w:cstheme="majorHAnsi"/>
            <w:b w:val="0"/>
            <w:bCs/>
          </w:rPr>
          <w:t>12.2.1</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Aktuální stav lesa</w:t>
        </w:r>
        <w:r w:rsidRPr="005922F8">
          <w:rPr>
            <w:b w:val="0"/>
            <w:bCs/>
            <w:webHidden/>
          </w:rPr>
          <w:tab/>
        </w:r>
        <w:r w:rsidRPr="005922F8">
          <w:rPr>
            <w:b w:val="0"/>
            <w:bCs/>
            <w:webHidden/>
          </w:rPr>
          <w:fldChar w:fldCharType="begin"/>
        </w:r>
        <w:r w:rsidRPr="005922F8">
          <w:rPr>
            <w:b w:val="0"/>
            <w:bCs/>
            <w:webHidden/>
          </w:rPr>
          <w:instrText xml:space="preserve"> PAGEREF _Toc204678237 \h </w:instrText>
        </w:r>
        <w:r w:rsidRPr="005922F8">
          <w:rPr>
            <w:b w:val="0"/>
            <w:bCs/>
            <w:webHidden/>
          </w:rPr>
        </w:r>
        <w:r w:rsidRPr="005922F8">
          <w:rPr>
            <w:b w:val="0"/>
            <w:bCs/>
            <w:webHidden/>
          </w:rPr>
          <w:fldChar w:fldCharType="separate"/>
        </w:r>
        <w:r w:rsidR="000E08BF">
          <w:rPr>
            <w:b w:val="0"/>
            <w:bCs/>
            <w:webHidden/>
          </w:rPr>
          <w:t>150</w:t>
        </w:r>
        <w:r w:rsidRPr="005922F8">
          <w:rPr>
            <w:b w:val="0"/>
            <w:bCs/>
            <w:webHidden/>
          </w:rPr>
          <w:fldChar w:fldCharType="end"/>
        </w:r>
      </w:hyperlink>
    </w:p>
    <w:p w14:paraId="382ACD7B" w14:textId="67A7AF83"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8" w:history="1">
        <w:r w:rsidRPr="005922F8">
          <w:rPr>
            <w:rStyle w:val="Hypertextovodkaz"/>
            <w:rFonts w:asciiTheme="majorHAnsi" w:hAnsiTheme="majorHAnsi" w:cstheme="majorHAnsi"/>
            <w:b w:val="0"/>
            <w:bCs/>
          </w:rPr>
          <w:t>12.2.2</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Přírodní lesní oblast (PLO), lesní vegetační stupeň (LVS)</w:t>
        </w:r>
        <w:r w:rsidRPr="005922F8">
          <w:rPr>
            <w:b w:val="0"/>
            <w:bCs/>
            <w:webHidden/>
          </w:rPr>
          <w:tab/>
        </w:r>
        <w:r w:rsidRPr="005922F8">
          <w:rPr>
            <w:b w:val="0"/>
            <w:bCs/>
            <w:webHidden/>
          </w:rPr>
          <w:fldChar w:fldCharType="begin"/>
        </w:r>
        <w:r w:rsidRPr="005922F8">
          <w:rPr>
            <w:b w:val="0"/>
            <w:bCs/>
            <w:webHidden/>
          </w:rPr>
          <w:instrText xml:space="preserve"> PAGEREF _Toc204678238 \h </w:instrText>
        </w:r>
        <w:r w:rsidRPr="005922F8">
          <w:rPr>
            <w:b w:val="0"/>
            <w:bCs/>
            <w:webHidden/>
          </w:rPr>
        </w:r>
        <w:r w:rsidRPr="005922F8">
          <w:rPr>
            <w:b w:val="0"/>
            <w:bCs/>
            <w:webHidden/>
          </w:rPr>
          <w:fldChar w:fldCharType="separate"/>
        </w:r>
        <w:r w:rsidR="000E08BF">
          <w:rPr>
            <w:b w:val="0"/>
            <w:bCs/>
            <w:webHidden/>
          </w:rPr>
          <w:t>150</w:t>
        </w:r>
        <w:r w:rsidRPr="005922F8">
          <w:rPr>
            <w:b w:val="0"/>
            <w:bCs/>
            <w:webHidden/>
          </w:rPr>
          <w:fldChar w:fldCharType="end"/>
        </w:r>
      </w:hyperlink>
    </w:p>
    <w:p w14:paraId="5D19C57E" w14:textId="0DDE2063"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39" w:history="1">
        <w:r w:rsidRPr="005922F8">
          <w:rPr>
            <w:rStyle w:val="Hypertextovodkaz"/>
            <w:rFonts w:asciiTheme="majorHAnsi" w:hAnsiTheme="majorHAnsi" w:cstheme="majorHAnsi"/>
            <w:b w:val="0"/>
            <w:bCs/>
          </w:rPr>
          <w:t>12.2.3</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Kategorie lesů</w:t>
        </w:r>
        <w:r w:rsidRPr="005922F8">
          <w:rPr>
            <w:b w:val="0"/>
            <w:bCs/>
            <w:webHidden/>
          </w:rPr>
          <w:tab/>
        </w:r>
        <w:r w:rsidRPr="005922F8">
          <w:rPr>
            <w:b w:val="0"/>
            <w:bCs/>
            <w:webHidden/>
          </w:rPr>
          <w:fldChar w:fldCharType="begin"/>
        </w:r>
        <w:r w:rsidRPr="005922F8">
          <w:rPr>
            <w:b w:val="0"/>
            <w:bCs/>
            <w:webHidden/>
          </w:rPr>
          <w:instrText xml:space="preserve"> PAGEREF _Toc204678239 \h </w:instrText>
        </w:r>
        <w:r w:rsidRPr="005922F8">
          <w:rPr>
            <w:b w:val="0"/>
            <w:bCs/>
            <w:webHidden/>
          </w:rPr>
        </w:r>
        <w:r w:rsidRPr="005922F8">
          <w:rPr>
            <w:b w:val="0"/>
            <w:bCs/>
            <w:webHidden/>
          </w:rPr>
          <w:fldChar w:fldCharType="separate"/>
        </w:r>
        <w:r w:rsidR="000E08BF">
          <w:rPr>
            <w:b w:val="0"/>
            <w:bCs/>
            <w:webHidden/>
          </w:rPr>
          <w:t>150</w:t>
        </w:r>
        <w:r w:rsidRPr="005922F8">
          <w:rPr>
            <w:b w:val="0"/>
            <w:bCs/>
            <w:webHidden/>
          </w:rPr>
          <w:fldChar w:fldCharType="end"/>
        </w:r>
      </w:hyperlink>
    </w:p>
    <w:p w14:paraId="40BA5C7F" w14:textId="4C395D30"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40" w:history="1">
        <w:r w:rsidRPr="005922F8">
          <w:rPr>
            <w:rStyle w:val="Hypertextovodkaz"/>
            <w:rFonts w:asciiTheme="majorHAnsi" w:hAnsiTheme="majorHAnsi" w:cstheme="majorHAnsi"/>
            <w:b w:val="0"/>
            <w:bCs/>
          </w:rPr>
          <w:t>12.2.4</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Zábor pozemků určených k plnění funkce lesa</w:t>
        </w:r>
        <w:r w:rsidRPr="005922F8">
          <w:rPr>
            <w:b w:val="0"/>
            <w:bCs/>
            <w:webHidden/>
          </w:rPr>
          <w:tab/>
        </w:r>
        <w:r w:rsidRPr="005922F8">
          <w:rPr>
            <w:b w:val="0"/>
            <w:bCs/>
            <w:webHidden/>
          </w:rPr>
          <w:fldChar w:fldCharType="begin"/>
        </w:r>
        <w:r w:rsidRPr="005922F8">
          <w:rPr>
            <w:b w:val="0"/>
            <w:bCs/>
            <w:webHidden/>
          </w:rPr>
          <w:instrText xml:space="preserve"> PAGEREF _Toc204678240 \h </w:instrText>
        </w:r>
        <w:r w:rsidRPr="005922F8">
          <w:rPr>
            <w:b w:val="0"/>
            <w:bCs/>
            <w:webHidden/>
          </w:rPr>
        </w:r>
        <w:r w:rsidRPr="005922F8">
          <w:rPr>
            <w:b w:val="0"/>
            <w:bCs/>
            <w:webHidden/>
          </w:rPr>
          <w:fldChar w:fldCharType="separate"/>
        </w:r>
        <w:r w:rsidR="000E08BF">
          <w:rPr>
            <w:b w:val="0"/>
            <w:bCs/>
            <w:webHidden/>
          </w:rPr>
          <w:t>150</w:t>
        </w:r>
        <w:r w:rsidRPr="005922F8">
          <w:rPr>
            <w:b w:val="0"/>
            <w:bCs/>
            <w:webHidden/>
          </w:rPr>
          <w:fldChar w:fldCharType="end"/>
        </w:r>
      </w:hyperlink>
    </w:p>
    <w:p w14:paraId="487B594A" w14:textId="001F0032"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41" w:history="1">
        <w:r w:rsidRPr="005922F8">
          <w:rPr>
            <w:rStyle w:val="Hypertextovodkaz"/>
            <w:rFonts w:asciiTheme="majorHAnsi" w:hAnsiTheme="majorHAnsi" w:cstheme="majorHAnsi"/>
            <w:b w:val="0"/>
            <w:bCs/>
          </w:rPr>
          <w:t>12.2.5</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Návrh zalesnění</w:t>
        </w:r>
        <w:r w:rsidRPr="005922F8">
          <w:rPr>
            <w:b w:val="0"/>
            <w:bCs/>
            <w:webHidden/>
          </w:rPr>
          <w:tab/>
        </w:r>
        <w:r w:rsidRPr="005922F8">
          <w:rPr>
            <w:b w:val="0"/>
            <w:bCs/>
            <w:webHidden/>
          </w:rPr>
          <w:fldChar w:fldCharType="begin"/>
        </w:r>
        <w:r w:rsidRPr="005922F8">
          <w:rPr>
            <w:b w:val="0"/>
            <w:bCs/>
            <w:webHidden/>
          </w:rPr>
          <w:instrText xml:space="preserve"> PAGEREF _Toc204678241 \h </w:instrText>
        </w:r>
        <w:r w:rsidRPr="005922F8">
          <w:rPr>
            <w:b w:val="0"/>
            <w:bCs/>
            <w:webHidden/>
          </w:rPr>
        </w:r>
        <w:r w:rsidRPr="005922F8">
          <w:rPr>
            <w:b w:val="0"/>
            <w:bCs/>
            <w:webHidden/>
          </w:rPr>
          <w:fldChar w:fldCharType="separate"/>
        </w:r>
        <w:r w:rsidR="000E08BF">
          <w:rPr>
            <w:b w:val="0"/>
            <w:bCs/>
            <w:webHidden/>
          </w:rPr>
          <w:t>151</w:t>
        </w:r>
        <w:r w:rsidRPr="005922F8">
          <w:rPr>
            <w:b w:val="0"/>
            <w:bCs/>
            <w:webHidden/>
          </w:rPr>
          <w:fldChar w:fldCharType="end"/>
        </w:r>
      </w:hyperlink>
    </w:p>
    <w:p w14:paraId="3F1D4DF7" w14:textId="69A58E71" w:rsidR="005922F8" w:rsidRPr="005922F8" w:rsidRDefault="005922F8">
      <w:pPr>
        <w:pStyle w:val="Obsah3"/>
        <w:tabs>
          <w:tab w:val="left" w:pos="2127"/>
        </w:tabs>
        <w:rPr>
          <w:rFonts w:asciiTheme="minorHAnsi" w:eastAsiaTheme="minorEastAsia" w:hAnsiTheme="minorHAnsi"/>
          <w:b w:val="0"/>
          <w:bCs/>
          <w:kern w:val="2"/>
          <w:sz w:val="24"/>
          <w:szCs w:val="24"/>
          <w:lang w:eastAsia="cs-CZ"/>
          <w14:ligatures w14:val="standardContextual"/>
        </w:rPr>
      </w:pPr>
      <w:hyperlink w:anchor="_Toc204678242" w:history="1">
        <w:r w:rsidRPr="005922F8">
          <w:rPr>
            <w:rStyle w:val="Hypertextovodkaz"/>
            <w:rFonts w:asciiTheme="majorHAnsi" w:hAnsiTheme="majorHAnsi" w:cstheme="majorHAnsi"/>
            <w:b w:val="0"/>
            <w:bCs/>
          </w:rPr>
          <w:t>12.2.6</w:t>
        </w:r>
        <w:r w:rsidRPr="005922F8">
          <w:rPr>
            <w:rFonts w:asciiTheme="minorHAnsi" w:eastAsiaTheme="minorEastAsia" w:hAnsiTheme="minorHAnsi"/>
            <w:b w:val="0"/>
            <w:bCs/>
            <w:kern w:val="2"/>
            <w:sz w:val="24"/>
            <w:szCs w:val="24"/>
            <w:lang w:eastAsia="cs-CZ"/>
            <w14:ligatures w14:val="standardContextual"/>
          </w:rPr>
          <w:tab/>
        </w:r>
        <w:r w:rsidRPr="005922F8">
          <w:rPr>
            <w:rStyle w:val="Hypertextovodkaz"/>
            <w:rFonts w:asciiTheme="majorHAnsi" w:hAnsiTheme="majorHAnsi" w:cstheme="majorHAnsi"/>
            <w:b w:val="0"/>
            <w:bCs/>
          </w:rPr>
          <w:t>Ochrana lesa</w:t>
        </w:r>
        <w:r w:rsidRPr="005922F8">
          <w:rPr>
            <w:b w:val="0"/>
            <w:bCs/>
            <w:webHidden/>
          </w:rPr>
          <w:tab/>
        </w:r>
        <w:r w:rsidRPr="005922F8">
          <w:rPr>
            <w:b w:val="0"/>
            <w:bCs/>
            <w:webHidden/>
          </w:rPr>
          <w:fldChar w:fldCharType="begin"/>
        </w:r>
        <w:r w:rsidRPr="005922F8">
          <w:rPr>
            <w:b w:val="0"/>
            <w:bCs/>
            <w:webHidden/>
          </w:rPr>
          <w:instrText xml:space="preserve"> PAGEREF _Toc204678242 \h </w:instrText>
        </w:r>
        <w:r w:rsidRPr="005922F8">
          <w:rPr>
            <w:b w:val="0"/>
            <w:bCs/>
            <w:webHidden/>
          </w:rPr>
        </w:r>
        <w:r w:rsidRPr="005922F8">
          <w:rPr>
            <w:b w:val="0"/>
            <w:bCs/>
            <w:webHidden/>
          </w:rPr>
          <w:fldChar w:fldCharType="separate"/>
        </w:r>
        <w:r w:rsidR="000E08BF">
          <w:rPr>
            <w:b w:val="0"/>
            <w:bCs/>
            <w:webHidden/>
          </w:rPr>
          <w:t>151</w:t>
        </w:r>
        <w:r w:rsidRPr="005922F8">
          <w:rPr>
            <w:b w:val="0"/>
            <w:bCs/>
            <w:webHidden/>
          </w:rPr>
          <w:fldChar w:fldCharType="end"/>
        </w:r>
      </w:hyperlink>
    </w:p>
    <w:p w14:paraId="6244CDA7" w14:textId="0400EEC6"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43" w:history="1">
        <w:r w:rsidRPr="005922F8">
          <w:rPr>
            <w:rStyle w:val="Hypertextovodkaz"/>
          </w:rPr>
          <w:t>13</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ZPRÁVA O VYHODNOCENÍ VLIVŮ NA UDRŽITELNÝ ROZVOJ ÚZEMÍ OBSAHUJÍCÍ ZÁKLADNÍ INFORMACE O VÝSLEDCÍCH TOHOTO VYHODNOCENÍ VČETNĚ VÝSLEDKŮ VYHODNOCENÍ VLIVŮ NA ŽIVOTNÍ PROSTŘEDÍ</w:t>
        </w:r>
        <w:r w:rsidRPr="005922F8">
          <w:rPr>
            <w:webHidden/>
          </w:rPr>
          <w:tab/>
        </w:r>
        <w:r w:rsidRPr="005922F8">
          <w:rPr>
            <w:webHidden/>
          </w:rPr>
          <w:fldChar w:fldCharType="begin"/>
        </w:r>
        <w:r w:rsidRPr="005922F8">
          <w:rPr>
            <w:webHidden/>
          </w:rPr>
          <w:instrText xml:space="preserve"> PAGEREF _Toc204678243 \h </w:instrText>
        </w:r>
        <w:r w:rsidRPr="005922F8">
          <w:rPr>
            <w:webHidden/>
          </w:rPr>
        </w:r>
        <w:r w:rsidRPr="005922F8">
          <w:rPr>
            <w:webHidden/>
          </w:rPr>
          <w:fldChar w:fldCharType="separate"/>
        </w:r>
        <w:r w:rsidR="000E08BF">
          <w:rPr>
            <w:webHidden/>
          </w:rPr>
          <w:t>151</w:t>
        </w:r>
        <w:r w:rsidRPr="005922F8">
          <w:rPr>
            <w:webHidden/>
          </w:rPr>
          <w:fldChar w:fldCharType="end"/>
        </w:r>
      </w:hyperlink>
    </w:p>
    <w:p w14:paraId="0492601B" w14:textId="2A288729"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44" w:history="1">
        <w:r w:rsidRPr="005922F8">
          <w:rPr>
            <w:rStyle w:val="Hypertextovodkaz"/>
          </w:rPr>
          <w:t>14</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STANOVISKO KRAJSKÉHO ÚŘADU PODLE § 50 ODST. 5 STAVEBNÍHO ZÁKONA</w:t>
        </w:r>
        <w:r w:rsidRPr="005922F8">
          <w:rPr>
            <w:webHidden/>
          </w:rPr>
          <w:tab/>
        </w:r>
        <w:r w:rsidRPr="005922F8">
          <w:rPr>
            <w:webHidden/>
          </w:rPr>
          <w:fldChar w:fldCharType="begin"/>
        </w:r>
        <w:r w:rsidRPr="005922F8">
          <w:rPr>
            <w:webHidden/>
          </w:rPr>
          <w:instrText xml:space="preserve"> PAGEREF _Toc204678244 \h </w:instrText>
        </w:r>
        <w:r w:rsidRPr="005922F8">
          <w:rPr>
            <w:webHidden/>
          </w:rPr>
        </w:r>
        <w:r w:rsidRPr="005922F8">
          <w:rPr>
            <w:webHidden/>
          </w:rPr>
          <w:fldChar w:fldCharType="separate"/>
        </w:r>
        <w:r w:rsidR="000E08BF">
          <w:rPr>
            <w:webHidden/>
          </w:rPr>
          <w:t>151</w:t>
        </w:r>
        <w:r w:rsidRPr="005922F8">
          <w:rPr>
            <w:webHidden/>
          </w:rPr>
          <w:fldChar w:fldCharType="end"/>
        </w:r>
      </w:hyperlink>
    </w:p>
    <w:p w14:paraId="7E7D9684" w14:textId="00C1C8AA"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45" w:history="1">
        <w:r w:rsidRPr="005922F8">
          <w:rPr>
            <w:rStyle w:val="Hypertextovodkaz"/>
          </w:rPr>
          <w:t>15</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SDĚLENÍ, JAK BYLO STANOVISKO KRAJSKÉHO ÚŘADU PODLE § 50 ODST. 5 STAVEBNÍHO ZÁKONA ZOHLEDNĚNO, S UVEDENÍM ZÁVAŽNÝCH DŮVODŮ, POKUD NĚKTERÉ POŽADAVKY NEBO PODMÍNKY ZOHLEDNĚNY NEBYLY</w:t>
        </w:r>
        <w:r w:rsidRPr="005922F8">
          <w:rPr>
            <w:webHidden/>
          </w:rPr>
          <w:tab/>
        </w:r>
        <w:r w:rsidRPr="005922F8">
          <w:rPr>
            <w:webHidden/>
          </w:rPr>
          <w:fldChar w:fldCharType="begin"/>
        </w:r>
        <w:r w:rsidRPr="005922F8">
          <w:rPr>
            <w:webHidden/>
          </w:rPr>
          <w:instrText xml:space="preserve"> PAGEREF _Toc204678245 \h </w:instrText>
        </w:r>
        <w:r w:rsidRPr="005922F8">
          <w:rPr>
            <w:webHidden/>
          </w:rPr>
        </w:r>
        <w:r w:rsidRPr="005922F8">
          <w:rPr>
            <w:webHidden/>
          </w:rPr>
          <w:fldChar w:fldCharType="separate"/>
        </w:r>
        <w:r w:rsidR="000E08BF">
          <w:rPr>
            <w:webHidden/>
          </w:rPr>
          <w:t>151</w:t>
        </w:r>
        <w:r w:rsidRPr="005922F8">
          <w:rPr>
            <w:webHidden/>
          </w:rPr>
          <w:fldChar w:fldCharType="end"/>
        </w:r>
      </w:hyperlink>
    </w:p>
    <w:p w14:paraId="33043453" w14:textId="01D24319"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46" w:history="1">
        <w:r w:rsidRPr="005922F8">
          <w:rPr>
            <w:rStyle w:val="Hypertextovodkaz"/>
          </w:rPr>
          <w:t>16</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ROZHODNUTÍ O NÁMITKÁCH A JEJICH ODŮVODNĚNÍ</w:t>
        </w:r>
        <w:r w:rsidRPr="005922F8">
          <w:rPr>
            <w:webHidden/>
          </w:rPr>
          <w:tab/>
        </w:r>
        <w:r w:rsidRPr="005922F8">
          <w:rPr>
            <w:webHidden/>
          </w:rPr>
          <w:fldChar w:fldCharType="begin"/>
        </w:r>
        <w:r w:rsidRPr="005922F8">
          <w:rPr>
            <w:webHidden/>
          </w:rPr>
          <w:instrText xml:space="preserve"> PAGEREF _Toc204678246 \h </w:instrText>
        </w:r>
        <w:r w:rsidRPr="005922F8">
          <w:rPr>
            <w:webHidden/>
          </w:rPr>
        </w:r>
        <w:r w:rsidRPr="005922F8">
          <w:rPr>
            <w:webHidden/>
          </w:rPr>
          <w:fldChar w:fldCharType="separate"/>
        </w:r>
        <w:r w:rsidR="000E08BF">
          <w:rPr>
            <w:webHidden/>
          </w:rPr>
          <w:t>152</w:t>
        </w:r>
        <w:r w:rsidRPr="005922F8">
          <w:rPr>
            <w:webHidden/>
          </w:rPr>
          <w:fldChar w:fldCharType="end"/>
        </w:r>
      </w:hyperlink>
    </w:p>
    <w:p w14:paraId="43581D0F" w14:textId="062F64BA"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47" w:history="1">
        <w:r w:rsidRPr="005922F8">
          <w:rPr>
            <w:rStyle w:val="Hypertextovodkaz"/>
          </w:rPr>
          <w:t>17</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VYHODNOCENÍ PŘIPOMÍNEK</w:t>
        </w:r>
        <w:r w:rsidRPr="005922F8">
          <w:rPr>
            <w:webHidden/>
          </w:rPr>
          <w:tab/>
        </w:r>
        <w:r w:rsidRPr="005922F8">
          <w:rPr>
            <w:webHidden/>
          </w:rPr>
          <w:fldChar w:fldCharType="begin"/>
        </w:r>
        <w:r w:rsidRPr="005922F8">
          <w:rPr>
            <w:webHidden/>
          </w:rPr>
          <w:instrText xml:space="preserve"> PAGEREF _Toc204678247 \h </w:instrText>
        </w:r>
        <w:r w:rsidRPr="005922F8">
          <w:rPr>
            <w:webHidden/>
          </w:rPr>
        </w:r>
        <w:r w:rsidRPr="005922F8">
          <w:rPr>
            <w:webHidden/>
          </w:rPr>
          <w:fldChar w:fldCharType="separate"/>
        </w:r>
        <w:r w:rsidR="000E08BF">
          <w:rPr>
            <w:webHidden/>
          </w:rPr>
          <w:t>171</w:t>
        </w:r>
        <w:r w:rsidRPr="005922F8">
          <w:rPr>
            <w:webHidden/>
          </w:rPr>
          <w:fldChar w:fldCharType="end"/>
        </w:r>
      </w:hyperlink>
    </w:p>
    <w:p w14:paraId="265F982D" w14:textId="7553AA40"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48" w:history="1">
        <w:r w:rsidRPr="005922F8">
          <w:rPr>
            <w:rStyle w:val="Hypertextovodkaz"/>
          </w:rPr>
          <w:t>18</w:t>
        </w:r>
        <w:r w:rsidRPr="005922F8">
          <w:rPr>
            <w:rFonts w:asciiTheme="minorHAnsi" w:eastAsiaTheme="minorEastAsia" w:hAnsiTheme="minorHAnsi" w:cstheme="minorBidi"/>
            <w:caps w:val="0"/>
            <w:kern w:val="2"/>
            <w:sz w:val="24"/>
            <w:szCs w:val="24"/>
            <w:lang w:eastAsia="cs-CZ"/>
            <w14:ligatures w14:val="standardContextual"/>
          </w:rPr>
          <w:tab/>
        </w:r>
        <w:r w:rsidRPr="005922F8">
          <w:rPr>
            <w:rStyle w:val="Hypertextovodkaz"/>
          </w:rPr>
          <w:t>OBSAH TEXTOVÉ ČÁSTI ODŮVODNĚNÍ ÚZEMNÍHO PLÁNU</w:t>
        </w:r>
        <w:r w:rsidRPr="005922F8">
          <w:rPr>
            <w:webHidden/>
          </w:rPr>
          <w:tab/>
        </w:r>
        <w:r w:rsidRPr="005922F8">
          <w:rPr>
            <w:webHidden/>
          </w:rPr>
          <w:fldChar w:fldCharType="begin"/>
        </w:r>
        <w:r w:rsidRPr="005922F8">
          <w:rPr>
            <w:webHidden/>
          </w:rPr>
          <w:instrText xml:space="preserve"> PAGEREF _Toc204678248 \h </w:instrText>
        </w:r>
        <w:r w:rsidRPr="005922F8">
          <w:rPr>
            <w:webHidden/>
          </w:rPr>
        </w:r>
        <w:r w:rsidRPr="005922F8">
          <w:rPr>
            <w:webHidden/>
          </w:rPr>
          <w:fldChar w:fldCharType="separate"/>
        </w:r>
        <w:r w:rsidR="000E08BF">
          <w:rPr>
            <w:webHidden/>
          </w:rPr>
          <w:t>173</w:t>
        </w:r>
        <w:r w:rsidRPr="005922F8">
          <w:rPr>
            <w:webHidden/>
          </w:rPr>
          <w:fldChar w:fldCharType="end"/>
        </w:r>
      </w:hyperlink>
    </w:p>
    <w:p w14:paraId="3C5DB404" w14:textId="029CAF2C"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49" w:history="1">
        <w:r w:rsidRPr="005922F8">
          <w:rPr>
            <w:rStyle w:val="Hypertextovodkaz"/>
          </w:rPr>
          <w:t>PŘÍLOHA Č. 1: SEZNAM POUŽITÝCH ZKRATEK</w:t>
        </w:r>
        <w:r w:rsidRPr="005922F8">
          <w:rPr>
            <w:webHidden/>
          </w:rPr>
          <w:tab/>
        </w:r>
        <w:r w:rsidRPr="005922F8">
          <w:rPr>
            <w:webHidden/>
          </w:rPr>
          <w:fldChar w:fldCharType="begin"/>
        </w:r>
        <w:r w:rsidRPr="005922F8">
          <w:rPr>
            <w:webHidden/>
          </w:rPr>
          <w:instrText xml:space="preserve"> PAGEREF _Toc204678249 \h </w:instrText>
        </w:r>
        <w:r w:rsidRPr="005922F8">
          <w:rPr>
            <w:webHidden/>
          </w:rPr>
        </w:r>
        <w:r w:rsidRPr="005922F8">
          <w:rPr>
            <w:webHidden/>
          </w:rPr>
          <w:fldChar w:fldCharType="separate"/>
        </w:r>
        <w:r w:rsidR="000E08BF">
          <w:rPr>
            <w:webHidden/>
          </w:rPr>
          <w:t>176</w:t>
        </w:r>
        <w:r w:rsidRPr="005922F8">
          <w:rPr>
            <w:webHidden/>
          </w:rPr>
          <w:fldChar w:fldCharType="end"/>
        </w:r>
      </w:hyperlink>
    </w:p>
    <w:p w14:paraId="71CFC3BC" w14:textId="194A48BE"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50" w:history="1">
        <w:r w:rsidRPr="005922F8">
          <w:rPr>
            <w:rStyle w:val="Hypertextovodkaz"/>
          </w:rPr>
          <w:t>PŘÍLOHA Č. 2: VYHODNOCENÍ PŘEDPOKLÁDANÝCH DŮSLEDKŮ NAVRHOVANÉHO ŘEŠENÍ NA ZEMĚDĚLSKÝ PŮDNÍ FOND</w:t>
        </w:r>
        <w:r w:rsidRPr="005922F8">
          <w:rPr>
            <w:webHidden/>
          </w:rPr>
          <w:tab/>
        </w:r>
        <w:r w:rsidRPr="005922F8">
          <w:rPr>
            <w:webHidden/>
          </w:rPr>
          <w:fldChar w:fldCharType="begin"/>
        </w:r>
        <w:r w:rsidRPr="005922F8">
          <w:rPr>
            <w:webHidden/>
          </w:rPr>
          <w:instrText xml:space="preserve"> PAGEREF _Toc204678250 \h </w:instrText>
        </w:r>
        <w:r w:rsidRPr="005922F8">
          <w:rPr>
            <w:webHidden/>
          </w:rPr>
        </w:r>
        <w:r w:rsidRPr="005922F8">
          <w:rPr>
            <w:webHidden/>
          </w:rPr>
          <w:fldChar w:fldCharType="separate"/>
        </w:r>
        <w:r w:rsidR="000E08BF">
          <w:rPr>
            <w:webHidden/>
          </w:rPr>
          <w:t>177</w:t>
        </w:r>
        <w:r w:rsidRPr="005922F8">
          <w:rPr>
            <w:webHidden/>
          </w:rPr>
          <w:fldChar w:fldCharType="end"/>
        </w:r>
      </w:hyperlink>
    </w:p>
    <w:p w14:paraId="4A94EBAC" w14:textId="0278E8C2" w:rsidR="005922F8" w:rsidRPr="005922F8" w:rsidRDefault="005922F8">
      <w:pPr>
        <w:pStyle w:val="Obsah1"/>
        <w:rPr>
          <w:rFonts w:asciiTheme="minorHAnsi" w:eastAsiaTheme="minorEastAsia" w:hAnsiTheme="minorHAnsi" w:cstheme="minorBidi"/>
          <w:caps w:val="0"/>
          <w:kern w:val="2"/>
          <w:sz w:val="24"/>
          <w:szCs w:val="24"/>
          <w:lang w:eastAsia="cs-CZ"/>
          <w14:ligatures w14:val="standardContextual"/>
        </w:rPr>
      </w:pPr>
      <w:hyperlink w:anchor="_Toc204678251" w:history="1">
        <w:r w:rsidRPr="005922F8">
          <w:rPr>
            <w:rStyle w:val="Hypertextovodkaz"/>
          </w:rPr>
          <w:t>PŘÍLOHA Č. 3: POSOUZENÍ SOULADU ÚZEMNÍHO PLÁNU S JEDNOTNÝM STANDARDEM (PROTOKOL ETL)</w:t>
        </w:r>
        <w:r w:rsidRPr="005922F8">
          <w:rPr>
            <w:webHidden/>
          </w:rPr>
          <w:tab/>
        </w:r>
        <w:r w:rsidRPr="005922F8">
          <w:rPr>
            <w:webHidden/>
          </w:rPr>
          <w:fldChar w:fldCharType="begin"/>
        </w:r>
        <w:r w:rsidRPr="005922F8">
          <w:rPr>
            <w:webHidden/>
          </w:rPr>
          <w:instrText xml:space="preserve"> PAGEREF _Toc204678251 \h </w:instrText>
        </w:r>
        <w:r w:rsidRPr="005922F8">
          <w:rPr>
            <w:webHidden/>
          </w:rPr>
        </w:r>
        <w:r w:rsidRPr="005922F8">
          <w:rPr>
            <w:webHidden/>
          </w:rPr>
          <w:fldChar w:fldCharType="separate"/>
        </w:r>
        <w:r w:rsidR="000E08BF">
          <w:rPr>
            <w:webHidden/>
          </w:rPr>
          <w:t>180</w:t>
        </w:r>
        <w:r w:rsidRPr="005922F8">
          <w:rPr>
            <w:webHidden/>
          </w:rPr>
          <w:fldChar w:fldCharType="end"/>
        </w:r>
      </w:hyperlink>
    </w:p>
    <w:p w14:paraId="7E018172" w14:textId="4E22005F" w:rsidR="008C192E" w:rsidRPr="006070EA" w:rsidRDefault="00F309F7" w:rsidP="009E07E1">
      <w:pPr>
        <w:pStyle w:val="Odstavecseseznamem"/>
        <w:spacing w:before="200" w:after="200" w:line="240" w:lineRule="auto"/>
        <w:ind w:left="0"/>
        <w:contextualSpacing w:val="0"/>
        <w:jc w:val="both"/>
        <w:rPr>
          <w:rFonts w:asciiTheme="majorHAnsi" w:hAnsiTheme="majorHAnsi" w:cstheme="majorHAnsi"/>
          <w:b/>
          <w:szCs w:val="28"/>
        </w:rPr>
      </w:pPr>
      <w:r w:rsidRPr="005922F8">
        <w:rPr>
          <w:rFonts w:asciiTheme="majorHAnsi" w:hAnsiTheme="majorHAnsi" w:cstheme="majorHAnsi"/>
          <w:bCs/>
          <w:sz w:val="24"/>
          <w:szCs w:val="28"/>
        </w:rPr>
        <w:fldChar w:fldCharType="end"/>
      </w:r>
      <w:r w:rsidR="000C51F9" w:rsidRPr="006070EA">
        <w:rPr>
          <w:rFonts w:asciiTheme="majorHAnsi" w:hAnsiTheme="majorHAnsi" w:cstheme="majorHAnsi"/>
          <w:b/>
          <w:szCs w:val="28"/>
        </w:rPr>
        <w:t>OBSAH GRAFICKÉ ČÁSTI ODŮVODNĚNÍ ÚZEMNÍHO PLÁNU</w:t>
      </w:r>
      <w:r w:rsidR="00CA1F2C" w:rsidRPr="006070EA">
        <w:rPr>
          <w:rFonts w:asciiTheme="majorHAnsi" w:hAnsiTheme="majorHAnsi" w:cstheme="majorHAnsi"/>
          <w:b/>
          <w:szCs w:val="28"/>
        </w:rPr>
        <w:t xml:space="preserve"> </w:t>
      </w:r>
      <w:r w:rsidR="00E25DB2" w:rsidRPr="006070EA">
        <w:rPr>
          <w:rFonts w:asciiTheme="majorHAnsi" w:hAnsiTheme="majorHAnsi" w:cstheme="majorHAnsi"/>
          <w:b/>
          <w:szCs w:val="28"/>
        </w:rPr>
        <w:t>KOSTOMLATY NAD LABEM</w:t>
      </w:r>
    </w:p>
    <w:tbl>
      <w:tblPr>
        <w:tblStyle w:val="Mkatabulky"/>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077"/>
        <w:gridCol w:w="4082"/>
        <w:gridCol w:w="1328"/>
      </w:tblGrid>
      <w:tr w:rsidR="00E25DB2" w:rsidRPr="006070EA" w14:paraId="14833A3F" w14:textId="77777777" w:rsidTr="00487210">
        <w:tc>
          <w:tcPr>
            <w:tcW w:w="1077" w:type="dxa"/>
            <w:vAlign w:val="center"/>
          </w:tcPr>
          <w:p w14:paraId="1ACFE9A1" w14:textId="77777777" w:rsidR="000C51F9" w:rsidRPr="006070EA" w:rsidRDefault="000C51F9" w:rsidP="009E07E1">
            <w:pPr>
              <w:pStyle w:val="Odstavecseseznamem"/>
              <w:ind w:left="0"/>
              <w:contextualSpacing w:val="0"/>
              <w:jc w:val="center"/>
              <w:rPr>
                <w:rFonts w:asciiTheme="majorHAnsi" w:hAnsiTheme="majorHAnsi" w:cstheme="majorHAnsi"/>
                <w:sz w:val="20"/>
                <w:szCs w:val="28"/>
              </w:rPr>
            </w:pPr>
            <w:r w:rsidRPr="006070EA">
              <w:rPr>
                <w:rFonts w:asciiTheme="majorHAnsi" w:hAnsiTheme="majorHAnsi" w:cstheme="majorHAnsi"/>
                <w:sz w:val="20"/>
                <w:szCs w:val="28"/>
              </w:rPr>
              <w:t>č. výkresu</w:t>
            </w:r>
          </w:p>
        </w:tc>
        <w:tc>
          <w:tcPr>
            <w:tcW w:w="4082" w:type="dxa"/>
            <w:vAlign w:val="center"/>
          </w:tcPr>
          <w:p w14:paraId="354278AA" w14:textId="77777777" w:rsidR="000C51F9" w:rsidRPr="006070EA" w:rsidRDefault="000C51F9" w:rsidP="009E07E1">
            <w:pPr>
              <w:pStyle w:val="Odstavecseseznamem"/>
              <w:ind w:left="0"/>
              <w:contextualSpacing w:val="0"/>
              <w:rPr>
                <w:rFonts w:asciiTheme="majorHAnsi" w:hAnsiTheme="majorHAnsi" w:cstheme="majorHAnsi"/>
                <w:sz w:val="20"/>
                <w:szCs w:val="28"/>
              </w:rPr>
            </w:pPr>
            <w:r w:rsidRPr="006070EA">
              <w:rPr>
                <w:rFonts w:asciiTheme="majorHAnsi" w:hAnsiTheme="majorHAnsi" w:cstheme="majorHAnsi"/>
                <w:sz w:val="20"/>
                <w:szCs w:val="28"/>
              </w:rPr>
              <w:t>název výkresu</w:t>
            </w:r>
          </w:p>
        </w:tc>
        <w:tc>
          <w:tcPr>
            <w:tcW w:w="1328" w:type="dxa"/>
            <w:vAlign w:val="center"/>
          </w:tcPr>
          <w:p w14:paraId="521BEDEB" w14:textId="77777777" w:rsidR="000C51F9" w:rsidRPr="006070EA" w:rsidRDefault="000C51F9" w:rsidP="009E07E1">
            <w:pPr>
              <w:pStyle w:val="Odstavecseseznamem"/>
              <w:ind w:left="0"/>
              <w:contextualSpacing w:val="0"/>
              <w:rPr>
                <w:rFonts w:asciiTheme="majorHAnsi" w:hAnsiTheme="majorHAnsi" w:cstheme="majorHAnsi"/>
                <w:sz w:val="20"/>
                <w:szCs w:val="28"/>
              </w:rPr>
            </w:pPr>
            <w:r w:rsidRPr="006070EA">
              <w:rPr>
                <w:rFonts w:asciiTheme="majorHAnsi" w:hAnsiTheme="majorHAnsi" w:cstheme="majorHAnsi"/>
                <w:sz w:val="20"/>
                <w:szCs w:val="28"/>
              </w:rPr>
              <w:t>měřítko</w:t>
            </w:r>
          </w:p>
        </w:tc>
      </w:tr>
      <w:tr w:rsidR="00E25DB2" w:rsidRPr="006070EA" w14:paraId="219987C1" w14:textId="77777777" w:rsidTr="00487210">
        <w:tc>
          <w:tcPr>
            <w:tcW w:w="1077" w:type="dxa"/>
            <w:vAlign w:val="center"/>
          </w:tcPr>
          <w:p w14:paraId="095E4F9E" w14:textId="2AF7644D" w:rsidR="000C51F9" w:rsidRPr="006070EA" w:rsidRDefault="00300530" w:rsidP="009E07E1">
            <w:pPr>
              <w:pStyle w:val="Odstavecseseznamem"/>
              <w:ind w:left="0"/>
              <w:contextualSpacing w:val="0"/>
              <w:jc w:val="center"/>
              <w:rPr>
                <w:rFonts w:asciiTheme="majorHAnsi" w:hAnsiTheme="majorHAnsi" w:cstheme="majorHAnsi"/>
                <w:sz w:val="20"/>
                <w:szCs w:val="28"/>
              </w:rPr>
            </w:pPr>
            <w:r w:rsidRPr="006070EA">
              <w:rPr>
                <w:rFonts w:asciiTheme="majorHAnsi" w:hAnsiTheme="majorHAnsi" w:cstheme="majorHAnsi"/>
                <w:sz w:val="20"/>
                <w:szCs w:val="28"/>
              </w:rPr>
              <w:t>4</w:t>
            </w:r>
          </w:p>
        </w:tc>
        <w:tc>
          <w:tcPr>
            <w:tcW w:w="4082" w:type="dxa"/>
            <w:vAlign w:val="center"/>
          </w:tcPr>
          <w:p w14:paraId="022113E1" w14:textId="77777777" w:rsidR="000C51F9" w:rsidRPr="006070EA" w:rsidRDefault="000C51F9" w:rsidP="009E07E1">
            <w:pPr>
              <w:pStyle w:val="Odstavecseseznamem"/>
              <w:ind w:left="0"/>
              <w:contextualSpacing w:val="0"/>
              <w:rPr>
                <w:rFonts w:asciiTheme="majorHAnsi" w:hAnsiTheme="majorHAnsi" w:cstheme="majorHAnsi"/>
                <w:sz w:val="20"/>
                <w:szCs w:val="28"/>
              </w:rPr>
            </w:pPr>
            <w:r w:rsidRPr="006070EA">
              <w:rPr>
                <w:rFonts w:asciiTheme="majorHAnsi" w:hAnsiTheme="majorHAnsi" w:cstheme="majorHAnsi"/>
                <w:sz w:val="20"/>
                <w:szCs w:val="28"/>
              </w:rPr>
              <w:t>Koordinační výkres</w:t>
            </w:r>
          </w:p>
        </w:tc>
        <w:tc>
          <w:tcPr>
            <w:tcW w:w="1328" w:type="dxa"/>
            <w:vAlign w:val="center"/>
          </w:tcPr>
          <w:p w14:paraId="4A044A0C" w14:textId="77777777" w:rsidR="000C51F9" w:rsidRPr="006070EA" w:rsidRDefault="000C51F9" w:rsidP="009E07E1">
            <w:pPr>
              <w:pStyle w:val="Odstavecseseznamem"/>
              <w:ind w:left="0"/>
              <w:contextualSpacing w:val="0"/>
              <w:rPr>
                <w:rFonts w:asciiTheme="majorHAnsi" w:hAnsiTheme="majorHAnsi" w:cstheme="majorHAnsi"/>
                <w:sz w:val="20"/>
                <w:szCs w:val="28"/>
              </w:rPr>
            </w:pPr>
            <w:proofErr w:type="gramStart"/>
            <w:r w:rsidRPr="006070EA">
              <w:rPr>
                <w:rFonts w:asciiTheme="majorHAnsi" w:hAnsiTheme="majorHAnsi" w:cstheme="majorHAnsi"/>
                <w:sz w:val="20"/>
                <w:szCs w:val="28"/>
              </w:rPr>
              <w:t>1 :</w:t>
            </w:r>
            <w:proofErr w:type="gramEnd"/>
            <w:r w:rsidRPr="006070EA">
              <w:rPr>
                <w:rFonts w:asciiTheme="majorHAnsi" w:hAnsiTheme="majorHAnsi" w:cstheme="majorHAnsi"/>
                <w:sz w:val="20"/>
                <w:szCs w:val="28"/>
              </w:rPr>
              <w:t xml:space="preserve"> 5 000</w:t>
            </w:r>
          </w:p>
        </w:tc>
      </w:tr>
      <w:tr w:rsidR="00E25DB2" w:rsidRPr="006070EA" w14:paraId="09182760" w14:textId="77777777" w:rsidTr="00487210">
        <w:tc>
          <w:tcPr>
            <w:tcW w:w="1077" w:type="dxa"/>
            <w:vAlign w:val="center"/>
          </w:tcPr>
          <w:p w14:paraId="19F9B5FB" w14:textId="0D6FBEE4" w:rsidR="000C51F9" w:rsidRPr="006070EA" w:rsidRDefault="00300530" w:rsidP="009E07E1">
            <w:pPr>
              <w:pStyle w:val="Odstavecseseznamem"/>
              <w:ind w:left="0"/>
              <w:contextualSpacing w:val="0"/>
              <w:jc w:val="center"/>
              <w:rPr>
                <w:rFonts w:asciiTheme="majorHAnsi" w:hAnsiTheme="majorHAnsi" w:cstheme="majorHAnsi"/>
                <w:sz w:val="20"/>
                <w:szCs w:val="28"/>
              </w:rPr>
            </w:pPr>
            <w:r w:rsidRPr="006070EA">
              <w:rPr>
                <w:rFonts w:asciiTheme="majorHAnsi" w:hAnsiTheme="majorHAnsi" w:cstheme="majorHAnsi"/>
                <w:sz w:val="20"/>
                <w:szCs w:val="28"/>
              </w:rPr>
              <w:t>5</w:t>
            </w:r>
          </w:p>
        </w:tc>
        <w:tc>
          <w:tcPr>
            <w:tcW w:w="4082" w:type="dxa"/>
            <w:vAlign w:val="center"/>
          </w:tcPr>
          <w:p w14:paraId="1BC720DF" w14:textId="77777777" w:rsidR="000C51F9" w:rsidRPr="006070EA" w:rsidRDefault="000C51F9" w:rsidP="009E07E1">
            <w:pPr>
              <w:pStyle w:val="Odstavecseseznamem"/>
              <w:ind w:left="0"/>
              <w:contextualSpacing w:val="0"/>
              <w:rPr>
                <w:rFonts w:asciiTheme="majorHAnsi" w:hAnsiTheme="majorHAnsi" w:cstheme="majorHAnsi"/>
                <w:sz w:val="20"/>
                <w:szCs w:val="28"/>
              </w:rPr>
            </w:pPr>
            <w:r w:rsidRPr="006070EA">
              <w:rPr>
                <w:rFonts w:asciiTheme="majorHAnsi" w:hAnsiTheme="majorHAnsi" w:cstheme="majorHAnsi"/>
                <w:sz w:val="20"/>
                <w:szCs w:val="28"/>
              </w:rPr>
              <w:t>Výkres širších vztahů</w:t>
            </w:r>
          </w:p>
        </w:tc>
        <w:tc>
          <w:tcPr>
            <w:tcW w:w="1328" w:type="dxa"/>
            <w:vAlign w:val="center"/>
          </w:tcPr>
          <w:p w14:paraId="4144D7D0" w14:textId="4C50717E" w:rsidR="000C51F9" w:rsidRPr="006070EA" w:rsidRDefault="000C51F9" w:rsidP="00487210">
            <w:pPr>
              <w:pStyle w:val="Odstavecseseznamem"/>
              <w:ind w:left="0"/>
              <w:contextualSpacing w:val="0"/>
              <w:rPr>
                <w:rFonts w:asciiTheme="majorHAnsi" w:hAnsiTheme="majorHAnsi" w:cstheme="majorHAnsi"/>
                <w:sz w:val="20"/>
                <w:szCs w:val="28"/>
              </w:rPr>
            </w:pPr>
            <w:proofErr w:type="gramStart"/>
            <w:r w:rsidRPr="006070EA">
              <w:rPr>
                <w:rFonts w:asciiTheme="majorHAnsi" w:hAnsiTheme="majorHAnsi" w:cstheme="majorHAnsi"/>
                <w:sz w:val="20"/>
                <w:szCs w:val="28"/>
              </w:rPr>
              <w:t>1 :</w:t>
            </w:r>
            <w:proofErr w:type="gramEnd"/>
            <w:r w:rsidRPr="006070EA">
              <w:rPr>
                <w:rFonts w:asciiTheme="majorHAnsi" w:hAnsiTheme="majorHAnsi" w:cstheme="majorHAnsi"/>
                <w:sz w:val="20"/>
                <w:szCs w:val="28"/>
              </w:rPr>
              <w:t xml:space="preserve"> </w:t>
            </w:r>
            <w:r w:rsidR="00E25DB2" w:rsidRPr="006070EA">
              <w:rPr>
                <w:rFonts w:asciiTheme="majorHAnsi" w:hAnsiTheme="majorHAnsi" w:cstheme="majorHAnsi"/>
                <w:sz w:val="20"/>
                <w:szCs w:val="28"/>
              </w:rPr>
              <w:t>10</w:t>
            </w:r>
            <w:r w:rsidR="00A02C4E" w:rsidRPr="006070EA">
              <w:rPr>
                <w:rFonts w:asciiTheme="majorHAnsi" w:hAnsiTheme="majorHAnsi" w:cstheme="majorHAnsi"/>
                <w:sz w:val="20"/>
                <w:szCs w:val="28"/>
              </w:rPr>
              <w:t>0</w:t>
            </w:r>
            <w:r w:rsidRPr="006070EA">
              <w:rPr>
                <w:rFonts w:asciiTheme="majorHAnsi" w:hAnsiTheme="majorHAnsi" w:cstheme="majorHAnsi"/>
                <w:sz w:val="20"/>
                <w:szCs w:val="28"/>
              </w:rPr>
              <w:t xml:space="preserve"> 000</w:t>
            </w:r>
          </w:p>
        </w:tc>
      </w:tr>
      <w:tr w:rsidR="00E25DB2" w:rsidRPr="006070EA" w14:paraId="12E430D9" w14:textId="77777777" w:rsidTr="00487210">
        <w:tc>
          <w:tcPr>
            <w:tcW w:w="1077" w:type="dxa"/>
            <w:vAlign w:val="center"/>
          </w:tcPr>
          <w:p w14:paraId="7EAB350F" w14:textId="3CA56690" w:rsidR="000C51F9" w:rsidRPr="006070EA" w:rsidRDefault="00300530" w:rsidP="009E07E1">
            <w:pPr>
              <w:pStyle w:val="Odstavecseseznamem"/>
              <w:ind w:left="0"/>
              <w:contextualSpacing w:val="0"/>
              <w:jc w:val="center"/>
              <w:rPr>
                <w:rFonts w:asciiTheme="majorHAnsi" w:hAnsiTheme="majorHAnsi" w:cstheme="majorHAnsi"/>
                <w:sz w:val="20"/>
                <w:szCs w:val="28"/>
              </w:rPr>
            </w:pPr>
            <w:r w:rsidRPr="006070EA">
              <w:rPr>
                <w:rFonts w:asciiTheme="majorHAnsi" w:hAnsiTheme="majorHAnsi" w:cstheme="majorHAnsi"/>
                <w:sz w:val="20"/>
                <w:szCs w:val="28"/>
              </w:rPr>
              <w:t>6</w:t>
            </w:r>
          </w:p>
        </w:tc>
        <w:tc>
          <w:tcPr>
            <w:tcW w:w="4082" w:type="dxa"/>
            <w:vAlign w:val="center"/>
          </w:tcPr>
          <w:p w14:paraId="091F8095" w14:textId="77777777" w:rsidR="000C51F9" w:rsidRPr="006070EA" w:rsidRDefault="000C51F9" w:rsidP="009E07E1">
            <w:pPr>
              <w:pStyle w:val="Odstavecseseznamem"/>
              <w:ind w:left="0"/>
              <w:contextualSpacing w:val="0"/>
              <w:rPr>
                <w:rFonts w:asciiTheme="majorHAnsi" w:hAnsiTheme="majorHAnsi" w:cstheme="majorHAnsi"/>
                <w:sz w:val="20"/>
                <w:szCs w:val="28"/>
              </w:rPr>
            </w:pPr>
            <w:r w:rsidRPr="006070EA">
              <w:rPr>
                <w:rFonts w:asciiTheme="majorHAnsi" w:hAnsiTheme="majorHAnsi" w:cstheme="majorHAnsi"/>
                <w:sz w:val="20"/>
                <w:szCs w:val="28"/>
              </w:rPr>
              <w:t>Výkres předpokládaných záborů půdního fondu</w:t>
            </w:r>
          </w:p>
        </w:tc>
        <w:tc>
          <w:tcPr>
            <w:tcW w:w="1328" w:type="dxa"/>
            <w:vAlign w:val="center"/>
          </w:tcPr>
          <w:p w14:paraId="1894789F" w14:textId="77777777" w:rsidR="000C51F9" w:rsidRPr="006070EA" w:rsidRDefault="000C51F9" w:rsidP="009E07E1">
            <w:pPr>
              <w:pStyle w:val="Odstavecseseznamem"/>
              <w:ind w:left="0"/>
              <w:contextualSpacing w:val="0"/>
              <w:rPr>
                <w:rFonts w:asciiTheme="majorHAnsi" w:hAnsiTheme="majorHAnsi" w:cstheme="majorHAnsi"/>
                <w:sz w:val="20"/>
                <w:szCs w:val="28"/>
              </w:rPr>
            </w:pPr>
            <w:proofErr w:type="gramStart"/>
            <w:r w:rsidRPr="006070EA">
              <w:rPr>
                <w:rFonts w:asciiTheme="majorHAnsi" w:hAnsiTheme="majorHAnsi" w:cstheme="majorHAnsi"/>
                <w:sz w:val="20"/>
                <w:szCs w:val="28"/>
              </w:rPr>
              <w:t>1 :</w:t>
            </w:r>
            <w:proofErr w:type="gramEnd"/>
            <w:r w:rsidRPr="006070EA">
              <w:rPr>
                <w:rFonts w:asciiTheme="majorHAnsi" w:hAnsiTheme="majorHAnsi" w:cstheme="majorHAnsi"/>
                <w:sz w:val="20"/>
                <w:szCs w:val="28"/>
              </w:rPr>
              <w:t xml:space="preserve"> 5 000</w:t>
            </w:r>
          </w:p>
        </w:tc>
      </w:tr>
    </w:tbl>
    <w:p w14:paraId="700D1EE6" w14:textId="7FB52B41" w:rsidR="003A4B1E" w:rsidRPr="006070EA" w:rsidRDefault="003A4B1E" w:rsidP="009E07E1">
      <w:pPr>
        <w:pStyle w:val="Odstavecseseznamem"/>
        <w:spacing w:before="200" w:after="200" w:line="240" w:lineRule="auto"/>
        <w:ind w:left="0"/>
        <w:contextualSpacing w:val="0"/>
        <w:jc w:val="both"/>
        <w:rPr>
          <w:rFonts w:asciiTheme="majorHAnsi" w:hAnsiTheme="majorHAnsi" w:cstheme="majorHAnsi"/>
          <w:color w:val="FF0000"/>
          <w:sz w:val="24"/>
          <w:szCs w:val="28"/>
        </w:rPr>
      </w:pPr>
    </w:p>
    <w:p w14:paraId="5B35BD2A" w14:textId="77777777" w:rsidR="003716AF" w:rsidRPr="006070EA" w:rsidRDefault="00FF21CB" w:rsidP="00663601">
      <w:pPr>
        <w:pageBreakBefore/>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jc w:val="both"/>
        <w:outlineLvl w:val="0"/>
        <w:rPr>
          <w:rFonts w:asciiTheme="majorHAnsi" w:hAnsiTheme="majorHAnsi" w:cstheme="majorHAnsi"/>
          <w:b/>
          <w:sz w:val="24"/>
          <w:szCs w:val="28"/>
        </w:rPr>
      </w:pPr>
      <w:bookmarkStart w:id="497" w:name="_Toc204678249"/>
      <w:r w:rsidRPr="006070EA">
        <w:rPr>
          <w:rFonts w:asciiTheme="majorHAnsi" w:hAnsiTheme="majorHAnsi" w:cstheme="majorHAnsi"/>
          <w:b/>
          <w:sz w:val="24"/>
          <w:szCs w:val="28"/>
        </w:rPr>
        <w:lastRenderedPageBreak/>
        <w:t>PŘÍLOHA Č. 1: SEZNAM POUŽITÝCH ZKRATEK</w:t>
      </w:r>
      <w:bookmarkEnd w:id="496"/>
      <w:bookmarkEnd w:id="497"/>
    </w:p>
    <w:p w14:paraId="37A6D331" w14:textId="77777777" w:rsidR="0057137E" w:rsidRPr="006070EA" w:rsidRDefault="0057137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BJ</w:t>
      </w:r>
      <w:r w:rsidRPr="006070EA">
        <w:rPr>
          <w:rFonts w:asciiTheme="majorHAnsi" w:eastAsiaTheme="minorEastAsia" w:hAnsiTheme="majorHAnsi" w:cstheme="majorHAnsi"/>
          <w:sz w:val="20"/>
          <w:szCs w:val="20"/>
        </w:rPr>
        <w:tab/>
      </w:r>
      <w:r w:rsidR="00B60DCE"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bytová jednotka</w:t>
      </w:r>
    </w:p>
    <w:p w14:paraId="1600DDF6" w14:textId="77777777" w:rsidR="0057137E" w:rsidRPr="006070EA" w:rsidRDefault="0057137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BPEJ</w:t>
      </w:r>
      <w:r w:rsidRPr="006070EA">
        <w:rPr>
          <w:rFonts w:asciiTheme="majorHAnsi" w:eastAsiaTheme="minorEastAsia" w:hAnsiTheme="majorHAnsi" w:cstheme="majorHAnsi"/>
          <w:sz w:val="20"/>
          <w:szCs w:val="20"/>
        </w:rPr>
        <w:tab/>
      </w:r>
      <w:r w:rsidR="00B60DCE"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bonitované půdně ekologické jednotky</w:t>
      </w:r>
    </w:p>
    <w:p w14:paraId="3A4FF412" w14:textId="77777777" w:rsidR="0057137E" w:rsidRPr="006070EA" w:rsidRDefault="0057137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ČOV</w:t>
      </w:r>
      <w:r w:rsidRPr="006070EA">
        <w:rPr>
          <w:rFonts w:asciiTheme="majorHAnsi" w:eastAsiaTheme="minorEastAsia" w:hAnsiTheme="majorHAnsi" w:cstheme="majorHAnsi"/>
          <w:sz w:val="20"/>
          <w:szCs w:val="20"/>
        </w:rPr>
        <w:tab/>
      </w:r>
      <w:r w:rsidR="00B60DCE"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čistírna odpadních vod</w:t>
      </w:r>
    </w:p>
    <w:p w14:paraId="285317E1" w14:textId="77777777" w:rsidR="0057137E" w:rsidRPr="006070EA" w:rsidRDefault="0057137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ČR</w:t>
      </w:r>
      <w:r w:rsidRPr="006070EA">
        <w:rPr>
          <w:rFonts w:asciiTheme="majorHAnsi" w:eastAsiaTheme="minorEastAsia" w:hAnsiTheme="majorHAnsi" w:cstheme="majorHAnsi"/>
          <w:sz w:val="20"/>
          <w:szCs w:val="20"/>
        </w:rPr>
        <w:tab/>
      </w:r>
      <w:r w:rsidR="00B60DCE"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Česká republika</w:t>
      </w:r>
    </w:p>
    <w:p w14:paraId="16C7D534" w14:textId="77777777" w:rsidR="00A947CF" w:rsidRPr="006070EA" w:rsidRDefault="00A947CF"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ČSN</w:t>
      </w:r>
      <w:r w:rsidRPr="006070EA">
        <w:rPr>
          <w:rFonts w:asciiTheme="majorHAnsi" w:eastAsiaTheme="minorEastAsia" w:hAnsiTheme="majorHAnsi" w:cstheme="majorHAnsi"/>
          <w:sz w:val="20"/>
          <w:szCs w:val="20"/>
        </w:rPr>
        <w:tab/>
      </w:r>
      <w:r w:rsidR="00B60DCE"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česká technická norma</w:t>
      </w:r>
    </w:p>
    <w:p w14:paraId="0B4AE3CA" w14:textId="77777777" w:rsidR="00A947CF"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ČSÚ</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Český statistický úřad</w:t>
      </w:r>
    </w:p>
    <w:p w14:paraId="53118330"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DN</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jmenovitá světlost</w:t>
      </w:r>
    </w:p>
    <w:p w14:paraId="61E2BB3A"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EO</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ekvivalentní obyvatel</w:t>
      </w:r>
    </w:p>
    <w:p w14:paraId="52358466"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CHOPAV</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chráněná oblast přirozené akumulace vod</w:t>
      </w:r>
    </w:p>
    <w:p w14:paraId="6A251F35"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 xml:space="preserve">k. ú. </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katastrální území</w:t>
      </w:r>
    </w:p>
    <w:p w14:paraId="6D3D8189" w14:textId="45626F28" w:rsidR="0009152E" w:rsidRPr="006070EA" w:rsidRDefault="0009152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KoPÚ / KPÚ</w:t>
      </w:r>
      <w:r w:rsidRPr="006070EA">
        <w:rPr>
          <w:rFonts w:asciiTheme="majorHAnsi" w:eastAsiaTheme="minorEastAsia" w:hAnsiTheme="majorHAnsi" w:cstheme="majorHAnsi"/>
          <w:sz w:val="20"/>
          <w:szCs w:val="20"/>
        </w:rPr>
        <w:tab/>
        <w:t>komplexní pozemkové úpravy</w:t>
      </w:r>
    </w:p>
    <w:p w14:paraId="6B9F5C94"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L</w:t>
      </w:r>
      <w:r w:rsidR="007A03D5" w:rsidRPr="006070EA">
        <w:rPr>
          <w:rFonts w:asciiTheme="majorHAnsi" w:eastAsiaTheme="minorEastAsia" w:hAnsiTheme="majorHAnsi" w:cstheme="majorHAnsi"/>
          <w:sz w:val="20"/>
          <w:szCs w:val="20"/>
        </w:rPr>
        <w:t>B</w:t>
      </w:r>
      <w:r w:rsidRPr="006070EA">
        <w:rPr>
          <w:rFonts w:asciiTheme="majorHAnsi" w:eastAsiaTheme="minorEastAsia" w:hAnsiTheme="majorHAnsi" w:cstheme="majorHAnsi"/>
          <w:sz w:val="20"/>
          <w:szCs w:val="20"/>
        </w:rPr>
        <w:t>C</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lokální biocentrum</w:t>
      </w:r>
    </w:p>
    <w:p w14:paraId="5BAF84B0" w14:textId="77777777" w:rsidR="007A03D5" w:rsidRPr="006070EA" w:rsidRDefault="007A03D5" w:rsidP="00AC3D3F">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LBK</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lokální biokoridor</w:t>
      </w:r>
    </w:p>
    <w:p w14:paraId="77823591"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LHO</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lesní hospodářské osnovy</w:t>
      </w:r>
    </w:p>
    <w:p w14:paraId="594DEF84"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LHP</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lesní hospodářský plán</w:t>
      </w:r>
    </w:p>
    <w:p w14:paraId="1DEA6DE7"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LVS</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lesní vegetační stupeň</w:t>
      </w:r>
    </w:p>
    <w:p w14:paraId="42086C14" w14:textId="39FAD5BA" w:rsidR="00E97BA0" w:rsidRPr="006070EA" w:rsidRDefault="00E97BA0"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MO ČR</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Ministerstvo obrany České republiky</w:t>
      </w:r>
    </w:p>
    <w:p w14:paraId="4586ED51" w14:textId="67FF23AC" w:rsidR="00B60DCE" w:rsidRPr="006070EA" w:rsidRDefault="00EC0BC6"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nn (</w:t>
      </w:r>
      <w:r w:rsidR="007A03D5" w:rsidRPr="006070EA">
        <w:rPr>
          <w:rFonts w:asciiTheme="majorHAnsi" w:eastAsiaTheme="minorEastAsia" w:hAnsiTheme="majorHAnsi" w:cstheme="majorHAnsi"/>
          <w:sz w:val="20"/>
          <w:szCs w:val="20"/>
        </w:rPr>
        <w:t>NN</w:t>
      </w:r>
      <w:r w:rsidRPr="006070EA">
        <w:rPr>
          <w:rFonts w:asciiTheme="majorHAnsi" w:eastAsiaTheme="minorEastAsia" w:hAnsiTheme="majorHAnsi" w:cstheme="majorHAnsi"/>
          <w:sz w:val="20"/>
          <w:szCs w:val="20"/>
        </w:rPr>
        <w:t>)</w:t>
      </w:r>
      <w:r w:rsidR="00B60DCE" w:rsidRPr="006070EA">
        <w:rPr>
          <w:rFonts w:asciiTheme="majorHAnsi" w:eastAsiaTheme="minorEastAsia" w:hAnsiTheme="majorHAnsi" w:cstheme="majorHAnsi"/>
          <w:sz w:val="20"/>
          <w:szCs w:val="20"/>
        </w:rPr>
        <w:tab/>
      </w:r>
      <w:r w:rsidR="00B60DCE" w:rsidRPr="006070EA">
        <w:rPr>
          <w:rFonts w:asciiTheme="majorHAnsi" w:eastAsiaTheme="minorEastAsia" w:hAnsiTheme="majorHAnsi" w:cstheme="majorHAnsi"/>
          <w:sz w:val="20"/>
          <w:szCs w:val="20"/>
        </w:rPr>
        <w:tab/>
        <w:t>nízké napětí</w:t>
      </w:r>
    </w:p>
    <w:p w14:paraId="644B1151"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OP</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ochranné pásmo</w:t>
      </w:r>
    </w:p>
    <w:p w14:paraId="2EE448E9"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PLO</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přírodní lesní oblast</w:t>
      </w:r>
    </w:p>
    <w:p w14:paraId="06CDEF7C"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PRVK</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plán rozvoje vodovodů a kanalizací</w:t>
      </w:r>
    </w:p>
    <w:p w14:paraId="25691D8C" w14:textId="77777777" w:rsidR="0009152E" w:rsidRPr="006070EA" w:rsidRDefault="0009152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PSZ</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plán společných zařízení</w:t>
      </w:r>
    </w:p>
    <w:p w14:paraId="4C9F51DC"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PUPFL</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pozemky určené k plnění funkce lesa</w:t>
      </w:r>
    </w:p>
    <w:p w14:paraId="17144223" w14:textId="4738F588"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PÚR ČR</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Politika územního rozvoje České republiky</w:t>
      </w:r>
      <w:r w:rsidR="00EC0BC6" w:rsidRPr="006070EA">
        <w:rPr>
          <w:rFonts w:asciiTheme="majorHAnsi" w:eastAsiaTheme="minorEastAsia" w:hAnsiTheme="majorHAnsi" w:cstheme="majorHAnsi"/>
          <w:sz w:val="20"/>
          <w:szCs w:val="20"/>
        </w:rPr>
        <w:t xml:space="preserve"> ve znění Aktualizace č. 1</w:t>
      </w:r>
      <w:r w:rsidR="00E25DB2" w:rsidRPr="006070EA">
        <w:rPr>
          <w:rFonts w:asciiTheme="majorHAnsi" w:eastAsiaTheme="minorEastAsia" w:hAnsiTheme="majorHAnsi" w:cstheme="majorHAnsi"/>
          <w:sz w:val="20"/>
          <w:szCs w:val="20"/>
        </w:rPr>
        <w:t>, 2, 3, 4 a 5</w:t>
      </w:r>
    </w:p>
    <w:p w14:paraId="7F39EAB0"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RD</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rodinný dům</w:t>
      </w:r>
    </w:p>
    <w:p w14:paraId="27F734E6" w14:textId="5AC0E3AD" w:rsidR="00E25DB2" w:rsidRPr="006070EA" w:rsidRDefault="00E25DB2"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SK</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Středočeský kraj</w:t>
      </w:r>
    </w:p>
    <w:p w14:paraId="41F4C03A" w14:textId="14CB23F5" w:rsidR="00E25DB2" w:rsidRPr="006070EA" w:rsidRDefault="00E25DB2"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STL</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středotlaký plynovod</w:t>
      </w:r>
    </w:p>
    <w:p w14:paraId="6BED680F" w14:textId="34EB4CF9"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TO</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telefonní obvod</w:t>
      </w:r>
    </w:p>
    <w:p w14:paraId="0DBDE6B0"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TTP</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trvalé travní porosty</w:t>
      </w:r>
    </w:p>
    <w:p w14:paraId="49479C51" w14:textId="77777777" w:rsidR="00666349" w:rsidRPr="006070EA" w:rsidRDefault="00666349"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TUV</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teplá užitková voda</w:t>
      </w:r>
    </w:p>
    <w:p w14:paraId="5B44B9F9"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ÚAN</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území s archeologickými nálezy</w:t>
      </w:r>
    </w:p>
    <w:p w14:paraId="769F6A88"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ÚAP</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územně analytické podklady</w:t>
      </w:r>
    </w:p>
    <w:p w14:paraId="5CC6E4E2"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ÚP</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územní plán</w:t>
      </w:r>
    </w:p>
    <w:p w14:paraId="55478725"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ÚPD</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územně plánovací dokumentace</w:t>
      </w:r>
    </w:p>
    <w:p w14:paraId="34187680"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ÚSES</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územní systém ekologické stability</w:t>
      </w:r>
    </w:p>
    <w:p w14:paraId="2986E119"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VKP</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významný krajinný prvek</w:t>
      </w:r>
    </w:p>
    <w:p w14:paraId="36763255" w14:textId="77777777" w:rsidR="00B60DCE" w:rsidRPr="006070EA" w:rsidRDefault="00EC0BC6"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vn (</w:t>
      </w:r>
      <w:r w:rsidR="007A03D5" w:rsidRPr="006070EA">
        <w:rPr>
          <w:rFonts w:asciiTheme="majorHAnsi" w:eastAsiaTheme="minorEastAsia" w:hAnsiTheme="majorHAnsi" w:cstheme="majorHAnsi"/>
          <w:sz w:val="20"/>
          <w:szCs w:val="20"/>
        </w:rPr>
        <w:t>VN</w:t>
      </w:r>
      <w:r w:rsidRPr="006070EA">
        <w:rPr>
          <w:rFonts w:asciiTheme="majorHAnsi" w:eastAsiaTheme="minorEastAsia" w:hAnsiTheme="majorHAnsi" w:cstheme="majorHAnsi"/>
          <w:sz w:val="20"/>
          <w:szCs w:val="20"/>
        </w:rPr>
        <w:t>)</w:t>
      </w:r>
      <w:r w:rsidR="00B60DCE" w:rsidRPr="006070EA">
        <w:rPr>
          <w:rFonts w:asciiTheme="majorHAnsi" w:eastAsiaTheme="minorEastAsia" w:hAnsiTheme="majorHAnsi" w:cstheme="majorHAnsi"/>
          <w:sz w:val="20"/>
          <w:szCs w:val="20"/>
        </w:rPr>
        <w:tab/>
      </w:r>
      <w:r w:rsidR="00B60DCE" w:rsidRPr="006070EA">
        <w:rPr>
          <w:rFonts w:asciiTheme="majorHAnsi" w:eastAsiaTheme="minorEastAsia" w:hAnsiTheme="majorHAnsi" w:cstheme="majorHAnsi"/>
          <w:sz w:val="20"/>
          <w:szCs w:val="20"/>
        </w:rPr>
        <w:tab/>
        <w:t>vysoké napětí</w:t>
      </w:r>
    </w:p>
    <w:p w14:paraId="6F75ADD5"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VPO</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veřejně prospěšná opatření</w:t>
      </w:r>
    </w:p>
    <w:p w14:paraId="109AC51C"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VPS</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veřejně prospěšné stavby</w:t>
      </w:r>
    </w:p>
    <w:p w14:paraId="3A988BD7"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ZPF</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t>zemědělský půdní fond</w:t>
      </w:r>
    </w:p>
    <w:p w14:paraId="09397FB7" w14:textId="77777777" w:rsidR="00B60DCE" w:rsidRPr="006070EA" w:rsidRDefault="00B60DCE" w:rsidP="009E07E1">
      <w:pPr>
        <w:spacing w:after="0" w:line="240" w:lineRule="auto"/>
        <w:rPr>
          <w:rFonts w:asciiTheme="majorHAnsi" w:eastAsiaTheme="minorEastAsia" w:hAnsiTheme="majorHAnsi" w:cstheme="majorHAnsi"/>
          <w:sz w:val="20"/>
          <w:szCs w:val="20"/>
        </w:rPr>
      </w:pPr>
      <w:r w:rsidRPr="006070EA">
        <w:rPr>
          <w:rFonts w:asciiTheme="majorHAnsi" w:eastAsiaTheme="minorEastAsia" w:hAnsiTheme="majorHAnsi" w:cstheme="majorHAnsi"/>
          <w:sz w:val="20"/>
          <w:szCs w:val="20"/>
        </w:rPr>
        <w:t>ZÚR</w:t>
      </w:r>
      <w:r w:rsidRPr="006070EA">
        <w:rPr>
          <w:rFonts w:asciiTheme="majorHAnsi" w:eastAsiaTheme="minorEastAsia" w:hAnsiTheme="majorHAnsi" w:cstheme="majorHAnsi"/>
          <w:sz w:val="20"/>
          <w:szCs w:val="20"/>
        </w:rPr>
        <w:tab/>
      </w:r>
      <w:r w:rsidRPr="006070EA">
        <w:rPr>
          <w:rFonts w:asciiTheme="majorHAnsi" w:eastAsiaTheme="minorEastAsia" w:hAnsiTheme="majorHAnsi" w:cstheme="majorHAnsi"/>
          <w:sz w:val="20"/>
          <w:szCs w:val="20"/>
        </w:rPr>
        <w:tab/>
      </w:r>
      <w:r w:rsidR="00CB3746" w:rsidRPr="006070EA">
        <w:rPr>
          <w:rFonts w:asciiTheme="majorHAnsi" w:eastAsiaTheme="minorEastAsia" w:hAnsiTheme="majorHAnsi" w:cstheme="majorHAnsi"/>
          <w:sz w:val="20"/>
          <w:szCs w:val="20"/>
        </w:rPr>
        <w:t>Z</w:t>
      </w:r>
      <w:r w:rsidRPr="006070EA">
        <w:rPr>
          <w:rFonts w:asciiTheme="majorHAnsi" w:eastAsiaTheme="minorEastAsia" w:hAnsiTheme="majorHAnsi" w:cstheme="majorHAnsi"/>
          <w:sz w:val="20"/>
          <w:szCs w:val="20"/>
        </w:rPr>
        <w:t>ásady územního rozvoje</w:t>
      </w:r>
    </w:p>
    <w:p w14:paraId="7DE54354" w14:textId="77777777" w:rsidR="00B60DCE" w:rsidRPr="006070EA" w:rsidRDefault="00B60DCE" w:rsidP="009E07E1">
      <w:pPr>
        <w:spacing w:after="0" w:line="240" w:lineRule="auto"/>
        <w:rPr>
          <w:rFonts w:asciiTheme="majorHAnsi" w:eastAsiaTheme="minorEastAsia" w:hAnsiTheme="majorHAnsi" w:cstheme="majorHAnsi"/>
          <w:color w:val="FF0000"/>
          <w:sz w:val="20"/>
          <w:szCs w:val="20"/>
        </w:rPr>
      </w:pPr>
    </w:p>
    <w:p w14:paraId="5F54E207" w14:textId="77777777" w:rsidR="00B60DCE" w:rsidRPr="006070EA" w:rsidRDefault="00B60DCE" w:rsidP="009E07E1">
      <w:pPr>
        <w:spacing w:after="0" w:line="240" w:lineRule="auto"/>
        <w:rPr>
          <w:rFonts w:asciiTheme="majorHAnsi" w:eastAsiaTheme="minorEastAsia" w:hAnsiTheme="majorHAnsi" w:cstheme="majorHAnsi"/>
          <w:color w:val="FF0000"/>
          <w:sz w:val="20"/>
          <w:szCs w:val="20"/>
        </w:rPr>
      </w:pPr>
    </w:p>
    <w:p w14:paraId="567011C4" w14:textId="77777777" w:rsidR="00B60DCE" w:rsidRPr="006070EA" w:rsidRDefault="00B60DCE" w:rsidP="009E07E1">
      <w:pPr>
        <w:spacing w:after="0" w:line="240" w:lineRule="auto"/>
        <w:rPr>
          <w:rFonts w:asciiTheme="majorHAnsi" w:eastAsiaTheme="minorEastAsia" w:hAnsiTheme="majorHAnsi" w:cstheme="majorHAnsi"/>
          <w:color w:val="FF0000"/>
          <w:sz w:val="20"/>
          <w:szCs w:val="20"/>
        </w:rPr>
      </w:pPr>
    </w:p>
    <w:p w14:paraId="24666346" w14:textId="77777777" w:rsidR="00877205" w:rsidRPr="006070EA" w:rsidRDefault="00877205" w:rsidP="009E07E1">
      <w:pPr>
        <w:spacing w:after="60" w:line="240" w:lineRule="auto"/>
        <w:jc w:val="both"/>
        <w:rPr>
          <w:rFonts w:asciiTheme="majorHAnsi" w:hAnsiTheme="majorHAnsi" w:cstheme="majorHAnsi"/>
          <w:color w:val="FF0000"/>
          <w:sz w:val="20"/>
          <w:szCs w:val="20"/>
        </w:rPr>
      </w:pPr>
    </w:p>
    <w:p w14:paraId="06FB2A75" w14:textId="77777777" w:rsidR="00877205" w:rsidRPr="006070EA" w:rsidRDefault="00877205" w:rsidP="009E07E1">
      <w:pPr>
        <w:spacing w:after="60" w:line="240" w:lineRule="auto"/>
        <w:jc w:val="both"/>
        <w:rPr>
          <w:rFonts w:asciiTheme="majorHAnsi" w:hAnsiTheme="majorHAnsi" w:cstheme="majorHAnsi"/>
          <w:color w:val="FF0000"/>
          <w:sz w:val="20"/>
          <w:szCs w:val="20"/>
        </w:rPr>
      </w:pPr>
    </w:p>
    <w:p w14:paraId="6C987C8E" w14:textId="77777777" w:rsidR="00877205" w:rsidRPr="006070EA" w:rsidRDefault="00877205" w:rsidP="009E07E1">
      <w:pPr>
        <w:spacing w:after="60" w:line="240" w:lineRule="auto"/>
        <w:jc w:val="both"/>
        <w:rPr>
          <w:rFonts w:asciiTheme="majorHAnsi" w:hAnsiTheme="majorHAnsi" w:cstheme="majorHAnsi"/>
          <w:color w:val="FF0000"/>
          <w:sz w:val="20"/>
          <w:szCs w:val="20"/>
        </w:rPr>
      </w:pPr>
    </w:p>
    <w:p w14:paraId="30EF3A50" w14:textId="77777777" w:rsidR="00877205" w:rsidRPr="006070EA" w:rsidRDefault="00877205" w:rsidP="009E07E1">
      <w:pPr>
        <w:spacing w:after="60" w:line="240" w:lineRule="auto"/>
        <w:jc w:val="both"/>
        <w:rPr>
          <w:rFonts w:asciiTheme="majorHAnsi" w:hAnsiTheme="majorHAnsi" w:cstheme="majorHAnsi"/>
          <w:color w:val="FF0000"/>
          <w:sz w:val="20"/>
          <w:szCs w:val="20"/>
        </w:rPr>
      </w:pPr>
    </w:p>
    <w:p w14:paraId="649CEA19" w14:textId="77777777" w:rsidR="00877205" w:rsidRPr="006070EA" w:rsidRDefault="00877205" w:rsidP="009E07E1">
      <w:pPr>
        <w:spacing w:after="60" w:line="240" w:lineRule="auto"/>
        <w:jc w:val="both"/>
        <w:rPr>
          <w:rFonts w:asciiTheme="majorHAnsi" w:hAnsiTheme="majorHAnsi" w:cstheme="majorHAnsi"/>
          <w:color w:val="FF0000"/>
          <w:sz w:val="20"/>
          <w:szCs w:val="20"/>
        </w:rPr>
      </w:pPr>
    </w:p>
    <w:p w14:paraId="72CDB585" w14:textId="77777777" w:rsidR="00877205" w:rsidRPr="006070EA" w:rsidRDefault="00877205" w:rsidP="009E07E1">
      <w:pPr>
        <w:spacing w:after="60" w:line="240" w:lineRule="auto"/>
        <w:jc w:val="both"/>
        <w:rPr>
          <w:rFonts w:asciiTheme="majorHAnsi" w:hAnsiTheme="majorHAnsi" w:cstheme="majorHAnsi"/>
          <w:color w:val="FF0000"/>
          <w:sz w:val="20"/>
          <w:szCs w:val="20"/>
        </w:rPr>
      </w:pPr>
    </w:p>
    <w:p w14:paraId="58B9937F" w14:textId="77777777" w:rsidR="00877205" w:rsidRPr="006070EA" w:rsidRDefault="00877205" w:rsidP="009E07E1">
      <w:pPr>
        <w:spacing w:after="60" w:line="240" w:lineRule="auto"/>
        <w:jc w:val="both"/>
        <w:rPr>
          <w:rFonts w:asciiTheme="majorHAnsi" w:hAnsiTheme="majorHAnsi" w:cstheme="majorHAnsi"/>
          <w:color w:val="FF0000"/>
          <w:sz w:val="20"/>
          <w:szCs w:val="20"/>
        </w:rPr>
        <w:sectPr w:rsidR="00877205" w:rsidRPr="006070EA" w:rsidSect="0065127D">
          <w:headerReference w:type="default" r:id="rId68"/>
          <w:pgSz w:w="11906" w:h="16838"/>
          <w:pgMar w:top="1418" w:right="1418" w:bottom="1418" w:left="1418" w:header="709" w:footer="709" w:gutter="0"/>
          <w:cols w:space="708"/>
          <w:docGrid w:linePitch="360"/>
        </w:sectPr>
      </w:pPr>
    </w:p>
    <w:p w14:paraId="625C436E" w14:textId="77777777" w:rsidR="00877205" w:rsidRPr="006070EA" w:rsidRDefault="00E151CD" w:rsidP="009E07E1">
      <w:pPr>
        <w:pBdr>
          <w:top w:val="single" w:sz="8" w:space="1" w:color="auto"/>
          <w:left w:val="single" w:sz="8" w:space="4" w:color="auto"/>
          <w:bottom w:val="single" w:sz="8" w:space="1" w:color="auto"/>
          <w:right w:val="single" w:sz="8" w:space="4" w:color="auto"/>
        </w:pBdr>
        <w:shd w:val="clear" w:color="auto" w:fill="F2F2F2" w:themeFill="background1" w:themeFillShade="F2"/>
        <w:spacing w:before="200" w:after="200" w:line="240" w:lineRule="auto"/>
        <w:jc w:val="both"/>
        <w:outlineLvl w:val="0"/>
        <w:rPr>
          <w:rFonts w:asciiTheme="majorHAnsi" w:hAnsiTheme="majorHAnsi" w:cstheme="majorHAnsi"/>
          <w:b/>
          <w:sz w:val="24"/>
          <w:szCs w:val="28"/>
        </w:rPr>
      </w:pPr>
      <w:bookmarkStart w:id="498" w:name="_Toc433894225"/>
      <w:bookmarkStart w:id="499" w:name="_Toc204678250"/>
      <w:r w:rsidRPr="006070EA">
        <w:rPr>
          <w:rFonts w:asciiTheme="majorHAnsi" w:hAnsiTheme="majorHAnsi" w:cstheme="majorHAnsi"/>
          <w:b/>
          <w:sz w:val="24"/>
          <w:szCs w:val="28"/>
        </w:rPr>
        <w:lastRenderedPageBreak/>
        <w:t>PŘÍLOHA Č. 2</w:t>
      </w:r>
      <w:r w:rsidR="00281E8E" w:rsidRPr="006070EA">
        <w:rPr>
          <w:rFonts w:asciiTheme="majorHAnsi" w:hAnsiTheme="majorHAnsi" w:cstheme="majorHAnsi"/>
          <w:b/>
          <w:sz w:val="24"/>
          <w:szCs w:val="28"/>
        </w:rPr>
        <w:t>:</w:t>
      </w:r>
      <w:r w:rsidR="007D380C" w:rsidRPr="006070EA">
        <w:rPr>
          <w:rFonts w:asciiTheme="majorHAnsi" w:hAnsiTheme="majorHAnsi" w:cstheme="majorHAnsi"/>
          <w:b/>
          <w:sz w:val="24"/>
          <w:szCs w:val="28"/>
        </w:rPr>
        <w:t xml:space="preserve"> VYHODNOCENÍ PŘEDPOKLÁDANÝCH DŮSLEDKŮ NAVRHOVANÉHO ŘEŠENÍ NA ZEMĚDĚLSKÝ PŮDNÍ FOND</w:t>
      </w:r>
      <w:bookmarkEnd w:id="498"/>
      <w:bookmarkEnd w:id="499"/>
    </w:p>
    <w:tbl>
      <w:tblPr>
        <w:tblW w:w="14454" w:type="dxa"/>
        <w:jc w:val="center"/>
        <w:tblLayout w:type="fixed"/>
        <w:tblCellMar>
          <w:left w:w="70" w:type="dxa"/>
          <w:right w:w="70" w:type="dxa"/>
        </w:tblCellMar>
        <w:tblLook w:val="04A0" w:firstRow="1" w:lastRow="0" w:firstColumn="1" w:lastColumn="0" w:noHBand="0" w:noVBand="1"/>
      </w:tblPr>
      <w:tblGrid>
        <w:gridCol w:w="959"/>
        <w:gridCol w:w="960"/>
        <w:gridCol w:w="960"/>
        <w:gridCol w:w="1062"/>
        <w:gridCol w:w="907"/>
        <w:gridCol w:w="907"/>
        <w:gridCol w:w="820"/>
        <w:gridCol w:w="907"/>
        <w:gridCol w:w="1444"/>
        <w:gridCol w:w="1382"/>
        <w:gridCol w:w="1382"/>
        <w:gridCol w:w="1382"/>
        <w:gridCol w:w="1382"/>
      </w:tblGrid>
      <w:tr w:rsidR="00C162B0" w:rsidRPr="00552526" w14:paraId="628024F9" w14:textId="77777777" w:rsidTr="00C162B0">
        <w:trPr>
          <w:trHeight w:val="1128"/>
          <w:jc w:val="center"/>
        </w:trPr>
        <w:tc>
          <w:tcPr>
            <w:tcW w:w="959"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819BB14"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Označení plochy / koridoru</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7E2AB61E"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Navržené využití</w:t>
            </w:r>
          </w:p>
        </w:tc>
        <w:tc>
          <w:tcPr>
            <w:tcW w:w="96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799A485"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Souhrn výměry záboru (ha)</w:t>
            </w:r>
          </w:p>
        </w:tc>
        <w:tc>
          <w:tcPr>
            <w:tcW w:w="4603" w:type="dxa"/>
            <w:gridSpan w:val="5"/>
            <w:tcBorders>
              <w:top w:val="single" w:sz="4" w:space="0" w:color="auto"/>
              <w:left w:val="nil"/>
              <w:bottom w:val="single" w:sz="4" w:space="0" w:color="auto"/>
              <w:right w:val="single" w:sz="4" w:space="0" w:color="auto"/>
            </w:tcBorders>
            <w:shd w:val="clear" w:color="000000" w:fill="F2F2F2"/>
            <w:vAlign w:val="center"/>
            <w:hideMark/>
          </w:tcPr>
          <w:p w14:paraId="6C495376"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Výměra záboru podle tříd ochrany (ha)</w:t>
            </w:r>
          </w:p>
        </w:tc>
        <w:tc>
          <w:tcPr>
            <w:tcW w:w="1444"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413CB34"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Odhad výměry záboru, na které bude provedena rekultivace na zemědělskou půdu</w:t>
            </w:r>
          </w:p>
        </w:tc>
        <w:tc>
          <w:tcPr>
            <w:tcW w:w="1382"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667751E"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Informace o existenci závlah</w:t>
            </w:r>
          </w:p>
        </w:tc>
        <w:tc>
          <w:tcPr>
            <w:tcW w:w="1382"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A04B09B"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Informace o existenci odvodnění</w:t>
            </w:r>
          </w:p>
        </w:tc>
        <w:tc>
          <w:tcPr>
            <w:tcW w:w="1382"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0F7E055"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Informace o existenci staveb k ochraně pozemku před erozní činností vody</w:t>
            </w:r>
          </w:p>
        </w:tc>
        <w:tc>
          <w:tcPr>
            <w:tcW w:w="1382"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065F54C"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Informace podle ustanovení § 3 odst. 1 písm. g)</w:t>
            </w:r>
          </w:p>
        </w:tc>
      </w:tr>
      <w:tr w:rsidR="00C162B0" w:rsidRPr="00552526" w14:paraId="1909D7EF" w14:textId="77777777" w:rsidTr="00C162B0">
        <w:trPr>
          <w:trHeight w:val="300"/>
          <w:jc w:val="center"/>
        </w:trPr>
        <w:tc>
          <w:tcPr>
            <w:tcW w:w="959" w:type="dxa"/>
            <w:vMerge/>
            <w:tcBorders>
              <w:top w:val="single" w:sz="4" w:space="0" w:color="auto"/>
              <w:left w:val="single" w:sz="4" w:space="0" w:color="auto"/>
              <w:bottom w:val="single" w:sz="4" w:space="0" w:color="auto"/>
              <w:right w:val="single" w:sz="4" w:space="0" w:color="auto"/>
            </w:tcBorders>
            <w:vAlign w:val="center"/>
            <w:hideMark/>
          </w:tcPr>
          <w:p w14:paraId="69173F6B" w14:textId="77777777" w:rsidR="00552526" w:rsidRPr="00552526" w:rsidRDefault="00552526" w:rsidP="00552526">
            <w:pPr>
              <w:spacing w:after="0" w:line="240" w:lineRule="auto"/>
              <w:rPr>
                <w:rFonts w:ascii="Calibri Light" w:eastAsia="Times New Roman" w:hAnsi="Calibri Light" w:cs="Calibri Light"/>
                <w:b/>
                <w:bCs/>
                <w:color w:val="000000"/>
                <w:sz w:val="18"/>
                <w:szCs w:val="18"/>
                <w:lang w:eastAsia="cs-CZ"/>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3BE8E7BA" w14:textId="77777777" w:rsidR="00552526" w:rsidRPr="00552526" w:rsidRDefault="00552526" w:rsidP="00552526">
            <w:pPr>
              <w:spacing w:after="0" w:line="240" w:lineRule="auto"/>
              <w:rPr>
                <w:rFonts w:ascii="Calibri Light" w:eastAsia="Times New Roman" w:hAnsi="Calibri Light" w:cs="Calibri Light"/>
                <w:b/>
                <w:bCs/>
                <w:color w:val="000000"/>
                <w:sz w:val="18"/>
                <w:szCs w:val="18"/>
                <w:lang w:eastAsia="cs-CZ"/>
              </w:rPr>
            </w:pPr>
          </w:p>
        </w:tc>
        <w:tc>
          <w:tcPr>
            <w:tcW w:w="960" w:type="dxa"/>
            <w:vMerge/>
            <w:tcBorders>
              <w:top w:val="single" w:sz="4" w:space="0" w:color="auto"/>
              <w:left w:val="single" w:sz="4" w:space="0" w:color="auto"/>
              <w:bottom w:val="single" w:sz="4" w:space="0" w:color="auto"/>
              <w:right w:val="single" w:sz="4" w:space="0" w:color="auto"/>
            </w:tcBorders>
            <w:vAlign w:val="center"/>
            <w:hideMark/>
          </w:tcPr>
          <w:p w14:paraId="710EAE13" w14:textId="77777777" w:rsidR="00552526" w:rsidRPr="00552526" w:rsidRDefault="00552526" w:rsidP="00552526">
            <w:pPr>
              <w:spacing w:after="0" w:line="240" w:lineRule="auto"/>
              <w:rPr>
                <w:rFonts w:ascii="Calibri Light" w:eastAsia="Times New Roman" w:hAnsi="Calibri Light" w:cs="Calibri Light"/>
                <w:b/>
                <w:bCs/>
                <w:color w:val="000000"/>
                <w:sz w:val="18"/>
                <w:szCs w:val="18"/>
                <w:lang w:eastAsia="cs-CZ"/>
              </w:rPr>
            </w:pPr>
          </w:p>
        </w:tc>
        <w:tc>
          <w:tcPr>
            <w:tcW w:w="1062" w:type="dxa"/>
            <w:tcBorders>
              <w:top w:val="nil"/>
              <w:left w:val="nil"/>
              <w:bottom w:val="single" w:sz="4" w:space="0" w:color="auto"/>
              <w:right w:val="single" w:sz="4" w:space="0" w:color="auto"/>
            </w:tcBorders>
            <w:shd w:val="clear" w:color="000000" w:fill="F2F2F2"/>
            <w:noWrap/>
            <w:vAlign w:val="center"/>
            <w:hideMark/>
          </w:tcPr>
          <w:p w14:paraId="5B38F122"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I.</w:t>
            </w:r>
          </w:p>
        </w:tc>
        <w:tc>
          <w:tcPr>
            <w:tcW w:w="907" w:type="dxa"/>
            <w:tcBorders>
              <w:top w:val="nil"/>
              <w:left w:val="nil"/>
              <w:bottom w:val="single" w:sz="4" w:space="0" w:color="auto"/>
              <w:right w:val="single" w:sz="4" w:space="0" w:color="auto"/>
            </w:tcBorders>
            <w:shd w:val="clear" w:color="000000" w:fill="F2F2F2"/>
            <w:noWrap/>
            <w:vAlign w:val="center"/>
            <w:hideMark/>
          </w:tcPr>
          <w:p w14:paraId="32878449"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II.</w:t>
            </w:r>
          </w:p>
        </w:tc>
        <w:tc>
          <w:tcPr>
            <w:tcW w:w="907" w:type="dxa"/>
            <w:tcBorders>
              <w:top w:val="nil"/>
              <w:left w:val="nil"/>
              <w:bottom w:val="single" w:sz="4" w:space="0" w:color="auto"/>
              <w:right w:val="single" w:sz="4" w:space="0" w:color="auto"/>
            </w:tcBorders>
            <w:shd w:val="clear" w:color="000000" w:fill="F2F2F2"/>
            <w:noWrap/>
            <w:vAlign w:val="center"/>
            <w:hideMark/>
          </w:tcPr>
          <w:p w14:paraId="13EAC3AE"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III.</w:t>
            </w:r>
          </w:p>
        </w:tc>
        <w:tc>
          <w:tcPr>
            <w:tcW w:w="820" w:type="dxa"/>
            <w:tcBorders>
              <w:top w:val="nil"/>
              <w:left w:val="nil"/>
              <w:bottom w:val="single" w:sz="4" w:space="0" w:color="auto"/>
              <w:right w:val="single" w:sz="4" w:space="0" w:color="auto"/>
            </w:tcBorders>
            <w:shd w:val="clear" w:color="000000" w:fill="F2F2F2"/>
            <w:noWrap/>
            <w:vAlign w:val="center"/>
            <w:hideMark/>
          </w:tcPr>
          <w:p w14:paraId="3061B7E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IV.</w:t>
            </w:r>
          </w:p>
        </w:tc>
        <w:tc>
          <w:tcPr>
            <w:tcW w:w="907" w:type="dxa"/>
            <w:tcBorders>
              <w:top w:val="nil"/>
              <w:left w:val="nil"/>
              <w:bottom w:val="single" w:sz="4" w:space="0" w:color="auto"/>
              <w:right w:val="single" w:sz="4" w:space="0" w:color="auto"/>
            </w:tcBorders>
            <w:shd w:val="clear" w:color="000000" w:fill="F2F2F2"/>
            <w:noWrap/>
            <w:vAlign w:val="center"/>
            <w:hideMark/>
          </w:tcPr>
          <w:p w14:paraId="2FD94D59"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V.</w:t>
            </w:r>
          </w:p>
        </w:tc>
        <w:tc>
          <w:tcPr>
            <w:tcW w:w="1444" w:type="dxa"/>
            <w:vMerge/>
            <w:tcBorders>
              <w:top w:val="single" w:sz="4" w:space="0" w:color="auto"/>
              <w:left w:val="single" w:sz="4" w:space="0" w:color="auto"/>
              <w:bottom w:val="single" w:sz="4" w:space="0" w:color="auto"/>
              <w:right w:val="single" w:sz="4" w:space="0" w:color="auto"/>
            </w:tcBorders>
            <w:vAlign w:val="center"/>
            <w:hideMark/>
          </w:tcPr>
          <w:p w14:paraId="3E7911CB" w14:textId="77777777" w:rsidR="00552526" w:rsidRPr="00552526" w:rsidRDefault="00552526" w:rsidP="00552526">
            <w:pPr>
              <w:spacing w:after="0" w:line="240" w:lineRule="auto"/>
              <w:rPr>
                <w:rFonts w:ascii="Calibri Light" w:eastAsia="Times New Roman" w:hAnsi="Calibri Light" w:cs="Calibri Light"/>
                <w:b/>
                <w:bCs/>
                <w:color w:val="000000"/>
                <w:sz w:val="18"/>
                <w:szCs w:val="18"/>
                <w:lang w:eastAsia="cs-CZ"/>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45AC7702" w14:textId="77777777" w:rsidR="00552526" w:rsidRPr="00552526" w:rsidRDefault="00552526" w:rsidP="00552526">
            <w:pPr>
              <w:spacing w:after="0" w:line="240" w:lineRule="auto"/>
              <w:rPr>
                <w:rFonts w:ascii="Calibri Light" w:eastAsia="Times New Roman" w:hAnsi="Calibri Light" w:cs="Calibri Light"/>
                <w:b/>
                <w:bCs/>
                <w:color w:val="000000"/>
                <w:sz w:val="18"/>
                <w:szCs w:val="18"/>
                <w:lang w:eastAsia="cs-CZ"/>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045E4E8A" w14:textId="77777777" w:rsidR="00552526" w:rsidRPr="00552526" w:rsidRDefault="00552526" w:rsidP="00552526">
            <w:pPr>
              <w:spacing w:after="0" w:line="240" w:lineRule="auto"/>
              <w:rPr>
                <w:rFonts w:ascii="Calibri Light" w:eastAsia="Times New Roman" w:hAnsi="Calibri Light" w:cs="Calibri Light"/>
                <w:b/>
                <w:bCs/>
                <w:color w:val="000000"/>
                <w:sz w:val="18"/>
                <w:szCs w:val="18"/>
                <w:lang w:eastAsia="cs-CZ"/>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30F7AA33" w14:textId="77777777" w:rsidR="00552526" w:rsidRPr="00552526" w:rsidRDefault="00552526" w:rsidP="00552526">
            <w:pPr>
              <w:spacing w:after="0" w:line="240" w:lineRule="auto"/>
              <w:rPr>
                <w:rFonts w:ascii="Calibri Light" w:eastAsia="Times New Roman" w:hAnsi="Calibri Light" w:cs="Calibri Light"/>
                <w:b/>
                <w:bCs/>
                <w:color w:val="000000"/>
                <w:sz w:val="18"/>
                <w:szCs w:val="18"/>
                <w:lang w:eastAsia="cs-CZ"/>
              </w:rPr>
            </w:pPr>
          </w:p>
        </w:tc>
        <w:tc>
          <w:tcPr>
            <w:tcW w:w="1382" w:type="dxa"/>
            <w:vMerge/>
            <w:tcBorders>
              <w:top w:val="single" w:sz="4" w:space="0" w:color="auto"/>
              <w:left w:val="single" w:sz="4" w:space="0" w:color="auto"/>
              <w:bottom w:val="single" w:sz="4" w:space="0" w:color="auto"/>
              <w:right w:val="single" w:sz="4" w:space="0" w:color="auto"/>
            </w:tcBorders>
            <w:vAlign w:val="center"/>
            <w:hideMark/>
          </w:tcPr>
          <w:p w14:paraId="2849247F" w14:textId="77777777" w:rsidR="00552526" w:rsidRPr="00552526" w:rsidRDefault="00552526" w:rsidP="00552526">
            <w:pPr>
              <w:spacing w:after="0" w:line="240" w:lineRule="auto"/>
              <w:rPr>
                <w:rFonts w:ascii="Calibri Light" w:eastAsia="Times New Roman" w:hAnsi="Calibri Light" w:cs="Calibri Light"/>
                <w:b/>
                <w:bCs/>
                <w:color w:val="000000"/>
                <w:sz w:val="18"/>
                <w:szCs w:val="18"/>
                <w:lang w:eastAsia="cs-CZ"/>
              </w:rPr>
            </w:pPr>
          </w:p>
        </w:tc>
      </w:tr>
      <w:tr w:rsidR="00552526" w:rsidRPr="00552526" w14:paraId="047A6203" w14:textId="77777777" w:rsidTr="00C162B0">
        <w:trPr>
          <w:trHeight w:val="300"/>
          <w:jc w:val="center"/>
        </w:trPr>
        <w:tc>
          <w:tcPr>
            <w:tcW w:w="14454" w:type="dxa"/>
            <w:gridSpan w:val="13"/>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29AD9D5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PLOCHY BYDLENÍ</w:t>
            </w:r>
          </w:p>
        </w:tc>
      </w:tr>
      <w:tr w:rsidR="00C162B0" w:rsidRPr="00552526" w14:paraId="6D5EF656"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660EB82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Z.06</w:t>
            </w:r>
          </w:p>
        </w:tc>
        <w:tc>
          <w:tcPr>
            <w:tcW w:w="960" w:type="dxa"/>
            <w:tcBorders>
              <w:top w:val="nil"/>
              <w:left w:val="nil"/>
              <w:bottom w:val="single" w:sz="4" w:space="0" w:color="auto"/>
              <w:right w:val="single" w:sz="4" w:space="0" w:color="auto"/>
            </w:tcBorders>
            <w:noWrap/>
            <w:vAlign w:val="center"/>
            <w:hideMark/>
          </w:tcPr>
          <w:p w14:paraId="5DBC5AD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BI</w:t>
            </w:r>
          </w:p>
        </w:tc>
        <w:tc>
          <w:tcPr>
            <w:tcW w:w="960" w:type="dxa"/>
            <w:tcBorders>
              <w:top w:val="nil"/>
              <w:left w:val="nil"/>
              <w:bottom w:val="single" w:sz="4" w:space="0" w:color="auto"/>
              <w:right w:val="single" w:sz="4" w:space="0" w:color="auto"/>
            </w:tcBorders>
            <w:noWrap/>
            <w:vAlign w:val="center"/>
            <w:hideMark/>
          </w:tcPr>
          <w:p w14:paraId="1DF577F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0,8698</w:t>
            </w:r>
          </w:p>
        </w:tc>
        <w:tc>
          <w:tcPr>
            <w:tcW w:w="1062" w:type="dxa"/>
            <w:tcBorders>
              <w:top w:val="nil"/>
              <w:left w:val="nil"/>
              <w:bottom w:val="single" w:sz="4" w:space="0" w:color="auto"/>
              <w:right w:val="single" w:sz="4" w:space="0" w:color="auto"/>
            </w:tcBorders>
            <w:noWrap/>
            <w:vAlign w:val="center"/>
            <w:hideMark/>
          </w:tcPr>
          <w:p w14:paraId="6D082FB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6E1BA2B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353F71C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5DFD750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0,8698</w:t>
            </w:r>
          </w:p>
        </w:tc>
        <w:tc>
          <w:tcPr>
            <w:tcW w:w="907" w:type="dxa"/>
            <w:tcBorders>
              <w:top w:val="nil"/>
              <w:left w:val="nil"/>
              <w:bottom w:val="single" w:sz="4" w:space="0" w:color="auto"/>
              <w:right w:val="single" w:sz="4" w:space="0" w:color="auto"/>
            </w:tcBorders>
            <w:noWrap/>
            <w:vAlign w:val="center"/>
            <w:hideMark/>
          </w:tcPr>
          <w:p w14:paraId="5F805AA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5A23685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1B6725C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5F2212E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393BCAD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45E13FF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C162B0" w:rsidRPr="00552526" w14:paraId="03CC6353"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6F1D2FC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Z.07</w:t>
            </w:r>
          </w:p>
        </w:tc>
        <w:tc>
          <w:tcPr>
            <w:tcW w:w="960" w:type="dxa"/>
            <w:tcBorders>
              <w:top w:val="nil"/>
              <w:left w:val="nil"/>
              <w:bottom w:val="single" w:sz="4" w:space="0" w:color="auto"/>
              <w:right w:val="single" w:sz="4" w:space="0" w:color="auto"/>
            </w:tcBorders>
            <w:noWrap/>
            <w:vAlign w:val="center"/>
            <w:hideMark/>
          </w:tcPr>
          <w:p w14:paraId="4DBE22A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BI</w:t>
            </w:r>
          </w:p>
        </w:tc>
        <w:tc>
          <w:tcPr>
            <w:tcW w:w="960" w:type="dxa"/>
            <w:tcBorders>
              <w:top w:val="nil"/>
              <w:left w:val="nil"/>
              <w:bottom w:val="single" w:sz="4" w:space="0" w:color="auto"/>
              <w:right w:val="single" w:sz="4" w:space="0" w:color="auto"/>
            </w:tcBorders>
            <w:noWrap/>
            <w:vAlign w:val="center"/>
            <w:hideMark/>
          </w:tcPr>
          <w:p w14:paraId="12455B2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3,8065</w:t>
            </w:r>
          </w:p>
        </w:tc>
        <w:tc>
          <w:tcPr>
            <w:tcW w:w="1062" w:type="dxa"/>
            <w:tcBorders>
              <w:top w:val="nil"/>
              <w:left w:val="nil"/>
              <w:bottom w:val="single" w:sz="4" w:space="0" w:color="auto"/>
              <w:right w:val="single" w:sz="4" w:space="0" w:color="auto"/>
            </w:tcBorders>
            <w:noWrap/>
            <w:vAlign w:val="center"/>
            <w:hideMark/>
          </w:tcPr>
          <w:p w14:paraId="09C5ECB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3,3521</w:t>
            </w:r>
          </w:p>
        </w:tc>
        <w:tc>
          <w:tcPr>
            <w:tcW w:w="907" w:type="dxa"/>
            <w:tcBorders>
              <w:top w:val="nil"/>
              <w:left w:val="nil"/>
              <w:bottom w:val="single" w:sz="4" w:space="0" w:color="auto"/>
              <w:right w:val="single" w:sz="4" w:space="0" w:color="auto"/>
            </w:tcBorders>
            <w:noWrap/>
            <w:vAlign w:val="center"/>
            <w:hideMark/>
          </w:tcPr>
          <w:p w14:paraId="0917C9C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70A4BD3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7AFB023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0,4544</w:t>
            </w:r>
          </w:p>
        </w:tc>
        <w:tc>
          <w:tcPr>
            <w:tcW w:w="907" w:type="dxa"/>
            <w:tcBorders>
              <w:top w:val="nil"/>
              <w:left w:val="nil"/>
              <w:bottom w:val="single" w:sz="4" w:space="0" w:color="auto"/>
              <w:right w:val="single" w:sz="4" w:space="0" w:color="auto"/>
            </w:tcBorders>
            <w:noWrap/>
            <w:vAlign w:val="center"/>
            <w:hideMark/>
          </w:tcPr>
          <w:p w14:paraId="0A90530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5DCE91D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58BE55A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18E7B78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c>
          <w:tcPr>
            <w:tcW w:w="1382" w:type="dxa"/>
            <w:tcBorders>
              <w:top w:val="nil"/>
              <w:left w:val="nil"/>
              <w:bottom w:val="single" w:sz="4" w:space="0" w:color="auto"/>
              <w:right w:val="single" w:sz="4" w:space="0" w:color="auto"/>
            </w:tcBorders>
            <w:noWrap/>
            <w:vAlign w:val="center"/>
            <w:hideMark/>
          </w:tcPr>
          <w:p w14:paraId="0C77F50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70FF0E1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územní rezerva</w:t>
            </w:r>
          </w:p>
        </w:tc>
      </w:tr>
      <w:tr w:rsidR="00C162B0" w:rsidRPr="00552526" w14:paraId="096D366E"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530B080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Z.09</w:t>
            </w:r>
          </w:p>
        </w:tc>
        <w:tc>
          <w:tcPr>
            <w:tcW w:w="960" w:type="dxa"/>
            <w:tcBorders>
              <w:top w:val="nil"/>
              <w:left w:val="nil"/>
              <w:bottom w:val="single" w:sz="4" w:space="0" w:color="auto"/>
              <w:right w:val="single" w:sz="4" w:space="0" w:color="auto"/>
            </w:tcBorders>
            <w:noWrap/>
            <w:vAlign w:val="center"/>
            <w:hideMark/>
          </w:tcPr>
          <w:p w14:paraId="6940843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BI</w:t>
            </w:r>
          </w:p>
        </w:tc>
        <w:tc>
          <w:tcPr>
            <w:tcW w:w="960" w:type="dxa"/>
            <w:tcBorders>
              <w:top w:val="nil"/>
              <w:left w:val="nil"/>
              <w:bottom w:val="single" w:sz="4" w:space="0" w:color="auto"/>
              <w:right w:val="single" w:sz="4" w:space="0" w:color="auto"/>
            </w:tcBorders>
            <w:noWrap/>
            <w:vAlign w:val="center"/>
            <w:hideMark/>
          </w:tcPr>
          <w:p w14:paraId="6B1DBD6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0,336</w:t>
            </w:r>
          </w:p>
        </w:tc>
        <w:tc>
          <w:tcPr>
            <w:tcW w:w="1062" w:type="dxa"/>
            <w:tcBorders>
              <w:top w:val="nil"/>
              <w:left w:val="nil"/>
              <w:bottom w:val="single" w:sz="4" w:space="0" w:color="auto"/>
              <w:right w:val="single" w:sz="4" w:space="0" w:color="auto"/>
            </w:tcBorders>
            <w:noWrap/>
            <w:vAlign w:val="center"/>
            <w:hideMark/>
          </w:tcPr>
          <w:p w14:paraId="6EF7D67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34EB2FA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3D8F075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33192B8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0,336</w:t>
            </w:r>
          </w:p>
        </w:tc>
        <w:tc>
          <w:tcPr>
            <w:tcW w:w="907" w:type="dxa"/>
            <w:tcBorders>
              <w:top w:val="nil"/>
              <w:left w:val="nil"/>
              <w:bottom w:val="single" w:sz="4" w:space="0" w:color="auto"/>
              <w:right w:val="single" w:sz="4" w:space="0" w:color="auto"/>
            </w:tcBorders>
            <w:noWrap/>
            <w:vAlign w:val="center"/>
            <w:hideMark/>
          </w:tcPr>
          <w:p w14:paraId="67A7F09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30C50E0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12B7AEC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2BB8134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4FC7891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34E3277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C162B0" w:rsidRPr="00552526" w14:paraId="0663387E"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3DCDD0A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Z.11</w:t>
            </w:r>
          </w:p>
        </w:tc>
        <w:tc>
          <w:tcPr>
            <w:tcW w:w="960" w:type="dxa"/>
            <w:tcBorders>
              <w:top w:val="nil"/>
              <w:left w:val="nil"/>
              <w:bottom w:val="single" w:sz="4" w:space="0" w:color="auto"/>
              <w:right w:val="single" w:sz="4" w:space="0" w:color="auto"/>
            </w:tcBorders>
            <w:noWrap/>
            <w:vAlign w:val="center"/>
            <w:hideMark/>
          </w:tcPr>
          <w:p w14:paraId="1BCAADC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BI</w:t>
            </w:r>
          </w:p>
        </w:tc>
        <w:tc>
          <w:tcPr>
            <w:tcW w:w="960" w:type="dxa"/>
            <w:tcBorders>
              <w:top w:val="nil"/>
              <w:left w:val="nil"/>
              <w:bottom w:val="single" w:sz="4" w:space="0" w:color="auto"/>
              <w:right w:val="single" w:sz="4" w:space="0" w:color="auto"/>
            </w:tcBorders>
            <w:noWrap/>
            <w:vAlign w:val="center"/>
            <w:hideMark/>
          </w:tcPr>
          <w:p w14:paraId="497A531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0,342</w:t>
            </w:r>
          </w:p>
        </w:tc>
        <w:tc>
          <w:tcPr>
            <w:tcW w:w="1062" w:type="dxa"/>
            <w:tcBorders>
              <w:top w:val="nil"/>
              <w:left w:val="nil"/>
              <w:bottom w:val="single" w:sz="4" w:space="0" w:color="auto"/>
              <w:right w:val="single" w:sz="4" w:space="0" w:color="auto"/>
            </w:tcBorders>
            <w:noWrap/>
            <w:vAlign w:val="center"/>
            <w:hideMark/>
          </w:tcPr>
          <w:p w14:paraId="74D3378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6605440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730EA2D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0,342</w:t>
            </w:r>
          </w:p>
        </w:tc>
        <w:tc>
          <w:tcPr>
            <w:tcW w:w="820" w:type="dxa"/>
            <w:tcBorders>
              <w:top w:val="nil"/>
              <w:left w:val="nil"/>
              <w:bottom w:val="single" w:sz="4" w:space="0" w:color="auto"/>
              <w:right w:val="single" w:sz="4" w:space="0" w:color="auto"/>
            </w:tcBorders>
            <w:noWrap/>
            <w:vAlign w:val="center"/>
            <w:hideMark/>
          </w:tcPr>
          <w:p w14:paraId="13891E9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0E66773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0BF8715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551FFF5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4792F74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6C246C3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4C58D15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C162B0" w:rsidRPr="00552526" w14:paraId="4C9C40C8"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277AFD5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Z.14</w:t>
            </w:r>
          </w:p>
        </w:tc>
        <w:tc>
          <w:tcPr>
            <w:tcW w:w="960" w:type="dxa"/>
            <w:tcBorders>
              <w:top w:val="nil"/>
              <w:left w:val="nil"/>
              <w:bottom w:val="single" w:sz="4" w:space="0" w:color="auto"/>
              <w:right w:val="single" w:sz="4" w:space="0" w:color="auto"/>
            </w:tcBorders>
            <w:noWrap/>
            <w:vAlign w:val="center"/>
            <w:hideMark/>
          </w:tcPr>
          <w:p w14:paraId="3456861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BI</w:t>
            </w:r>
          </w:p>
        </w:tc>
        <w:tc>
          <w:tcPr>
            <w:tcW w:w="960" w:type="dxa"/>
            <w:tcBorders>
              <w:top w:val="nil"/>
              <w:left w:val="nil"/>
              <w:bottom w:val="single" w:sz="4" w:space="0" w:color="auto"/>
              <w:right w:val="single" w:sz="4" w:space="0" w:color="auto"/>
            </w:tcBorders>
            <w:noWrap/>
            <w:vAlign w:val="center"/>
            <w:hideMark/>
          </w:tcPr>
          <w:p w14:paraId="7664029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4,657</w:t>
            </w:r>
          </w:p>
        </w:tc>
        <w:tc>
          <w:tcPr>
            <w:tcW w:w="1062" w:type="dxa"/>
            <w:tcBorders>
              <w:top w:val="nil"/>
              <w:left w:val="nil"/>
              <w:bottom w:val="single" w:sz="4" w:space="0" w:color="auto"/>
              <w:right w:val="single" w:sz="4" w:space="0" w:color="auto"/>
            </w:tcBorders>
            <w:noWrap/>
            <w:vAlign w:val="center"/>
            <w:hideMark/>
          </w:tcPr>
          <w:p w14:paraId="75C5397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4,657</w:t>
            </w:r>
          </w:p>
        </w:tc>
        <w:tc>
          <w:tcPr>
            <w:tcW w:w="907" w:type="dxa"/>
            <w:tcBorders>
              <w:top w:val="nil"/>
              <w:left w:val="nil"/>
              <w:bottom w:val="single" w:sz="4" w:space="0" w:color="auto"/>
              <w:right w:val="single" w:sz="4" w:space="0" w:color="auto"/>
            </w:tcBorders>
            <w:noWrap/>
            <w:vAlign w:val="center"/>
            <w:hideMark/>
          </w:tcPr>
          <w:p w14:paraId="2A39A05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7FC9AA1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768EDE7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61F9585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35BFDF9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1CF1B51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7FBC27C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704E54D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081945E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r>
      <w:tr w:rsidR="00552526" w:rsidRPr="00552526" w14:paraId="537015A7" w14:textId="77777777" w:rsidTr="00C162B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16E0E87"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Σ</w:t>
            </w:r>
          </w:p>
        </w:tc>
        <w:tc>
          <w:tcPr>
            <w:tcW w:w="960" w:type="dxa"/>
            <w:tcBorders>
              <w:top w:val="nil"/>
              <w:left w:val="nil"/>
              <w:bottom w:val="single" w:sz="4" w:space="0" w:color="auto"/>
              <w:right w:val="single" w:sz="4" w:space="0" w:color="auto"/>
            </w:tcBorders>
            <w:shd w:val="clear" w:color="000000" w:fill="F2F2F2"/>
            <w:noWrap/>
            <w:vAlign w:val="center"/>
            <w:hideMark/>
          </w:tcPr>
          <w:p w14:paraId="16300AA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10,0113</w:t>
            </w:r>
          </w:p>
        </w:tc>
        <w:tc>
          <w:tcPr>
            <w:tcW w:w="1062" w:type="dxa"/>
            <w:tcBorders>
              <w:top w:val="nil"/>
              <w:left w:val="nil"/>
              <w:bottom w:val="single" w:sz="4" w:space="0" w:color="auto"/>
              <w:right w:val="single" w:sz="4" w:space="0" w:color="auto"/>
            </w:tcBorders>
            <w:shd w:val="clear" w:color="000000" w:fill="F2F2F2"/>
            <w:noWrap/>
            <w:vAlign w:val="center"/>
            <w:hideMark/>
          </w:tcPr>
          <w:p w14:paraId="4C15E962"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8,0091</w:t>
            </w:r>
          </w:p>
        </w:tc>
        <w:tc>
          <w:tcPr>
            <w:tcW w:w="907" w:type="dxa"/>
            <w:tcBorders>
              <w:top w:val="nil"/>
              <w:left w:val="nil"/>
              <w:bottom w:val="single" w:sz="4" w:space="0" w:color="auto"/>
              <w:right w:val="single" w:sz="4" w:space="0" w:color="auto"/>
            </w:tcBorders>
            <w:shd w:val="clear" w:color="000000" w:fill="F2F2F2"/>
            <w:noWrap/>
            <w:vAlign w:val="center"/>
            <w:hideMark/>
          </w:tcPr>
          <w:p w14:paraId="7FA73555"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4CB5EAD3"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0,342</w:t>
            </w:r>
          </w:p>
        </w:tc>
        <w:tc>
          <w:tcPr>
            <w:tcW w:w="820" w:type="dxa"/>
            <w:tcBorders>
              <w:top w:val="nil"/>
              <w:left w:val="nil"/>
              <w:bottom w:val="single" w:sz="4" w:space="0" w:color="auto"/>
              <w:right w:val="single" w:sz="4" w:space="0" w:color="auto"/>
            </w:tcBorders>
            <w:shd w:val="clear" w:color="000000" w:fill="F2F2F2"/>
            <w:noWrap/>
            <w:vAlign w:val="center"/>
            <w:hideMark/>
          </w:tcPr>
          <w:p w14:paraId="79FE7EA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1,6602</w:t>
            </w:r>
          </w:p>
        </w:tc>
        <w:tc>
          <w:tcPr>
            <w:tcW w:w="907" w:type="dxa"/>
            <w:tcBorders>
              <w:top w:val="nil"/>
              <w:left w:val="nil"/>
              <w:bottom w:val="single" w:sz="4" w:space="0" w:color="auto"/>
              <w:right w:val="single" w:sz="4" w:space="0" w:color="auto"/>
            </w:tcBorders>
            <w:shd w:val="clear" w:color="000000" w:fill="F2F2F2"/>
            <w:noWrap/>
            <w:vAlign w:val="center"/>
            <w:hideMark/>
          </w:tcPr>
          <w:p w14:paraId="334EFE34"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444" w:type="dxa"/>
            <w:tcBorders>
              <w:top w:val="nil"/>
              <w:left w:val="nil"/>
              <w:bottom w:val="single" w:sz="4" w:space="0" w:color="auto"/>
              <w:right w:val="single" w:sz="4" w:space="0" w:color="auto"/>
            </w:tcBorders>
            <w:shd w:val="clear" w:color="000000" w:fill="F2F2F2"/>
            <w:noWrap/>
            <w:vAlign w:val="center"/>
            <w:hideMark/>
          </w:tcPr>
          <w:p w14:paraId="787AE9D4"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1E695B29"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4ADAF229"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4C88E68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3B01E9B8"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r>
      <w:tr w:rsidR="00552526" w:rsidRPr="00552526" w14:paraId="07058E7C" w14:textId="77777777" w:rsidTr="00C162B0">
        <w:trPr>
          <w:trHeight w:val="300"/>
          <w:jc w:val="center"/>
        </w:trPr>
        <w:tc>
          <w:tcPr>
            <w:tcW w:w="14454" w:type="dxa"/>
            <w:gridSpan w:val="13"/>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0DFB9165"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PLOCHY VEŘEJNÝCH PROSTRANSTVÍ</w:t>
            </w:r>
          </w:p>
        </w:tc>
      </w:tr>
      <w:tr w:rsidR="00C162B0" w:rsidRPr="00552526" w14:paraId="54ABBA36"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7B37E6C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Z.22</w:t>
            </w:r>
          </w:p>
        </w:tc>
        <w:tc>
          <w:tcPr>
            <w:tcW w:w="960" w:type="dxa"/>
            <w:tcBorders>
              <w:top w:val="nil"/>
              <w:left w:val="nil"/>
              <w:bottom w:val="single" w:sz="4" w:space="0" w:color="auto"/>
              <w:right w:val="single" w:sz="4" w:space="0" w:color="auto"/>
            </w:tcBorders>
            <w:noWrap/>
            <w:vAlign w:val="center"/>
            <w:hideMark/>
          </w:tcPr>
          <w:p w14:paraId="2A9CBE2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PU</w:t>
            </w:r>
          </w:p>
        </w:tc>
        <w:tc>
          <w:tcPr>
            <w:tcW w:w="960" w:type="dxa"/>
            <w:tcBorders>
              <w:top w:val="nil"/>
              <w:left w:val="nil"/>
              <w:bottom w:val="single" w:sz="4" w:space="0" w:color="auto"/>
              <w:right w:val="single" w:sz="4" w:space="0" w:color="auto"/>
            </w:tcBorders>
            <w:noWrap/>
            <w:vAlign w:val="center"/>
            <w:hideMark/>
          </w:tcPr>
          <w:p w14:paraId="5A36B20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0,1827</w:t>
            </w:r>
          </w:p>
        </w:tc>
        <w:tc>
          <w:tcPr>
            <w:tcW w:w="1062" w:type="dxa"/>
            <w:tcBorders>
              <w:top w:val="nil"/>
              <w:left w:val="nil"/>
              <w:bottom w:val="single" w:sz="4" w:space="0" w:color="auto"/>
              <w:right w:val="single" w:sz="4" w:space="0" w:color="auto"/>
            </w:tcBorders>
            <w:noWrap/>
            <w:vAlign w:val="center"/>
            <w:hideMark/>
          </w:tcPr>
          <w:p w14:paraId="7F59BA8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30556EB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58841ED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0,164</w:t>
            </w:r>
          </w:p>
        </w:tc>
        <w:tc>
          <w:tcPr>
            <w:tcW w:w="820" w:type="dxa"/>
            <w:tcBorders>
              <w:top w:val="nil"/>
              <w:left w:val="nil"/>
              <w:bottom w:val="single" w:sz="4" w:space="0" w:color="auto"/>
              <w:right w:val="single" w:sz="4" w:space="0" w:color="auto"/>
            </w:tcBorders>
            <w:noWrap/>
            <w:vAlign w:val="center"/>
            <w:hideMark/>
          </w:tcPr>
          <w:p w14:paraId="5FA0143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1B337FD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0,0187</w:t>
            </w:r>
          </w:p>
        </w:tc>
        <w:tc>
          <w:tcPr>
            <w:tcW w:w="1444" w:type="dxa"/>
            <w:tcBorders>
              <w:top w:val="nil"/>
              <w:left w:val="nil"/>
              <w:bottom w:val="single" w:sz="4" w:space="0" w:color="auto"/>
              <w:right w:val="single" w:sz="4" w:space="0" w:color="auto"/>
            </w:tcBorders>
            <w:noWrap/>
            <w:vAlign w:val="center"/>
            <w:hideMark/>
          </w:tcPr>
          <w:p w14:paraId="21BBD4A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3DDA3FC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78CD436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759EBFC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662FD92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552526" w:rsidRPr="00552526" w14:paraId="164278AB" w14:textId="77777777" w:rsidTr="00C162B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B139729"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Σ</w:t>
            </w:r>
          </w:p>
        </w:tc>
        <w:tc>
          <w:tcPr>
            <w:tcW w:w="960" w:type="dxa"/>
            <w:tcBorders>
              <w:top w:val="nil"/>
              <w:left w:val="nil"/>
              <w:bottom w:val="single" w:sz="4" w:space="0" w:color="auto"/>
              <w:right w:val="single" w:sz="4" w:space="0" w:color="auto"/>
            </w:tcBorders>
            <w:shd w:val="clear" w:color="000000" w:fill="F2F2F2"/>
            <w:noWrap/>
            <w:vAlign w:val="center"/>
            <w:hideMark/>
          </w:tcPr>
          <w:p w14:paraId="199AEF2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0,1827</w:t>
            </w:r>
          </w:p>
        </w:tc>
        <w:tc>
          <w:tcPr>
            <w:tcW w:w="1062" w:type="dxa"/>
            <w:tcBorders>
              <w:top w:val="nil"/>
              <w:left w:val="nil"/>
              <w:bottom w:val="single" w:sz="4" w:space="0" w:color="auto"/>
              <w:right w:val="single" w:sz="4" w:space="0" w:color="auto"/>
            </w:tcBorders>
            <w:shd w:val="clear" w:color="000000" w:fill="F2F2F2"/>
            <w:noWrap/>
            <w:vAlign w:val="center"/>
            <w:hideMark/>
          </w:tcPr>
          <w:p w14:paraId="67D5EDFB"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15179A37"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4583F643"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0,164</w:t>
            </w:r>
          </w:p>
        </w:tc>
        <w:tc>
          <w:tcPr>
            <w:tcW w:w="820" w:type="dxa"/>
            <w:tcBorders>
              <w:top w:val="nil"/>
              <w:left w:val="nil"/>
              <w:bottom w:val="single" w:sz="4" w:space="0" w:color="auto"/>
              <w:right w:val="single" w:sz="4" w:space="0" w:color="auto"/>
            </w:tcBorders>
            <w:shd w:val="clear" w:color="000000" w:fill="F2F2F2"/>
            <w:noWrap/>
            <w:vAlign w:val="center"/>
            <w:hideMark/>
          </w:tcPr>
          <w:p w14:paraId="728B50B6"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65A4574B"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0,0187</w:t>
            </w:r>
          </w:p>
        </w:tc>
        <w:tc>
          <w:tcPr>
            <w:tcW w:w="1444" w:type="dxa"/>
            <w:tcBorders>
              <w:top w:val="nil"/>
              <w:left w:val="nil"/>
              <w:bottom w:val="single" w:sz="4" w:space="0" w:color="auto"/>
              <w:right w:val="single" w:sz="4" w:space="0" w:color="auto"/>
            </w:tcBorders>
            <w:shd w:val="clear" w:color="000000" w:fill="F2F2F2"/>
            <w:noWrap/>
            <w:vAlign w:val="center"/>
            <w:hideMark/>
          </w:tcPr>
          <w:p w14:paraId="6CB5B7C7"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12583DD7"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5E490DFC"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33AA752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2D5E507C"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r>
      <w:tr w:rsidR="00552526" w:rsidRPr="00552526" w14:paraId="41406F2E" w14:textId="77777777" w:rsidTr="00C162B0">
        <w:trPr>
          <w:trHeight w:val="300"/>
          <w:jc w:val="center"/>
        </w:trPr>
        <w:tc>
          <w:tcPr>
            <w:tcW w:w="14454" w:type="dxa"/>
            <w:gridSpan w:val="13"/>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0F1C06E0"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PLOCHY ZELENĚ</w:t>
            </w:r>
          </w:p>
        </w:tc>
      </w:tr>
      <w:tr w:rsidR="00C162B0" w:rsidRPr="00552526" w14:paraId="00222E6C"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5FF60D3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Z.08</w:t>
            </w:r>
          </w:p>
        </w:tc>
        <w:tc>
          <w:tcPr>
            <w:tcW w:w="960" w:type="dxa"/>
            <w:tcBorders>
              <w:top w:val="nil"/>
              <w:left w:val="nil"/>
              <w:bottom w:val="single" w:sz="4" w:space="0" w:color="auto"/>
              <w:right w:val="single" w:sz="4" w:space="0" w:color="auto"/>
            </w:tcBorders>
            <w:noWrap/>
            <w:vAlign w:val="center"/>
            <w:hideMark/>
          </w:tcPr>
          <w:p w14:paraId="7D65676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ZP</w:t>
            </w:r>
          </w:p>
        </w:tc>
        <w:tc>
          <w:tcPr>
            <w:tcW w:w="960" w:type="dxa"/>
            <w:tcBorders>
              <w:top w:val="nil"/>
              <w:left w:val="nil"/>
              <w:bottom w:val="single" w:sz="4" w:space="0" w:color="auto"/>
              <w:right w:val="single" w:sz="4" w:space="0" w:color="auto"/>
            </w:tcBorders>
            <w:noWrap/>
            <w:vAlign w:val="center"/>
            <w:hideMark/>
          </w:tcPr>
          <w:p w14:paraId="363C6FE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0,1761</w:t>
            </w:r>
          </w:p>
        </w:tc>
        <w:tc>
          <w:tcPr>
            <w:tcW w:w="1062" w:type="dxa"/>
            <w:tcBorders>
              <w:top w:val="nil"/>
              <w:left w:val="nil"/>
              <w:bottom w:val="single" w:sz="4" w:space="0" w:color="auto"/>
              <w:right w:val="single" w:sz="4" w:space="0" w:color="auto"/>
            </w:tcBorders>
            <w:noWrap/>
            <w:vAlign w:val="center"/>
            <w:hideMark/>
          </w:tcPr>
          <w:p w14:paraId="479E8FA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0,1761</w:t>
            </w:r>
          </w:p>
        </w:tc>
        <w:tc>
          <w:tcPr>
            <w:tcW w:w="907" w:type="dxa"/>
            <w:tcBorders>
              <w:top w:val="nil"/>
              <w:left w:val="nil"/>
              <w:bottom w:val="single" w:sz="4" w:space="0" w:color="auto"/>
              <w:right w:val="single" w:sz="4" w:space="0" w:color="auto"/>
            </w:tcBorders>
            <w:noWrap/>
            <w:vAlign w:val="center"/>
            <w:hideMark/>
          </w:tcPr>
          <w:p w14:paraId="28FA724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2AFF01D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13F7164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091DCAC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56F9F8B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4EC80B1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6B5ED73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3073FD2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6CC296D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r>
      <w:tr w:rsidR="00C162B0" w:rsidRPr="00552526" w14:paraId="34473A48"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3A5B973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Z.12</w:t>
            </w:r>
          </w:p>
        </w:tc>
        <w:tc>
          <w:tcPr>
            <w:tcW w:w="960" w:type="dxa"/>
            <w:tcBorders>
              <w:top w:val="nil"/>
              <w:left w:val="nil"/>
              <w:bottom w:val="single" w:sz="4" w:space="0" w:color="auto"/>
              <w:right w:val="single" w:sz="4" w:space="0" w:color="auto"/>
            </w:tcBorders>
            <w:noWrap/>
            <w:vAlign w:val="center"/>
            <w:hideMark/>
          </w:tcPr>
          <w:p w14:paraId="66C4D26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ZP</w:t>
            </w:r>
          </w:p>
        </w:tc>
        <w:tc>
          <w:tcPr>
            <w:tcW w:w="960" w:type="dxa"/>
            <w:tcBorders>
              <w:top w:val="nil"/>
              <w:left w:val="nil"/>
              <w:bottom w:val="single" w:sz="4" w:space="0" w:color="auto"/>
              <w:right w:val="single" w:sz="4" w:space="0" w:color="auto"/>
            </w:tcBorders>
            <w:noWrap/>
            <w:vAlign w:val="center"/>
            <w:hideMark/>
          </w:tcPr>
          <w:p w14:paraId="27C79A5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0,4666</w:t>
            </w:r>
          </w:p>
        </w:tc>
        <w:tc>
          <w:tcPr>
            <w:tcW w:w="1062" w:type="dxa"/>
            <w:tcBorders>
              <w:top w:val="nil"/>
              <w:left w:val="nil"/>
              <w:bottom w:val="single" w:sz="4" w:space="0" w:color="auto"/>
              <w:right w:val="single" w:sz="4" w:space="0" w:color="auto"/>
            </w:tcBorders>
            <w:noWrap/>
            <w:vAlign w:val="center"/>
            <w:hideMark/>
          </w:tcPr>
          <w:p w14:paraId="2F790A4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0,0434</w:t>
            </w:r>
          </w:p>
        </w:tc>
        <w:tc>
          <w:tcPr>
            <w:tcW w:w="907" w:type="dxa"/>
            <w:tcBorders>
              <w:top w:val="nil"/>
              <w:left w:val="nil"/>
              <w:bottom w:val="single" w:sz="4" w:space="0" w:color="auto"/>
              <w:right w:val="single" w:sz="4" w:space="0" w:color="auto"/>
            </w:tcBorders>
            <w:noWrap/>
            <w:vAlign w:val="center"/>
            <w:hideMark/>
          </w:tcPr>
          <w:p w14:paraId="518BCCE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7B40EA4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0,4232</w:t>
            </w:r>
          </w:p>
        </w:tc>
        <w:tc>
          <w:tcPr>
            <w:tcW w:w="820" w:type="dxa"/>
            <w:tcBorders>
              <w:top w:val="nil"/>
              <w:left w:val="nil"/>
              <w:bottom w:val="single" w:sz="4" w:space="0" w:color="auto"/>
              <w:right w:val="single" w:sz="4" w:space="0" w:color="auto"/>
            </w:tcBorders>
            <w:noWrap/>
            <w:vAlign w:val="center"/>
            <w:hideMark/>
          </w:tcPr>
          <w:p w14:paraId="046955C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580C89F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7416687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1AB2172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3D2F64D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5E3BBFD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353B054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r>
      <w:tr w:rsidR="00552526" w:rsidRPr="00552526" w14:paraId="4DC3FDD3" w14:textId="77777777" w:rsidTr="00C162B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B93B7CC"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Σ</w:t>
            </w:r>
          </w:p>
        </w:tc>
        <w:tc>
          <w:tcPr>
            <w:tcW w:w="960" w:type="dxa"/>
            <w:tcBorders>
              <w:top w:val="nil"/>
              <w:left w:val="nil"/>
              <w:bottom w:val="single" w:sz="4" w:space="0" w:color="auto"/>
              <w:right w:val="single" w:sz="4" w:space="0" w:color="auto"/>
            </w:tcBorders>
            <w:shd w:val="clear" w:color="000000" w:fill="F2F2F2"/>
            <w:noWrap/>
            <w:vAlign w:val="center"/>
            <w:hideMark/>
          </w:tcPr>
          <w:p w14:paraId="5CFEC634"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0,6427</w:t>
            </w:r>
          </w:p>
        </w:tc>
        <w:tc>
          <w:tcPr>
            <w:tcW w:w="1062" w:type="dxa"/>
            <w:tcBorders>
              <w:top w:val="nil"/>
              <w:left w:val="nil"/>
              <w:bottom w:val="single" w:sz="4" w:space="0" w:color="auto"/>
              <w:right w:val="single" w:sz="4" w:space="0" w:color="auto"/>
            </w:tcBorders>
            <w:shd w:val="clear" w:color="000000" w:fill="F2F2F2"/>
            <w:noWrap/>
            <w:vAlign w:val="center"/>
            <w:hideMark/>
          </w:tcPr>
          <w:p w14:paraId="3506A277"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0,2195</w:t>
            </w:r>
          </w:p>
        </w:tc>
        <w:tc>
          <w:tcPr>
            <w:tcW w:w="907" w:type="dxa"/>
            <w:tcBorders>
              <w:top w:val="nil"/>
              <w:left w:val="nil"/>
              <w:bottom w:val="single" w:sz="4" w:space="0" w:color="auto"/>
              <w:right w:val="single" w:sz="4" w:space="0" w:color="auto"/>
            </w:tcBorders>
            <w:shd w:val="clear" w:color="000000" w:fill="F2F2F2"/>
            <w:noWrap/>
            <w:vAlign w:val="center"/>
            <w:hideMark/>
          </w:tcPr>
          <w:p w14:paraId="5A938672"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6899ADBC"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0,4232</w:t>
            </w:r>
          </w:p>
        </w:tc>
        <w:tc>
          <w:tcPr>
            <w:tcW w:w="820" w:type="dxa"/>
            <w:tcBorders>
              <w:top w:val="nil"/>
              <w:left w:val="nil"/>
              <w:bottom w:val="single" w:sz="4" w:space="0" w:color="auto"/>
              <w:right w:val="single" w:sz="4" w:space="0" w:color="auto"/>
            </w:tcBorders>
            <w:shd w:val="clear" w:color="000000" w:fill="F2F2F2"/>
            <w:noWrap/>
            <w:vAlign w:val="center"/>
            <w:hideMark/>
          </w:tcPr>
          <w:p w14:paraId="6AAAFBD5"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3C8C01DB"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444" w:type="dxa"/>
            <w:tcBorders>
              <w:top w:val="nil"/>
              <w:left w:val="nil"/>
              <w:bottom w:val="single" w:sz="4" w:space="0" w:color="auto"/>
              <w:right w:val="single" w:sz="4" w:space="0" w:color="auto"/>
            </w:tcBorders>
            <w:shd w:val="clear" w:color="000000" w:fill="F2F2F2"/>
            <w:noWrap/>
            <w:vAlign w:val="center"/>
            <w:hideMark/>
          </w:tcPr>
          <w:p w14:paraId="6230027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66DBECF1"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1E1DC59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77325592"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6109BDD2"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r>
      <w:tr w:rsidR="00552526" w:rsidRPr="00552526" w14:paraId="19A1FADA" w14:textId="77777777" w:rsidTr="00C162B0">
        <w:trPr>
          <w:trHeight w:val="300"/>
          <w:jc w:val="center"/>
        </w:trPr>
        <w:tc>
          <w:tcPr>
            <w:tcW w:w="14454" w:type="dxa"/>
            <w:gridSpan w:val="13"/>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72ED6E00"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PLOCHY SMÍŠENÉ OBYTNÉ</w:t>
            </w:r>
          </w:p>
        </w:tc>
      </w:tr>
      <w:tr w:rsidR="00C162B0" w:rsidRPr="00552526" w14:paraId="6102113D"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7621329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Z.03</w:t>
            </w:r>
          </w:p>
        </w:tc>
        <w:tc>
          <w:tcPr>
            <w:tcW w:w="960" w:type="dxa"/>
            <w:tcBorders>
              <w:top w:val="nil"/>
              <w:left w:val="nil"/>
              <w:bottom w:val="single" w:sz="4" w:space="0" w:color="auto"/>
              <w:right w:val="single" w:sz="4" w:space="0" w:color="auto"/>
            </w:tcBorders>
            <w:noWrap/>
            <w:vAlign w:val="center"/>
            <w:hideMark/>
          </w:tcPr>
          <w:p w14:paraId="729FC4C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nil"/>
              <w:left w:val="nil"/>
              <w:bottom w:val="single" w:sz="4" w:space="0" w:color="auto"/>
              <w:right w:val="single" w:sz="4" w:space="0" w:color="auto"/>
            </w:tcBorders>
            <w:noWrap/>
            <w:vAlign w:val="center"/>
            <w:hideMark/>
          </w:tcPr>
          <w:p w14:paraId="764D811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0,717</w:t>
            </w:r>
          </w:p>
        </w:tc>
        <w:tc>
          <w:tcPr>
            <w:tcW w:w="1062" w:type="dxa"/>
            <w:tcBorders>
              <w:top w:val="nil"/>
              <w:left w:val="nil"/>
              <w:bottom w:val="single" w:sz="4" w:space="0" w:color="auto"/>
              <w:right w:val="single" w:sz="4" w:space="0" w:color="auto"/>
            </w:tcBorders>
            <w:noWrap/>
            <w:vAlign w:val="center"/>
            <w:hideMark/>
          </w:tcPr>
          <w:p w14:paraId="165DB44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23DAFEA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2368699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77A6C72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0,717</w:t>
            </w:r>
          </w:p>
        </w:tc>
        <w:tc>
          <w:tcPr>
            <w:tcW w:w="907" w:type="dxa"/>
            <w:tcBorders>
              <w:top w:val="nil"/>
              <w:left w:val="nil"/>
              <w:bottom w:val="single" w:sz="4" w:space="0" w:color="auto"/>
              <w:right w:val="single" w:sz="4" w:space="0" w:color="auto"/>
            </w:tcBorders>
            <w:noWrap/>
            <w:vAlign w:val="center"/>
            <w:hideMark/>
          </w:tcPr>
          <w:p w14:paraId="5432F71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423DF19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5D6B001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6CEEFC9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275E352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642B023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C162B0" w:rsidRPr="00552526" w14:paraId="22D75171"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275C2FA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Z.04</w:t>
            </w:r>
          </w:p>
        </w:tc>
        <w:tc>
          <w:tcPr>
            <w:tcW w:w="960" w:type="dxa"/>
            <w:tcBorders>
              <w:top w:val="nil"/>
              <w:left w:val="nil"/>
              <w:bottom w:val="single" w:sz="4" w:space="0" w:color="auto"/>
              <w:right w:val="single" w:sz="4" w:space="0" w:color="auto"/>
            </w:tcBorders>
            <w:noWrap/>
            <w:vAlign w:val="center"/>
            <w:hideMark/>
          </w:tcPr>
          <w:p w14:paraId="169CA8A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nil"/>
              <w:left w:val="nil"/>
              <w:bottom w:val="single" w:sz="4" w:space="0" w:color="auto"/>
              <w:right w:val="single" w:sz="4" w:space="0" w:color="auto"/>
            </w:tcBorders>
            <w:noWrap/>
            <w:vAlign w:val="center"/>
            <w:hideMark/>
          </w:tcPr>
          <w:p w14:paraId="12FEF51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0,4161</w:t>
            </w:r>
          </w:p>
        </w:tc>
        <w:tc>
          <w:tcPr>
            <w:tcW w:w="1062" w:type="dxa"/>
            <w:tcBorders>
              <w:top w:val="nil"/>
              <w:left w:val="nil"/>
              <w:bottom w:val="single" w:sz="4" w:space="0" w:color="auto"/>
              <w:right w:val="single" w:sz="4" w:space="0" w:color="auto"/>
            </w:tcBorders>
            <w:noWrap/>
            <w:vAlign w:val="center"/>
            <w:hideMark/>
          </w:tcPr>
          <w:p w14:paraId="5A0D7F2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52D4929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4007F83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0CC9C4D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0,4161</w:t>
            </w:r>
          </w:p>
        </w:tc>
        <w:tc>
          <w:tcPr>
            <w:tcW w:w="907" w:type="dxa"/>
            <w:tcBorders>
              <w:top w:val="nil"/>
              <w:left w:val="nil"/>
              <w:bottom w:val="single" w:sz="4" w:space="0" w:color="auto"/>
              <w:right w:val="single" w:sz="4" w:space="0" w:color="auto"/>
            </w:tcBorders>
            <w:noWrap/>
            <w:vAlign w:val="center"/>
            <w:hideMark/>
          </w:tcPr>
          <w:p w14:paraId="339095A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4CC976E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67E2D92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04B17C3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27F73C0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52C6773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C162B0" w:rsidRPr="00552526" w14:paraId="4640DFA8" w14:textId="77777777" w:rsidTr="00C162B0">
        <w:trPr>
          <w:trHeight w:val="300"/>
          <w:jc w:val="center"/>
        </w:trPr>
        <w:tc>
          <w:tcPr>
            <w:tcW w:w="959" w:type="dxa"/>
            <w:tcBorders>
              <w:top w:val="single" w:sz="4" w:space="0" w:color="auto"/>
              <w:left w:val="single" w:sz="4" w:space="0" w:color="auto"/>
              <w:bottom w:val="single" w:sz="4" w:space="0" w:color="auto"/>
              <w:right w:val="single" w:sz="4" w:space="0" w:color="auto"/>
            </w:tcBorders>
            <w:noWrap/>
            <w:vAlign w:val="center"/>
            <w:hideMark/>
          </w:tcPr>
          <w:p w14:paraId="395C303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Z.15</w:t>
            </w:r>
          </w:p>
        </w:tc>
        <w:tc>
          <w:tcPr>
            <w:tcW w:w="960" w:type="dxa"/>
            <w:tcBorders>
              <w:top w:val="single" w:sz="4" w:space="0" w:color="auto"/>
              <w:left w:val="nil"/>
              <w:bottom w:val="single" w:sz="4" w:space="0" w:color="auto"/>
              <w:right w:val="single" w:sz="4" w:space="0" w:color="auto"/>
            </w:tcBorders>
            <w:noWrap/>
            <w:vAlign w:val="center"/>
            <w:hideMark/>
          </w:tcPr>
          <w:p w14:paraId="20B1C75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single" w:sz="4" w:space="0" w:color="auto"/>
              <w:left w:val="nil"/>
              <w:bottom w:val="single" w:sz="4" w:space="0" w:color="auto"/>
              <w:right w:val="single" w:sz="4" w:space="0" w:color="auto"/>
            </w:tcBorders>
            <w:noWrap/>
            <w:vAlign w:val="center"/>
            <w:hideMark/>
          </w:tcPr>
          <w:p w14:paraId="5F38C13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0,2538</w:t>
            </w:r>
          </w:p>
        </w:tc>
        <w:tc>
          <w:tcPr>
            <w:tcW w:w="1062" w:type="dxa"/>
            <w:tcBorders>
              <w:top w:val="single" w:sz="4" w:space="0" w:color="auto"/>
              <w:left w:val="nil"/>
              <w:bottom w:val="single" w:sz="4" w:space="0" w:color="auto"/>
              <w:right w:val="single" w:sz="4" w:space="0" w:color="auto"/>
            </w:tcBorders>
            <w:noWrap/>
            <w:vAlign w:val="center"/>
            <w:hideMark/>
          </w:tcPr>
          <w:p w14:paraId="1F5899A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0,2538</w:t>
            </w:r>
          </w:p>
        </w:tc>
        <w:tc>
          <w:tcPr>
            <w:tcW w:w="907" w:type="dxa"/>
            <w:tcBorders>
              <w:top w:val="single" w:sz="4" w:space="0" w:color="auto"/>
              <w:left w:val="nil"/>
              <w:bottom w:val="single" w:sz="4" w:space="0" w:color="auto"/>
              <w:right w:val="single" w:sz="4" w:space="0" w:color="auto"/>
            </w:tcBorders>
            <w:noWrap/>
            <w:vAlign w:val="center"/>
            <w:hideMark/>
          </w:tcPr>
          <w:p w14:paraId="250B19C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single" w:sz="4" w:space="0" w:color="auto"/>
              <w:left w:val="nil"/>
              <w:bottom w:val="single" w:sz="4" w:space="0" w:color="auto"/>
              <w:right w:val="single" w:sz="4" w:space="0" w:color="auto"/>
            </w:tcBorders>
            <w:noWrap/>
            <w:vAlign w:val="center"/>
            <w:hideMark/>
          </w:tcPr>
          <w:p w14:paraId="35E96C3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single" w:sz="4" w:space="0" w:color="auto"/>
              <w:left w:val="nil"/>
              <w:bottom w:val="single" w:sz="4" w:space="0" w:color="auto"/>
              <w:right w:val="single" w:sz="4" w:space="0" w:color="auto"/>
            </w:tcBorders>
            <w:noWrap/>
            <w:vAlign w:val="center"/>
            <w:hideMark/>
          </w:tcPr>
          <w:p w14:paraId="56E87FC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single" w:sz="4" w:space="0" w:color="auto"/>
              <w:left w:val="nil"/>
              <w:bottom w:val="single" w:sz="4" w:space="0" w:color="auto"/>
              <w:right w:val="single" w:sz="4" w:space="0" w:color="auto"/>
            </w:tcBorders>
            <w:noWrap/>
            <w:vAlign w:val="center"/>
            <w:hideMark/>
          </w:tcPr>
          <w:p w14:paraId="307A9EF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single" w:sz="4" w:space="0" w:color="auto"/>
              <w:left w:val="nil"/>
              <w:bottom w:val="single" w:sz="4" w:space="0" w:color="auto"/>
              <w:right w:val="single" w:sz="4" w:space="0" w:color="auto"/>
            </w:tcBorders>
            <w:noWrap/>
            <w:vAlign w:val="center"/>
            <w:hideMark/>
          </w:tcPr>
          <w:p w14:paraId="6B30D02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single" w:sz="4" w:space="0" w:color="auto"/>
              <w:left w:val="nil"/>
              <w:bottom w:val="single" w:sz="4" w:space="0" w:color="auto"/>
              <w:right w:val="single" w:sz="4" w:space="0" w:color="auto"/>
            </w:tcBorders>
            <w:noWrap/>
            <w:vAlign w:val="center"/>
            <w:hideMark/>
          </w:tcPr>
          <w:p w14:paraId="4AAF50D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single" w:sz="4" w:space="0" w:color="auto"/>
              <w:left w:val="nil"/>
              <w:bottom w:val="single" w:sz="4" w:space="0" w:color="auto"/>
              <w:right w:val="single" w:sz="4" w:space="0" w:color="auto"/>
            </w:tcBorders>
            <w:noWrap/>
            <w:vAlign w:val="center"/>
            <w:hideMark/>
          </w:tcPr>
          <w:p w14:paraId="42BE650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c>
          <w:tcPr>
            <w:tcW w:w="1382" w:type="dxa"/>
            <w:tcBorders>
              <w:top w:val="single" w:sz="4" w:space="0" w:color="auto"/>
              <w:left w:val="nil"/>
              <w:bottom w:val="single" w:sz="4" w:space="0" w:color="auto"/>
              <w:right w:val="single" w:sz="4" w:space="0" w:color="auto"/>
            </w:tcBorders>
            <w:noWrap/>
            <w:vAlign w:val="center"/>
            <w:hideMark/>
          </w:tcPr>
          <w:p w14:paraId="1D36E4E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single" w:sz="4" w:space="0" w:color="auto"/>
              <w:left w:val="nil"/>
              <w:bottom w:val="single" w:sz="4" w:space="0" w:color="auto"/>
              <w:right w:val="single" w:sz="4" w:space="0" w:color="auto"/>
            </w:tcBorders>
            <w:noWrap/>
            <w:vAlign w:val="center"/>
            <w:hideMark/>
          </w:tcPr>
          <w:p w14:paraId="5DF9766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r>
      <w:tr w:rsidR="00C162B0" w:rsidRPr="00552526" w14:paraId="631EB245" w14:textId="77777777" w:rsidTr="00C162B0">
        <w:trPr>
          <w:trHeight w:val="300"/>
          <w:jc w:val="center"/>
        </w:trPr>
        <w:tc>
          <w:tcPr>
            <w:tcW w:w="959" w:type="dxa"/>
            <w:tcBorders>
              <w:top w:val="single" w:sz="4" w:space="0" w:color="auto"/>
              <w:left w:val="single" w:sz="4" w:space="0" w:color="auto"/>
              <w:bottom w:val="single" w:sz="4" w:space="0" w:color="auto"/>
              <w:right w:val="single" w:sz="4" w:space="0" w:color="auto"/>
            </w:tcBorders>
            <w:noWrap/>
            <w:vAlign w:val="center"/>
            <w:hideMark/>
          </w:tcPr>
          <w:p w14:paraId="41D1026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Z.16</w:t>
            </w:r>
          </w:p>
        </w:tc>
        <w:tc>
          <w:tcPr>
            <w:tcW w:w="960" w:type="dxa"/>
            <w:tcBorders>
              <w:top w:val="single" w:sz="4" w:space="0" w:color="auto"/>
              <w:left w:val="nil"/>
              <w:bottom w:val="single" w:sz="4" w:space="0" w:color="auto"/>
              <w:right w:val="single" w:sz="4" w:space="0" w:color="auto"/>
            </w:tcBorders>
            <w:noWrap/>
            <w:vAlign w:val="center"/>
            <w:hideMark/>
          </w:tcPr>
          <w:p w14:paraId="0A550E9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single" w:sz="4" w:space="0" w:color="auto"/>
              <w:left w:val="nil"/>
              <w:bottom w:val="single" w:sz="4" w:space="0" w:color="auto"/>
              <w:right w:val="single" w:sz="4" w:space="0" w:color="auto"/>
            </w:tcBorders>
            <w:noWrap/>
            <w:vAlign w:val="center"/>
            <w:hideMark/>
          </w:tcPr>
          <w:p w14:paraId="7C1E92E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0,4222</w:t>
            </w:r>
          </w:p>
        </w:tc>
        <w:tc>
          <w:tcPr>
            <w:tcW w:w="1062" w:type="dxa"/>
            <w:tcBorders>
              <w:top w:val="single" w:sz="4" w:space="0" w:color="auto"/>
              <w:left w:val="nil"/>
              <w:bottom w:val="single" w:sz="4" w:space="0" w:color="auto"/>
              <w:right w:val="single" w:sz="4" w:space="0" w:color="auto"/>
            </w:tcBorders>
            <w:noWrap/>
            <w:vAlign w:val="center"/>
            <w:hideMark/>
          </w:tcPr>
          <w:p w14:paraId="3BF650A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0,4222</w:t>
            </w:r>
          </w:p>
        </w:tc>
        <w:tc>
          <w:tcPr>
            <w:tcW w:w="907" w:type="dxa"/>
            <w:tcBorders>
              <w:top w:val="single" w:sz="4" w:space="0" w:color="auto"/>
              <w:left w:val="nil"/>
              <w:bottom w:val="single" w:sz="4" w:space="0" w:color="auto"/>
              <w:right w:val="single" w:sz="4" w:space="0" w:color="auto"/>
            </w:tcBorders>
            <w:noWrap/>
            <w:vAlign w:val="center"/>
            <w:hideMark/>
          </w:tcPr>
          <w:p w14:paraId="7381F5D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single" w:sz="4" w:space="0" w:color="auto"/>
              <w:left w:val="nil"/>
              <w:bottom w:val="single" w:sz="4" w:space="0" w:color="auto"/>
              <w:right w:val="single" w:sz="4" w:space="0" w:color="auto"/>
            </w:tcBorders>
            <w:noWrap/>
            <w:vAlign w:val="center"/>
            <w:hideMark/>
          </w:tcPr>
          <w:p w14:paraId="5BC1B9C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single" w:sz="4" w:space="0" w:color="auto"/>
              <w:left w:val="nil"/>
              <w:bottom w:val="single" w:sz="4" w:space="0" w:color="auto"/>
              <w:right w:val="single" w:sz="4" w:space="0" w:color="auto"/>
            </w:tcBorders>
            <w:noWrap/>
            <w:vAlign w:val="center"/>
            <w:hideMark/>
          </w:tcPr>
          <w:p w14:paraId="32021FB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single" w:sz="4" w:space="0" w:color="auto"/>
              <w:left w:val="nil"/>
              <w:bottom w:val="single" w:sz="4" w:space="0" w:color="auto"/>
              <w:right w:val="single" w:sz="4" w:space="0" w:color="auto"/>
            </w:tcBorders>
            <w:noWrap/>
            <w:vAlign w:val="center"/>
            <w:hideMark/>
          </w:tcPr>
          <w:p w14:paraId="1688012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single" w:sz="4" w:space="0" w:color="auto"/>
              <w:left w:val="nil"/>
              <w:bottom w:val="single" w:sz="4" w:space="0" w:color="auto"/>
              <w:right w:val="single" w:sz="4" w:space="0" w:color="auto"/>
            </w:tcBorders>
            <w:noWrap/>
            <w:vAlign w:val="center"/>
            <w:hideMark/>
          </w:tcPr>
          <w:p w14:paraId="7AA031A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single" w:sz="4" w:space="0" w:color="auto"/>
              <w:left w:val="nil"/>
              <w:bottom w:val="single" w:sz="4" w:space="0" w:color="auto"/>
              <w:right w:val="single" w:sz="4" w:space="0" w:color="auto"/>
            </w:tcBorders>
            <w:noWrap/>
            <w:vAlign w:val="center"/>
            <w:hideMark/>
          </w:tcPr>
          <w:p w14:paraId="6E9E4F6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single" w:sz="4" w:space="0" w:color="auto"/>
              <w:left w:val="nil"/>
              <w:bottom w:val="single" w:sz="4" w:space="0" w:color="auto"/>
              <w:right w:val="single" w:sz="4" w:space="0" w:color="auto"/>
            </w:tcBorders>
            <w:noWrap/>
            <w:vAlign w:val="center"/>
            <w:hideMark/>
          </w:tcPr>
          <w:p w14:paraId="4A59EE6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c>
          <w:tcPr>
            <w:tcW w:w="1382" w:type="dxa"/>
            <w:tcBorders>
              <w:top w:val="single" w:sz="4" w:space="0" w:color="auto"/>
              <w:left w:val="nil"/>
              <w:bottom w:val="single" w:sz="4" w:space="0" w:color="auto"/>
              <w:right w:val="single" w:sz="4" w:space="0" w:color="auto"/>
            </w:tcBorders>
            <w:noWrap/>
            <w:vAlign w:val="center"/>
            <w:hideMark/>
          </w:tcPr>
          <w:p w14:paraId="771C9FB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single" w:sz="4" w:space="0" w:color="auto"/>
              <w:left w:val="nil"/>
              <w:bottom w:val="single" w:sz="4" w:space="0" w:color="auto"/>
              <w:right w:val="single" w:sz="4" w:space="0" w:color="auto"/>
            </w:tcBorders>
            <w:noWrap/>
            <w:vAlign w:val="center"/>
            <w:hideMark/>
          </w:tcPr>
          <w:p w14:paraId="2029153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r>
      <w:tr w:rsidR="00C162B0" w:rsidRPr="00552526" w14:paraId="0C759998"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2BA9E71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Z.17</w:t>
            </w:r>
          </w:p>
        </w:tc>
        <w:tc>
          <w:tcPr>
            <w:tcW w:w="960" w:type="dxa"/>
            <w:tcBorders>
              <w:top w:val="nil"/>
              <w:left w:val="nil"/>
              <w:bottom w:val="single" w:sz="4" w:space="0" w:color="auto"/>
              <w:right w:val="single" w:sz="4" w:space="0" w:color="auto"/>
            </w:tcBorders>
            <w:noWrap/>
            <w:vAlign w:val="center"/>
            <w:hideMark/>
          </w:tcPr>
          <w:p w14:paraId="301452E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nil"/>
              <w:left w:val="nil"/>
              <w:bottom w:val="single" w:sz="4" w:space="0" w:color="auto"/>
              <w:right w:val="single" w:sz="4" w:space="0" w:color="auto"/>
            </w:tcBorders>
            <w:noWrap/>
            <w:vAlign w:val="center"/>
            <w:hideMark/>
          </w:tcPr>
          <w:p w14:paraId="16BC213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1,0529</w:t>
            </w:r>
          </w:p>
        </w:tc>
        <w:tc>
          <w:tcPr>
            <w:tcW w:w="1062" w:type="dxa"/>
            <w:tcBorders>
              <w:top w:val="nil"/>
              <w:left w:val="nil"/>
              <w:bottom w:val="single" w:sz="4" w:space="0" w:color="auto"/>
              <w:right w:val="single" w:sz="4" w:space="0" w:color="auto"/>
            </w:tcBorders>
            <w:noWrap/>
            <w:vAlign w:val="center"/>
            <w:hideMark/>
          </w:tcPr>
          <w:p w14:paraId="4A52D32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1,0529</w:t>
            </w:r>
          </w:p>
        </w:tc>
        <w:tc>
          <w:tcPr>
            <w:tcW w:w="907" w:type="dxa"/>
            <w:tcBorders>
              <w:top w:val="nil"/>
              <w:left w:val="nil"/>
              <w:bottom w:val="single" w:sz="4" w:space="0" w:color="auto"/>
              <w:right w:val="single" w:sz="4" w:space="0" w:color="auto"/>
            </w:tcBorders>
            <w:noWrap/>
            <w:vAlign w:val="center"/>
            <w:hideMark/>
          </w:tcPr>
          <w:p w14:paraId="667C7F4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512A978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6A04421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4067D4E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6A5F816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6CF3297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4789F7F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c>
          <w:tcPr>
            <w:tcW w:w="1382" w:type="dxa"/>
            <w:tcBorders>
              <w:top w:val="nil"/>
              <w:left w:val="nil"/>
              <w:bottom w:val="single" w:sz="4" w:space="0" w:color="auto"/>
              <w:right w:val="single" w:sz="4" w:space="0" w:color="auto"/>
            </w:tcBorders>
            <w:noWrap/>
            <w:vAlign w:val="center"/>
            <w:hideMark/>
          </w:tcPr>
          <w:p w14:paraId="12FBB59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5D727EC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r>
      <w:tr w:rsidR="00C162B0" w:rsidRPr="00552526" w14:paraId="1EACE9FA"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169209C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Z.18</w:t>
            </w:r>
          </w:p>
        </w:tc>
        <w:tc>
          <w:tcPr>
            <w:tcW w:w="960" w:type="dxa"/>
            <w:tcBorders>
              <w:top w:val="nil"/>
              <w:left w:val="nil"/>
              <w:bottom w:val="single" w:sz="4" w:space="0" w:color="auto"/>
              <w:right w:val="single" w:sz="4" w:space="0" w:color="auto"/>
            </w:tcBorders>
            <w:noWrap/>
            <w:vAlign w:val="center"/>
            <w:hideMark/>
          </w:tcPr>
          <w:p w14:paraId="7B8DDB8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nil"/>
              <w:left w:val="nil"/>
              <w:bottom w:val="single" w:sz="4" w:space="0" w:color="auto"/>
              <w:right w:val="single" w:sz="4" w:space="0" w:color="auto"/>
            </w:tcBorders>
            <w:noWrap/>
            <w:vAlign w:val="center"/>
            <w:hideMark/>
          </w:tcPr>
          <w:p w14:paraId="0C2C9C4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1,962</w:t>
            </w:r>
          </w:p>
        </w:tc>
        <w:tc>
          <w:tcPr>
            <w:tcW w:w="1062" w:type="dxa"/>
            <w:tcBorders>
              <w:top w:val="nil"/>
              <w:left w:val="nil"/>
              <w:bottom w:val="single" w:sz="4" w:space="0" w:color="auto"/>
              <w:right w:val="single" w:sz="4" w:space="0" w:color="auto"/>
            </w:tcBorders>
            <w:noWrap/>
            <w:vAlign w:val="center"/>
            <w:hideMark/>
          </w:tcPr>
          <w:p w14:paraId="2673DA3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1,962</w:t>
            </w:r>
          </w:p>
        </w:tc>
        <w:tc>
          <w:tcPr>
            <w:tcW w:w="907" w:type="dxa"/>
            <w:tcBorders>
              <w:top w:val="nil"/>
              <w:left w:val="nil"/>
              <w:bottom w:val="single" w:sz="4" w:space="0" w:color="auto"/>
              <w:right w:val="single" w:sz="4" w:space="0" w:color="auto"/>
            </w:tcBorders>
            <w:noWrap/>
            <w:vAlign w:val="center"/>
            <w:hideMark/>
          </w:tcPr>
          <w:p w14:paraId="4587069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681562F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178284D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052EB6D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6C286F2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663D155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5068934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c>
          <w:tcPr>
            <w:tcW w:w="1382" w:type="dxa"/>
            <w:tcBorders>
              <w:top w:val="nil"/>
              <w:left w:val="nil"/>
              <w:bottom w:val="single" w:sz="4" w:space="0" w:color="auto"/>
              <w:right w:val="single" w:sz="4" w:space="0" w:color="auto"/>
            </w:tcBorders>
            <w:noWrap/>
            <w:vAlign w:val="center"/>
            <w:hideMark/>
          </w:tcPr>
          <w:p w14:paraId="56E7017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77309AB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 (část)</w:t>
            </w:r>
          </w:p>
        </w:tc>
      </w:tr>
      <w:tr w:rsidR="00C162B0" w:rsidRPr="00552526" w14:paraId="1BA2348E"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6A98E0F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Z.19</w:t>
            </w:r>
          </w:p>
        </w:tc>
        <w:tc>
          <w:tcPr>
            <w:tcW w:w="960" w:type="dxa"/>
            <w:tcBorders>
              <w:top w:val="nil"/>
              <w:left w:val="nil"/>
              <w:bottom w:val="single" w:sz="4" w:space="0" w:color="auto"/>
              <w:right w:val="single" w:sz="4" w:space="0" w:color="auto"/>
            </w:tcBorders>
            <w:noWrap/>
            <w:vAlign w:val="center"/>
            <w:hideMark/>
          </w:tcPr>
          <w:p w14:paraId="05FBC9C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nil"/>
              <w:left w:val="nil"/>
              <w:bottom w:val="single" w:sz="4" w:space="0" w:color="auto"/>
              <w:right w:val="single" w:sz="4" w:space="0" w:color="auto"/>
            </w:tcBorders>
            <w:noWrap/>
            <w:vAlign w:val="center"/>
            <w:hideMark/>
          </w:tcPr>
          <w:p w14:paraId="277809B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1,5576</w:t>
            </w:r>
          </w:p>
        </w:tc>
        <w:tc>
          <w:tcPr>
            <w:tcW w:w="1062" w:type="dxa"/>
            <w:tcBorders>
              <w:top w:val="nil"/>
              <w:left w:val="nil"/>
              <w:bottom w:val="single" w:sz="4" w:space="0" w:color="auto"/>
              <w:right w:val="single" w:sz="4" w:space="0" w:color="auto"/>
            </w:tcBorders>
            <w:noWrap/>
            <w:vAlign w:val="center"/>
            <w:hideMark/>
          </w:tcPr>
          <w:p w14:paraId="431A97F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1,5576</w:t>
            </w:r>
          </w:p>
        </w:tc>
        <w:tc>
          <w:tcPr>
            <w:tcW w:w="907" w:type="dxa"/>
            <w:tcBorders>
              <w:top w:val="nil"/>
              <w:left w:val="nil"/>
              <w:bottom w:val="single" w:sz="4" w:space="0" w:color="auto"/>
              <w:right w:val="single" w:sz="4" w:space="0" w:color="auto"/>
            </w:tcBorders>
            <w:noWrap/>
            <w:vAlign w:val="center"/>
            <w:hideMark/>
          </w:tcPr>
          <w:p w14:paraId="6E43AAD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34FD5C4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76CA2B4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44EACC3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7EA9EF7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58538D2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185A052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c>
          <w:tcPr>
            <w:tcW w:w="1382" w:type="dxa"/>
            <w:tcBorders>
              <w:top w:val="nil"/>
              <w:left w:val="nil"/>
              <w:bottom w:val="single" w:sz="4" w:space="0" w:color="auto"/>
              <w:right w:val="single" w:sz="4" w:space="0" w:color="auto"/>
            </w:tcBorders>
            <w:noWrap/>
            <w:vAlign w:val="center"/>
            <w:hideMark/>
          </w:tcPr>
          <w:p w14:paraId="50838A2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615882E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 (část)</w:t>
            </w:r>
          </w:p>
        </w:tc>
      </w:tr>
      <w:tr w:rsidR="00C162B0" w:rsidRPr="00552526" w14:paraId="4FFE8117" w14:textId="77777777" w:rsidTr="00C162B0">
        <w:trPr>
          <w:trHeight w:val="300"/>
          <w:jc w:val="center"/>
        </w:trPr>
        <w:tc>
          <w:tcPr>
            <w:tcW w:w="959" w:type="dxa"/>
            <w:tcBorders>
              <w:top w:val="single" w:sz="4" w:space="0" w:color="auto"/>
              <w:left w:val="single" w:sz="4" w:space="0" w:color="auto"/>
              <w:bottom w:val="single" w:sz="4" w:space="0" w:color="auto"/>
              <w:right w:val="single" w:sz="4" w:space="0" w:color="auto"/>
            </w:tcBorders>
            <w:noWrap/>
            <w:vAlign w:val="center"/>
            <w:hideMark/>
          </w:tcPr>
          <w:p w14:paraId="38C6E94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lastRenderedPageBreak/>
              <w:t>Z.20</w:t>
            </w:r>
          </w:p>
        </w:tc>
        <w:tc>
          <w:tcPr>
            <w:tcW w:w="960" w:type="dxa"/>
            <w:tcBorders>
              <w:top w:val="single" w:sz="4" w:space="0" w:color="auto"/>
              <w:left w:val="nil"/>
              <w:bottom w:val="single" w:sz="4" w:space="0" w:color="auto"/>
              <w:right w:val="single" w:sz="4" w:space="0" w:color="auto"/>
            </w:tcBorders>
            <w:noWrap/>
            <w:vAlign w:val="center"/>
            <w:hideMark/>
          </w:tcPr>
          <w:p w14:paraId="41EF28E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single" w:sz="4" w:space="0" w:color="auto"/>
              <w:left w:val="nil"/>
              <w:bottom w:val="single" w:sz="4" w:space="0" w:color="auto"/>
              <w:right w:val="single" w:sz="4" w:space="0" w:color="auto"/>
            </w:tcBorders>
            <w:noWrap/>
            <w:vAlign w:val="center"/>
            <w:hideMark/>
          </w:tcPr>
          <w:p w14:paraId="0F00C19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0,4406</w:t>
            </w:r>
          </w:p>
        </w:tc>
        <w:tc>
          <w:tcPr>
            <w:tcW w:w="1062" w:type="dxa"/>
            <w:tcBorders>
              <w:top w:val="single" w:sz="4" w:space="0" w:color="auto"/>
              <w:left w:val="nil"/>
              <w:bottom w:val="single" w:sz="4" w:space="0" w:color="auto"/>
              <w:right w:val="single" w:sz="4" w:space="0" w:color="auto"/>
            </w:tcBorders>
            <w:noWrap/>
            <w:vAlign w:val="center"/>
            <w:hideMark/>
          </w:tcPr>
          <w:p w14:paraId="2B0EB27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single" w:sz="4" w:space="0" w:color="auto"/>
              <w:left w:val="nil"/>
              <w:bottom w:val="single" w:sz="4" w:space="0" w:color="auto"/>
              <w:right w:val="single" w:sz="4" w:space="0" w:color="auto"/>
            </w:tcBorders>
            <w:noWrap/>
            <w:vAlign w:val="center"/>
            <w:hideMark/>
          </w:tcPr>
          <w:p w14:paraId="6DE244F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single" w:sz="4" w:space="0" w:color="auto"/>
              <w:left w:val="nil"/>
              <w:bottom w:val="single" w:sz="4" w:space="0" w:color="auto"/>
              <w:right w:val="single" w:sz="4" w:space="0" w:color="auto"/>
            </w:tcBorders>
            <w:noWrap/>
            <w:vAlign w:val="center"/>
            <w:hideMark/>
          </w:tcPr>
          <w:p w14:paraId="1C7BC21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single" w:sz="4" w:space="0" w:color="auto"/>
              <w:left w:val="nil"/>
              <w:bottom w:val="single" w:sz="4" w:space="0" w:color="auto"/>
              <w:right w:val="single" w:sz="4" w:space="0" w:color="auto"/>
            </w:tcBorders>
            <w:noWrap/>
            <w:vAlign w:val="center"/>
            <w:hideMark/>
          </w:tcPr>
          <w:p w14:paraId="52D1E5F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0,4406</w:t>
            </w:r>
          </w:p>
        </w:tc>
        <w:tc>
          <w:tcPr>
            <w:tcW w:w="907" w:type="dxa"/>
            <w:tcBorders>
              <w:top w:val="single" w:sz="4" w:space="0" w:color="auto"/>
              <w:left w:val="nil"/>
              <w:bottom w:val="single" w:sz="4" w:space="0" w:color="auto"/>
              <w:right w:val="single" w:sz="4" w:space="0" w:color="auto"/>
            </w:tcBorders>
            <w:noWrap/>
            <w:vAlign w:val="center"/>
            <w:hideMark/>
          </w:tcPr>
          <w:p w14:paraId="5970070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single" w:sz="4" w:space="0" w:color="auto"/>
              <w:left w:val="nil"/>
              <w:bottom w:val="single" w:sz="4" w:space="0" w:color="auto"/>
              <w:right w:val="single" w:sz="4" w:space="0" w:color="auto"/>
            </w:tcBorders>
            <w:noWrap/>
            <w:vAlign w:val="center"/>
            <w:hideMark/>
          </w:tcPr>
          <w:p w14:paraId="39C975C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single" w:sz="4" w:space="0" w:color="auto"/>
              <w:left w:val="nil"/>
              <w:bottom w:val="single" w:sz="4" w:space="0" w:color="auto"/>
              <w:right w:val="single" w:sz="4" w:space="0" w:color="auto"/>
            </w:tcBorders>
            <w:noWrap/>
            <w:vAlign w:val="center"/>
            <w:hideMark/>
          </w:tcPr>
          <w:p w14:paraId="00B8008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single" w:sz="4" w:space="0" w:color="auto"/>
              <w:left w:val="nil"/>
              <w:bottom w:val="single" w:sz="4" w:space="0" w:color="auto"/>
              <w:right w:val="single" w:sz="4" w:space="0" w:color="auto"/>
            </w:tcBorders>
            <w:noWrap/>
            <w:vAlign w:val="center"/>
            <w:hideMark/>
          </w:tcPr>
          <w:p w14:paraId="2DF9EFF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single" w:sz="4" w:space="0" w:color="auto"/>
              <w:left w:val="nil"/>
              <w:bottom w:val="single" w:sz="4" w:space="0" w:color="auto"/>
              <w:right w:val="single" w:sz="4" w:space="0" w:color="auto"/>
            </w:tcBorders>
            <w:noWrap/>
            <w:vAlign w:val="center"/>
            <w:hideMark/>
          </w:tcPr>
          <w:p w14:paraId="6877F9A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single" w:sz="4" w:space="0" w:color="auto"/>
              <w:left w:val="nil"/>
              <w:bottom w:val="single" w:sz="4" w:space="0" w:color="auto"/>
              <w:right w:val="single" w:sz="4" w:space="0" w:color="auto"/>
            </w:tcBorders>
            <w:noWrap/>
            <w:vAlign w:val="center"/>
            <w:hideMark/>
          </w:tcPr>
          <w:p w14:paraId="5DB0501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C162B0" w:rsidRPr="00552526" w14:paraId="79354B68"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71AB224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Z.21</w:t>
            </w:r>
          </w:p>
        </w:tc>
        <w:tc>
          <w:tcPr>
            <w:tcW w:w="960" w:type="dxa"/>
            <w:tcBorders>
              <w:top w:val="nil"/>
              <w:left w:val="nil"/>
              <w:bottom w:val="single" w:sz="4" w:space="0" w:color="auto"/>
              <w:right w:val="single" w:sz="4" w:space="0" w:color="auto"/>
            </w:tcBorders>
            <w:noWrap/>
            <w:vAlign w:val="center"/>
            <w:hideMark/>
          </w:tcPr>
          <w:p w14:paraId="4D4FC0B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SV</w:t>
            </w:r>
          </w:p>
        </w:tc>
        <w:tc>
          <w:tcPr>
            <w:tcW w:w="960" w:type="dxa"/>
            <w:tcBorders>
              <w:top w:val="nil"/>
              <w:left w:val="nil"/>
              <w:bottom w:val="single" w:sz="4" w:space="0" w:color="auto"/>
              <w:right w:val="single" w:sz="4" w:space="0" w:color="auto"/>
            </w:tcBorders>
            <w:noWrap/>
            <w:vAlign w:val="center"/>
            <w:hideMark/>
          </w:tcPr>
          <w:p w14:paraId="07A1C15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0,6455</w:t>
            </w:r>
          </w:p>
        </w:tc>
        <w:tc>
          <w:tcPr>
            <w:tcW w:w="1062" w:type="dxa"/>
            <w:tcBorders>
              <w:top w:val="nil"/>
              <w:left w:val="nil"/>
              <w:bottom w:val="single" w:sz="4" w:space="0" w:color="auto"/>
              <w:right w:val="single" w:sz="4" w:space="0" w:color="auto"/>
            </w:tcBorders>
            <w:noWrap/>
            <w:vAlign w:val="center"/>
            <w:hideMark/>
          </w:tcPr>
          <w:p w14:paraId="638306A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34A37C5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0,6455</w:t>
            </w:r>
          </w:p>
        </w:tc>
        <w:tc>
          <w:tcPr>
            <w:tcW w:w="907" w:type="dxa"/>
            <w:tcBorders>
              <w:top w:val="nil"/>
              <w:left w:val="nil"/>
              <w:bottom w:val="single" w:sz="4" w:space="0" w:color="auto"/>
              <w:right w:val="single" w:sz="4" w:space="0" w:color="auto"/>
            </w:tcBorders>
            <w:noWrap/>
            <w:vAlign w:val="center"/>
            <w:hideMark/>
          </w:tcPr>
          <w:p w14:paraId="7EE6654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67C94EA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30DB5D7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6A9DA7A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3D356A1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4533C59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6E2F94B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3268CAB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r>
      <w:tr w:rsidR="00EF7150" w:rsidRPr="00552526" w14:paraId="5070BB21" w14:textId="77777777" w:rsidTr="00EF715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5A8A4339"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Σ</w:t>
            </w:r>
          </w:p>
        </w:tc>
        <w:tc>
          <w:tcPr>
            <w:tcW w:w="960" w:type="dxa"/>
            <w:tcBorders>
              <w:top w:val="nil"/>
              <w:left w:val="nil"/>
              <w:bottom w:val="single" w:sz="4" w:space="0" w:color="auto"/>
              <w:right w:val="single" w:sz="4" w:space="0" w:color="auto"/>
            </w:tcBorders>
            <w:shd w:val="clear" w:color="000000" w:fill="F2F2F2"/>
            <w:noWrap/>
            <w:vAlign w:val="center"/>
            <w:hideMark/>
          </w:tcPr>
          <w:p w14:paraId="0541D1E1" w14:textId="32889D1A" w:rsidR="00EF7150" w:rsidRPr="00EF7150" w:rsidRDefault="00EF7150" w:rsidP="00EF7150">
            <w:pPr>
              <w:spacing w:after="0" w:line="240" w:lineRule="auto"/>
              <w:jc w:val="center"/>
              <w:rPr>
                <w:rFonts w:asciiTheme="majorHAnsi" w:eastAsia="Times New Roman" w:hAnsiTheme="majorHAnsi" w:cstheme="majorHAnsi"/>
                <w:b/>
                <w:bCs/>
                <w:color w:val="000000"/>
                <w:sz w:val="18"/>
                <w:szCs w:val="18"/>
                <w:lang w:eastAsia="cs-CZ"/>
              </w:rPr>
            </w:pPr>
            <w:r w:rsidRPr="00EF7150">
              <w:rPr>
                <w:rFonts w:asciiTheme="majorHAnsi" w:hAnsiTheme="majorHAnsi" w:cstheme="majorHAnsi"/>
                <w:b/>
                <w:bCs/>
                <w:sz w:val="18"/>
                <w:szCs w:val="18"/>
              </w:rPr>
              <w:t>7,4677</w:t>
            </w:r>
          </w:p>
        </w:tc>
        <w:tc>
          <w:tcPr>
            <w:tcW w:w="1062" w:type="dxa"/>
            <w:tcBorders>
              <w:top w:val="nil"/>
              <w:left w:val="nil"/>
              <w:bottom w:val="single" w:sz="4" w:space="0" w:color="auto"/>
              <w:right w:val="single" w:sz="4" w:space="0" w:color="auto"/>
            </w:tcBorders>
            <w:shd w:val="clear" w:color="000000" w:fill="F2F2F2"/>
            <w:noWrap/>
            <w:vAlign w:val="center"/>
            <w:hideMark/>
          </w:tcPr>
          <w:p w14:paraId="491D54FE" w14:textId="1682E36A" w:rsidR="00EF7150" w:rsidRPr="00EF7150" w:rsidRDefault="00EF7150" w:rsidP="00EF7150">
            <w:pPr>
              <w:spacing w:after="0" w:line="240" w:lineRule="auto"/>
              <w:jc w:val="center"/>
              <w:rPr>
                <w:rFonts w:asciiTheme="majorHAnsi" w:eastAsia="Times New Roman" w:hAnsiTheme="majorHAnsi" w:cstheme="majorHAnsi"/>
                <w:b/>
                <w:bCs/>
                <w:color w:val="000000"/>
                <w:sz w:val="18"/>
                <w:szCs w:val="18"/>
                <w:lang w:eastAsia="cs-CZ"/>
              </w:rPr>
            </w:pPr>
            <w:r w:rsidRPr="00EF7150">
              <w:rPr>
                <w:rFonts w:asciiTheme="majorHAnsi" w:hAnsiTheme="majorHAnsi" w:cstheme="majorHAnsi"/>
                <w:b/>
                <w:bCs/>
                <w:sz w:val="18"/>
                <w:szCs w:val="18"/>
              </w:rPr>
              <w:t>5,2485</w:t>
            </w:r>
          </w:p>
        </w:tc>
        <w:tc>
          <w:tcPr>
            <w:tcW w:w="907" w:type="dxa"/>
            <w:tcBorders>
              <w:top w:val="nil"/>
              <w:left w:val="nil"/>
              <w:bottom w:val="single" w:sz="4" w:space="0" w:color="auto"/>
              <w:right w:val="single" w:sz="4" w:space="0" w:color="auto"/>
            </w:tcBorders>
            <w:shd w:val="clear" w:color="000000" w:fill="F2F2F2"/>
            <w:noWrap/>
            <w:vAlign w:val="center"/>
            <w:hideMark/>
          </w:tcPr>
          <w:p w14:paraId="05526D38"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0,6455</w:t>
            </w:r>
          </w:p>
        </w:tc>
        <w:tc>
          <w:tcPr>
            <w:tcW w:w="907" w:type="dxa"/>
            <w:tcBorders>
              <w:top w:val="nil"/>
              <w:left w:val="nil"/>
              <w:bottom w:val="single" w:sz="4" w:space="0" w:color="auto"/>
              <w:right w:val="single" w:sz="4" w:space="0" w:color="auto"/>
            </w:tcBorders>
            <w:shd w:val="clear" w:color="000000" w:fill="F2F2F2"/>
            <w:noWrap/>
            <w:vAlign w:val="center"/>
            <w:hideMark/>
          </w:tcPr>
          <w:p w14:paraId="4634A1C2"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820" w:type="dxa"/>
            <w:tcBorders>
              <w:top w:val="nil"/>
              <w:left w:val="nil"/>
              <w:bottom w:val="single" w:sz="4" w:space="0" w:color="auto"/>
              <w:right w:val="single" w:sz="4" w:space="0" w:color="auto"/>
            </w:tcBorders>
            <w:shd w:val="clear" w:color="000000" w:fill="F2F2F2"/>
            <w:noWrap/>
            <w:vAlign w:val="center"/>
            <w:hideMark/>
          </w:tcPr>
          <w:p w14:paraId="6C2E73F4"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1,5737</w:t>
            </w:r>
          </w:p>
        </w:tc>
        <w:tc>
          <w:tcPr>
            <w:tcW w:w="907" w:type="dxa"/>
            <w:tcBorders>
              <w:top w:val="nil"/>
              <w:left w:val="nil"/>
              <w:bottom w:val="single" w:sz="4" w:space="0" w:color="auto"/>
              <w:right w:val="single" w:sz="4" w:space="0" w:color="auto"/>
            </w:tcBorders>
            <w:shd w:val="clear" w:color="000000" w:fill="F2F2F2"/>
            <w:noWrap/>
            <w:vAlign w:val="center"/>
            <w:hideMark/>
          </w:tcPr>
          <w:p w14:paraId="4D2347BC"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444" w:type="dxa"/>
            <w:tcBorders>
              <w:top w:val="nil"/>
              <w:left w:val="nil"/>
              <w:bottom w:val="single" w:sz="4" w:space="0" w:color="auto"/>
              <w:right w:val="single" w:sz="4" w:space="0" w:color="auto"/>
            </w:tcBorders>
            <w:shd w:val="clear" w:color="000000" w:fill="F2F2F2"/>
            <w:noWrap/>
            <w:vAlign w:val="center"/>
            <w:hideMark/>
          </w:tcPr>
          <w:p w14:paraId="5D83C6F2"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23740EFA"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366F573A"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68720DB5"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7A84B716" w14:textId="77777777" w:rsidR="00EF7150" w:rsidRPr="00552526" w:rsidRDefault="00EF7150" w:rsidP="00EF7150">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r>
      <w:tr w:rsidR="00552526" w:rsidRPr="00552526" w14:paraId="7F7C0479" w14:textId="77777777" w:rsidTr="00C162B0">
        <w:trPr>
          <w:trHeight w:val="300"/>
          <w:jc w:val="center"/>
        </w:trPr>
        <w:tc>
          <w:tcPr>
            <w:tcW w:w="14454" w:type="dxa"/>
            <w:gridSpan w:val="13"/>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0FC7CFC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PLOCHY TECHNICKÉ INFRASTRUKTURY</w:t>
            </w:r>
          </w:p>
        </w:tc>
      </w:tr>
      <w:tr w:rsidR="00C162B0" w:rsidRPr="00552526" w14:paraId="5C45DD11"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53C492B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Z.23</w:t>
            </w:r>
          </w:p>
        </w:tc>
        <w:tc>
          <w:tcPr>
            <w:tcW w:w="960" w:type="dxa"/>
            <w:tcBorders>
              <w:top w:val="nil"/>
              <w:left w:val="nil"/>
              <w:bottom w:val="single" w:sz="4" w:space="0" w:color="auto"/>
              <w:right w:val="single" w:sz="4" w:space="0" w:color="auto"/>
            </w:tcBorders>
            <w:noWrap/>
            <w:vAlign w:val="center"/>
            <w:hideMark/>
          </w:tcPr>
          <w:p w14:paraId="373D3A9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TU</w:t>
            </w:r>
          </w:p>
        </w:tc>
        <w:tc>
          <w:tcPr>
            <w:tcW w:w="960" w:type="dxa"/>
            <w:tcBorders>
              <w:top w:val="nil"/>
              <w:left w:val="nil"/>
              <w:bottom w:val="single" w:sz="4" w:space="0" w:color="auto"/>
              <w:right w:val="single" w:sz="4" w:space="0" w:color="auto"/>
            </w:tcBorders>
            <w:noWrap/>
            <w:vAlign w:val="center"/>
            <w:hideMark/>
          </w:tcPr>
          <w:p w14:paraId="42FD90F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0,0068</w:t>
            </w:r>
          </w:p>
        </w:tc>
        <w:tc>
          <w:tcPr>
            <w:tcW w:w="1062" w:type="dxa"/>
            <w:tcBorders>
              <w:top w:val="nil"/>
              <w:left w:val="nil"/>
              <w:bottom w:val="single" w:sz="4" w:space="0" w:color="auto"/>
              <w:right w:val="single" w:sz="4" w:space="0" w:color="auto"/>
            </w:tcBorders>
            <w:noWrap/>
            <w:vAlign w:val="center"/>
            <w:hideMark/>
          </w:tcPr>
          <w:p w14:paraId="14AF32F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2043026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45BFE6A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6DFFBE0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0,0068</w:t>
            </w:r>
          </w:p>
        </w:tc>
        <w:tc>
          <w:tcPr>
            <w:tcW w:w="907" w:type="dxa"/>
            <w:tcBorders>
              <w:top w:val="nil"/>
              <w:left w:val="nil"/>
              <w:bottom w:val="single" w:sz="4" w:space="0" w:color="auto"/>
              <w:right w:val="single" w:sz="4" w:space="0" w:color="auto"/>
            </w:tcBorders>
            <w:noWrap/>
            <w:vAlign w:val="center"/>
            <w:hideMark/>
          </w:tcPr>
          <w:p w14:paraId="072AD37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10FF2E8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28A8067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510E04B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21D88EE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0BEE9E9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552526" w:rsidRPr="00552526" w14:paraId="3B258868" w14:textId="77777777" w:rsidTr="00C162B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F3EBE72"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Σ</w:t>
            </w:r>
          </w:p>
        </w:tc>
        <w:tc>
          <w:tcPr>
            <w:tcW w:w="960" w:type="dxa"/>
            <w:tcBorders>
              <w:top w:val="nil"/>
              <w:left w:val="nil"/>
              <w:bottom w:val="single" w:sz="4" w:space="0" w:color="auto"/>
              <w:right w:val="single" w:sz="4" w:space="0" w:color="auto"/>
            </w:tcBorders>
            <w:shd w:val="clear" w:color="000000" w:fill="F2F2F2"/>
            <w:noWrap/>
            <w:vAlign w:val="center"/>
            <w:hideMark/>
          </w:tcPr>
          <w:p w14:paraId="251D237C"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0,0068</w:t>
            </w:r>
          </w:p>
        </w:tc>
        <w:tc>
          <w:tcPr>
            <w:tcW w:w="1062" w:type="dxa"/>
            <w:tcBorders>
              <w:top w:val="nil"/>
              <w:left w:val="nil"/>
              <w:bottom w:val="single" w:sz="4" w:space="0" w:color="auto"/>
              <w:right w:val="single" w:sz="4" w:space="0" w:color="auto"/>
            </w:tcBorders>
            <w:shd w:val="clear" w:color="000000" w:fill="F2F2F2"/>
            <w:noWrap/>
            <w:vAlign w:val="center"/>
            <w:hideMark/>
          </w:tcPr>
          <w:p w14:paraId="69E7207D"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62D65072"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52D91AF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820" w:type="dxa"/>
            <w:tcBorders>
              <w:top w:val="nil"/>
              <w:left w:val="nil"/>
              <w:bottom w:val="single" w:sz="4" w:space="0" w:color="auto"/>
              <w:right w:val="single" w:sz="4" w:space="0" w:color="auto"/>
            </w:tcBorders>
            <w:shd w:val="clear" w:color="000000" w:fill="F2F2F2"/>
            <w:noWrap/>
            <w:vAlign w:val="center"/>
            <w:hideMark/>
          </w:tcPr>
          <w:p w14:paraId="6DECC26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0,0068</w:t>
            </w:r>
          </w:p>
        </w:tc>
        <w:tc>
          <w:tcPr>
            <w:tcW w:w="907" w:type="dxa"/>
            <w:tcBorders>
              <w:top w:val="nil"/>
              <w:left w:val="nil"/>
              <w:bottom w:val="single" w:sz="4" w:space="0" w:color="auto"/>
              <w:right w:val="single" w:sz="4" w:space="0" w:color="auto"/>
            </w:tcBorders>
            <w:shd w:val="clear" w:color="000000" w:fill="F2F2F2"/>
            <w:noWrap/>
            <w:vAlign w:val="center"/>
            <w:hideMark/>
          </w:tcPr>
          <w:p w14:paraId="2EEBFF75"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444" w:type="dxa"/>
            <w:tcBorders>
              <w:top w:val="nil"/>
              <w:left w:val="nil"/>
              <w:bottom w:val="single" w:sz="4" w:space="0" w:color="auto"/>
              <w:right w:val="single" w:sz="4" w:space="0" w:color="auto"/>
            </w:tcBorders>
            <w:shd w:val="clear" w:color="000000" w:fill="F2F2F2"/>
            <w:noWrap/>
            <w:vAlign w:val="center"/>
            <w:hideMark/>
          </w:tcPr>
          <w:p w14:paraId="2EB3EAF8"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474A002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7CF51D73"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6277CEF1"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294AF1A8"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r>
      <w:tr w:rsidR="00552526" w:rsidRPr="00552526" w14:paraId="4ACD00B1" w14:textId="77777777" w:rsidTr="00C162B0">
        <w:trPr>
          <w:trHeight w:val="300"/>
          <w:jc w:val="center"/>
        </w:trPr>
        <w:tc>
          <w:tcPr>
            <w:tcW w:w="14454" w:type="dxa"/>
            <w:gridSpan w:val="13"/>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29EED779"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PLOCHY VÝROBY A SKLADOVÁNÍ</w:t>
            </w:r>
          </w:p>
        </w:tc>
      </w:tr>
      <w:tr w:rsidR="00C162B0" w:rsidRPr="00552526" w14:paraId="700D2E19"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35A067E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Z.13</w:t>
            </w:r>
          </w:p>
        </w:tc>
        <w:tc>
          <w:tcPr>
            <w:tcW w:w="960" w:type="dxa"/>
            <w:tcBorders>
              <w:top w:val="nil"/>
              <w:left w:val="nil"/>
              <w:bottom w:val="single" w:sz="4" w:space="0" w:color="auto"/>
              <w:right w:val="single" w:sz="4" w:space="0" w:color="auto"/>
            </w:tcBorders>
            <w:noWrap/>
            <w:vAlign w:val="center"/>
            <w:hideMark/>
          </w:tcPr>
          <w:p w14:paraId="65C0094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VL</w:t>
            </w:r>
          </w:p>
        </w:tc>
        <w:tc>
          <w:tcPr>
            <w:tcW w:w="960" w:type="dxa"/>
            <w:tcBorders>
              <w:top w:val="nil"/>
              <w:left w:val="nil"/>
              <w:bottom w:val="single" w:sz="4" w:space="0" w:color="auto"/>
              <w:right w:val="single" w:sz="4" w:space="0" w:color="auto"/>
            </w:tcBorders>
            <w:noWrap/>
            <w:vAlign w:val="center"/>
            <w:hideMark/>
          </w:tcPr>
          <w:p w14:paraId="1331A1C5" w14:textId="682721ED" w:rsidR="00552526" w:rsidRPr="00552526" w:rsidRDefault="00AC3D3F" w:rsidP="00552526">
            <w:pPr>
              <w:spacing w:after="0" w:line="240" w:lineRule="auto"/>
              <w:jc w:val="center"/>
              <w:rPr>
                <w:rFonts w:ascii="Calibri Light" w:eastAsia="Times New Roman" w:hAnsi="Calibri Light" w:cs="Calibri Light"/>
                <w:color w:val="000000"/>
                <w:sz w:val="18"/>
                <w:szCs w:val="18"/>
                <w:lang w:eastAsia="cs-CZ"/>
              </w:rPr>
            </w:pPr>
            <w:r>
              <w:rPr>
                <w:rFonts w:ascii="Calibri Light" w:eastAsia="Times New Roman" w:hAnsi="Calibri Light" w:cs="Calibri Light"/>
                <w:color w:val="000000"/>
                <w:sz w:val="18"/>
                <w:szCs w:val="18"/>
                <w:lang w:eastAsia="cs-CZ"/>
              </w:rPr>
              <w:t>2,1064</w:t>
            </w:r>
          </w:p>
        </w:tc>
        <w:tc>
          <w:tcPr>
            <w:tcW w:w="1062" w:type="dxa"/>
            <w:tcBorders>
              <w:top w:val="nil"/>
              <w:left w:val="nil"/>
              <w:bottom w:val="single" w:sz="4" w:space="0" w:color="auto"/>
              <w:right w:val="single" w:sz="4" w:space="0" w:color="auto"/>
            </w:tcBorders>
            <w:noWrap/>
            <w:vAlign w:val="center"/>
            <w:hideMark/>
          </w:tcPr>
          <w:p w14:paraId="7217D163" w14:textId="13766C3A" w:rsidR="00552526" w:rsidRPr="00552526" w:rsidRDefault="00AC3D3F" w:rsidP="00552526">
            <w:pPr>
              <w:spacing w:after="0" w:line="240" w:lineRule="auto"/>
              <w:jc w:val="center"/>
              <w:rPr>
                <w:rFonts w:ascii="Calibri Light" w:eastAsia="Times New Roman" w:hAnsi="Calibri Light" w:cs="Calibri Light"/>
                <w:color w:val="000000"/>
                <w:sz w:val="18"/>
                <w:szCs w:val="18"/>
                <w:lang w:eastAsia="cs-CZ"/>
              </w:rPr>
            </w:pPr>
            <w:r>
              <w:rPr>
                <w:rFonts w:ascii="Calibri Light" w:eastAsia="Times New Roman" w:hAnsi="Calibri Light" w:cs="Calibri Light"/>
                <w:color w:val="000000"/>
                <w:sz w:val="18"/>
                <w:szCs w:val="18"/>
                <w:lang w:eastAsia="cs-CZ"/>
              </w:rPr>
              <w:t>0,5943</w:t>
            </w:r>
          </w:p>
        </w:tc>
        <w:tc>
          <w:tcPr>
            <w:tcW w:w="907" w:type="dxa"/>
            <w:tcBorders>
              <w:top w:val="nil"/>
              <w:left w:val="nil"/>
              <w:bottom w:val="single" w:sz="4" w:space="0" w:color="auto"/>
              <w:right w:val="single" w:sz="4" w:space="0" w:color="auto"/>
            </w:tcBorders>
            <w:noWrap/>
            <w:vAlign w:val="center"/>
            <w:hideMark/>
          </w:tcPr>
          <w:p w14:paraId="16C8C67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2F7294AE" w14:textId="416F8912" w:rsidR="00552526" w:rsidRPr="00552526" w:rsidRDefault="00AC3D3F" w:rsidP="00552526">
            <w:pPr>
              <w:spacing w:after="0" w:line="240" w:lineRule="auto"/>
              <w:jc w:val="center"/>
              <w:rPr>
                <w:rFonts w:ascii="Calibri Light" w:eastAsia="Times New Roman" w:hAnsi="Calibri Light" w:cs="Calibri Light"/>
                <w:color w:val="000000"/>
                <w:sz w:val="18"/>
                <w:szCs w:val="18"/>
                <w:lang w:eastAsia="cs-CZ"/>
              </w:rPr>
            </w:pPr>
            <w:r>
              <w:rPr>
                <w:rFonts w:ascii="Calibri Light" w:eastAsia="Times New Roman" w:hAnsi="Calibri Light" w:cs="Calibri Light"/>
                <w:color w:val="000000"/>
                <w:sz w:val="18"/>
                <w:szCs w:val="18"/>
                <w:lang w:eastAsia="cs-CZ"/>
              </w:rPr>
              <w:t>0,9231</w:t>
            </w:r>
          </w:p>
        </w:tc>
        <w:tc>
          <w:tcPr>
            <w:tcW w:w="820" w:type="dxa"/>
            <w:tcBorders>
              <w:top w:val="nil"/>
              <w:left w:val="nil"/>
              <w:bottom w:val="single" w:sz="4" w:space="0" w:color="auto"/>
              <w:right w:val="single" w:sz="4" w:space="0" w:color="auto"/>
            </w:tcBorders>
            <w:noWrap/>
            <w:vAlign w:val="center"/>
            <w:hideMark/>
          </w:tcPr>
          <w:p w14:paraId="59BE9BB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0,589</w:t>
            </w:r>
          </w:p>
        </w:tc>
        <w:tc>
          <w:tcPr>
            <w:tcW w:w="907" w:type="dxa"/>
            <w:tcBorders>
              <w:top w:val="nil"/>
              <w:left w:val="nil"/>
              <w:bottom w:val="single" w:sz="4" w:space="0" w:color="auto"/>
              <w:right w:val="single" w:sz="4" w:space="0" w:color="auto"/>
            </w:tcBorders>
            <w:noWrap/>
            <w:vAlign w:val="center"/>
            <w:hideMark/>
          </w:tcPr>
          <w:p w14:paraId="0067D64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2A93463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6EFA8F1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1D4F5F8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0910D50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65C9213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r>
      <w:tr w:rsidR="00552526" w:rsidRPr="00552526" w14:paraId="2118A45F" w14:textId="77777777" w:rsidTr="00C162B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44AE6879"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Σ</w:t>
            </w:r>
          </w:p>
        </w:tc>
        <w:tc>
          <w:tcPr>
            <w:tcW w:w="960" w:type="dxa"/>
            <w:tcBorders>
              <w:top w:val="nil"/>
              <w:left w:val="nil"/>
              <w:bottom w:val="single" w:sz="4" w:space="0" w:color="auto"/>
              <w:right w:val="single" w:sz="4" w:space="0" w:color="auto"/>
            </w:tcBorders>
            <w:shd w:val="clear" w:color="000000" w:fill="F2F2F2"/>
            <w:noWrap/>
            <w:vAlign w:val="center"/>
            <w:hideMark/>
          </w:tcPr>
          <w:p w14:paraId="71EAB94E" w14:textId="7E797597" w:rsidR="00552526" w:rsidRPr="00552526" w:rsidRDefault="00A95984" w:rsidP="00552526">
            <w:pPr>
              <w:spacing w:after="0" w:line="240" w:lineRule="auto"/>
              <w:jc w:val="center"/>
              <w:rPr>
                <w:rFonts w:ascii="Calibri Light" w:eastAsia="Times New Roman" w:hAnsi="Calibri Light" w:cs="Calibri Light"/>
                <w:b/>
                <w:bCs/>
                <w:color w:val="000000"/>
                <w:sz w:val="18"/>
                <w:szCs w:val="18"/>
                <w:lang w:eastAsia="cs-CZ"/>
              </w:rPr>
            </w:pPr>
            <w:r>
              <w:rPr>
                <w:rFonts w:ascii="Calibri Light" w:eastAsia="Times New Roman" w:hAnsi="Calibri Light" w:cs="Calibri Light"/>
                <w:b/>
                <w:bCs/>
                <w:color w:val="000000"/>
                <w:sz w:val="18"/>
                <w:szCs w:val="18"/>
                <w:lang w:eastAsia="cs-CZ"/>
              </w:rPr>
              <w:t>2,1064</w:t>
            </w:r>
          </w:p>
        </w:tc>
        <w:tc>
          <w:tcPr>
            <w:tcW w:w="1062" w:type="dxa"/>
            <w:tcBorders>
              <w:top w:val="nil"/>
              <w:left w:val="nil"/>
              <w:bottom w:val="single" w:sz="4" w:space="0" w:color="auto"/>
              <w:right w:val="single" w:sz="4" w:space="0" w:color="auto"/>
            </w:tcBorders>
            <w:shd w:val="clear" w:color="000000" w:fill="F2F2F2"/>
            <w:noWrap/>
            <w:vAlign w:val="center"/>
            <w:hideMark/>
          </w:tcPr>
          <w:p w14:paraId="54D3CCE3" w14:textId="4EA2384A" w:rsidR="00552526" w:rsidRPr="00552526" w:rsidRDefault="00A95984" w:rsidP="00552526">
            <w:pPr>
              <w:spacing w:after="0" w:line="240" w:lineRule="auto"/>
              <w:jc w:val="center"/>
              <w:rPr>
                <w:rFonts w:ascii="Calibri Light" w:eastAsia="Times New Roman" w:hAnsi="Calibri Light" w:cs="Calibri Light"/>
                <w:b/>
                <w:bCs/>
                <w:color w:val="000000"/>
                <w:sz w:val="18"/>
                <w:szCs w:val="18"/>
                <w:lang w:eastAsia="cs-CZ"/>
              </w:rPr>
            </w:pPr>
            <w:r>
              <w:rPr>
                <w:rFonts w:ascii="Calibri Light" w:eastAsia="Times New Roman" w:hAnsi="Calibri Light" w:cs="Calibri Light"/>
                <w:b/>
                <w:bCs/>
                <w:color w:val="000000"/>
                <w:sz w:val="18"/>
                <w:szCs w:val="18"/>
                <w:lang w:eastAsia="cs-CZ"/>
              </w:rPr>
              <w:t>0,5943</w:t>
            </w:r>
          </w:p>
        </w:tc>
        <w:tc>
          <w:tcPr>
            <w:tcW w:w="907" w:type="dxa"/>
            <w:tcBorders>
              <w:top w:val="nil"/>
              <w:left w:val="nil"/>
              <w:bottom w:val="single" w:sz="4" w:space="0" w:color="auto"/>
              <w:right w:val="single" w:sz="4" w:space="0" w:color="auto"/>
            </w:tcBorders>
            <w:shd w:val="clear" w:color="000000" w:fill="F2F2F2"/>
            <w:noWrap/>
            <w:vAlign w:val="center"/>
            <w:hideMark/>
          </w:tcPr>
          <w:p w14:paraId="5C67FB80"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1C2851F1" w14:textId="6B3B8123" w:rsidR="00552526" w:rsidRPr="00552526" w:rsidRDefault="00A95984" w:rsidP="00552526">
            <w:pPr>
              <w:spacing w:after="0" w:line="240" w:lineRule="auto"/>
              <w:jc w:val="center"/>
              <w:rPr>
                <w:rFonts w:ascii="Calibri Light" w:eastAsia="Times New Roman" w:hAnsi="Calibri Light" w:cs="Calibri Light"/>
                <w:b/>
                <w:bCs/>
                <w:color w:val="000000"/>
                <w:sz w:val="18"/>
                <w:szCs w:val="18"/>
                <w:lang w:eastAsia="cs-CZ"/>
              </w:rPr>
            </w:pPr>
            <w:r>
              <w:rPr>
                <w:rFonts w:ascii="Calibri Light" w:eastAsia="Times New Roman" w:hAnsi="Calibri Light" w:cs="Calibri Light"/>
                <w:b/>
                <w:bCs/>
                <w:color w:val="000000"/>
                <w:sz w:val="18"/>
                <w:szCs w:val="18"/>
                <w:lang w:eastAsia="cs-CZ"/>
              </w:rPr>
              <w:t>0,9231</w:t>
            </w:r>
          </w:p>
        </w:tc>
        <w:tc>
          <w:tcPr>
            <w:tcW w:w="820" w:type="dxa"/>
            <w:tcBorders>
              <w:top w:val="nil"/>
              <w:left w:val="nil"/>
              <w:bottom w:val="single" w:sz="4" w:space="0" w:color="auto"/>
              <w:right w:val="single" w:sz="4" w:space="0" w:color="auto"/>
            </w:tcBorders>
            <w:shd w:val="clear" w:color="000000" w:fill="F2F2F2"/>
            <w:noWrap/>
            <w:vAlign w:val="center"/>
            <w:hideMark/>
          </w:tcPr>
          <w:p w14:paraId="51DC485E"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0,589</w:t>
            </w:r>
          </w:p>
        </w:tc>
        <w:tc>
          <w:tcPr>
            <w:tcW w:w="907" w:type="dxa"/>
            <w:tcBorders>
              <w:top w:val="nil"/>
              <w:left w:val="nil"/>
              <w:bottom w:val="single" w:sz="4" w:space="0" w:color="auto"/>
              <w:right w:val="single" w:sz="4" w:space="0" w:color="auto"/>
            </w:tcBorders>
            <w:shd w:val="clear" w:color="000000" w:fill="F2F2F2"/>
            <w:noWrap/>
            <w:vAlign w:val="center"/>
            <w:hideMark/>
          </w:tcPr>
          <w:p w14:paraId="0AD1125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444" w:type="dxa"/>
            <w:tcBorders>
              <w:top w:val="nil"/>
              <w:left w:val="nil"/>
              <w:bottom w:val="single" w:sz="4" w:space="0" w:color="auto"/>
              <w:right w:val="single" w:sz="4" w:space="0" w:color="auto"/>
            </w:tcBorders>
            <w:shd w:val="clear" w:color="000000" w:fill="F2F2F2"/>
            <w:noWrap/>
            <w:vAlign w:val="center"/>
            <w:hideMark/>
          </w:tcPr>
          <w:p w14:paraId="11BA8049"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3AD825B8"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112BDC56"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5AB09693"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438D5C3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r>
      <w:tr w:rsidR="00552526" w:rsidRPr="00552526" w14:paraId="7E85FFB2" w14:textId="77777777" w:rsidTr="00C162B0">
        <w:trPr>
          <w:trHeight w:val="300"/>
          <w:jc w:val="center"/>
        </w:trPr>
        <w:tc>
          <w:tcPr>
            <w:tcW w:w="14454" w:type="dxa"/>
            <w:gridSpan w:val="13"/>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49668EED"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PLOCHY SMÍŠENÉ NEZASTAVĚNÉHO ÚZEMÍ</w:t>
            </w:r>
          </w:p>
        </w:tc>
      </w:tr>
      <w:tr w:rsidR="00C162B0" w:rsidRPr="00552526" w14:paraId="3CEB197B"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75AF5B8D"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K.01</w:t>
            </w:r>
          </w:p>
        </w:tc>
        <w:tc>
          <w:tcPr>
            <w:tcW w:w="960" w:type="dxa"/>
            <w:tcBorders>
              <w:top w:val="nil"/>
              <w:left w:val="nil"/>
              <w:bottom w:val="single" w:sz="4" w:space="0" w:color="auto"/>
              <w:right w:val="single" w:sz="4" w:space="0" w:color="auto"/>
            </w:tcBorders>
            <w:noWrap/>
            <w:vAlign w:val="center"/>
            <w:hideMark/>
          </w:tcPr>
          <w:p w14:paraId="6358353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proofErr w:type="gramStart"/>
            <w:r w:rsidRPr="00552526">
              <w:rPr>
                <w:rFonts w:ascii="Calibri Light" w:eastAsia="Times New Roman" w:hAnsi="Calibri Light" w:cs="Calibri Light"/>
                <w:color w:val="000000"/>
                <w:sz w:val="18"/>
                <w:szCs w:val="18"/>
                <w:lang w:eastAsia="cs-CZ"/>
              </w:rPr>
              <w:t>MU.zp</w:t>
            </w:r>
            <w:proofErr w:type="gramEnd"/>
          </w:p>
        </w:tc>
        <w:tc>
          <w:tcPr>
            <w:tcW w:w="960" w:type="dxa"/>
            <w:tcBorders>
              <w:top w:val="nil"/>
              <w:left w:val="nil"/>
              <w:bottom w:val="single" w:sz="4" w:space="0" w:color="auto"/>
              <w:right w:val="single" w:sz="4" w:space="0" w:color="auto"/>
            </w:tcBorders>
            <w:noWrap/>
            <w:vAlign w:val="center"/>
            <w:hideMark/>
          </w:tcPr>
          <w:p w14:paraId="49FE8F1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0,3703</w:t>
            </w:r>
          </w:p>
        </w:tc>
        <w:tc>
          <w:tcPr>
            <w:tcW w:w="1062" w:type="dxa"/>
            <w:tcBorders>
              <w:top w:val="nil"/>
              <w:left w:val="nil"/>
              <w:bottom w:val="single" w:sz="4" w:space="0" w:color="auto"/>
              <w:right w:val="single" w:sz="4" w:space="0" w:color="auto"/>
            </w:tcBorders>
            <w:noWrap/>
            <w:vAlign w:val="center"/>
            <w:hideMark/>
          </w:tcPr>
          <w:p w14:paraId="45C3645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73ECCC9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5E71DA8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50D8674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0,3703</w:t>
            </w:r>
          </w:p>
        </w:tc>
        <w:tc>
          <w:tcPr>
            <w:tcW w:w="907" w:type="dxa"/>
            <w:tcBorders>
              <w:top w:val="nil"/>
              <w:left w:val="nil"/>
              <w:bottom w:val="single" w:sz="4" w:space="0" w:color="auto"/>
              <w:right w:val="single" w:sz="4" w:space="0" w:color="auto"/>
            </w:tcBorders>
            <w:noWrap/>
            <w:vAlign w:val="center"/>
            <w:hideMark/>
          </w:tcPr>
          <w:p w14:paraId="18FF9FA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219DC49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0,37</w:t>
            </w:r>
          </w:p>
        </w:tc>
        <w:tc>
          <w:tcPr>
            <w:tcW w:w="1382" w:type="dxa"/>
            <w:tcBorders>
              <w:top w:val="nil"/>
              <w:left w:val="nil"/>
              <w:bottom w:val="single" w:sz="4" w:space="0" w:color="auto"/>
              <w:right w:val="single" w:sz="4" w:space="0" w:color="auto"/>
            </w:tcBorders>
            <w:noWrap/>
            <w:vAlign w:val="center"/>
            <w:hideMark/>
          </w:tcPr>
          <w:p w14:paraId="3C8B50F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47ADB61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6E30AB6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5C2CC76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w:t>
            </w:r>
          </w:p>
        </w:tc>
      </w:tr>
      <w:tr w:rsidR="00552526" w:rsidRPr="00552526" w14:paraId="19A9420E" w14:textId="77777777" w:rsidTr="00C162B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223D53B6"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Σ</w:t>
            </w:r>
          </w:p>
        </w:tc>
        <w:tc>
          <w:tcPr>
            <w:tcW w:w="960" w:type="dxa"/>
            <w:tcBorders>
              <w:top w:val="nil"/>
              <w:left w:val="nil"/>
              <w:bottom w:val="single" w:sz="4" w:space="0" w:color="auto"/>
              <w:right w:val="single" w:sz="4" w:space="0" w:color="auto"/>
            </w:tcBorders>
            <w:shd w:val="clear" w:color="000000" w:fill="F2F2F2"/>
            <w:noWrap/>
            <w:vAlign w:val="center"/>
            <w:hideMark/>
          </w:tcPr>
          <w:p w14:paraId="25C1204C"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0,3703</w:t>
            </w:r>
          </w:p>
        </w:tc>
        <w:tc>
          <w:tcPr>
            <w:tcW w:w="1062" w:type="dxa"/>
            <w:tcBorders>
              <w:top w:val="nil"/>
              <w:left w:val="nil"/>
              <w:bottom w:val="single" w:sz="4" w:space="0" w:color="auto"/>
              <w:right w:val="single" w:sz="4" w:space="0" w:color="auto"/>
            </w:tcBorders>
            <w:shd w:val="clear" w:color="000000" w:fill="F2F2F2"/>
            <w:noWrap/>
            <w:vAlign w:val="center"/>
            <w:hideMark/>
          </w:tcPr>
          <w:p w14:paraId="7D00B968"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1FD5B4A8"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64805DD5"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820" w:type="dxa"/>
            <w:tcBorders>
              <w:top w:val="nil"/>
              <w:left w:val="nil"/>
              <w:bottom w:val="single" w:sz="4" w:space="0" w:color="auto"/>
              <w:right w:val="single" w:sz="4" w:space="0" w:color="auto"/>
            </w:tcBorders>
            <w:shd w:val="clear" w:color="000000" w:fill="F2F2F2"/>
            <w:noWrap/>
            <w:vAlign w:val="center"/>
            <w:hideMark/>
          </w:tcPr>
          <w:p w14:paraId="2B9C9530"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0,3703</w:t>
            </w:r>
          </w:p>
        </w:tc>
        <w:tc>
          <w:tcPr>
            <w:tcW w:w="907" w:type="dxa"/>
            <w:tcBorders>
              <w:top w:val="nil"/>
              <w:left w:val="nil"/>
              <w:bottom w:val="single" w:sz="4" w:space="0" w:color="auto"/>
              <w:right w:val="single" w:sz="4" w:space="0" w:color="auto"/>
            </w:tcBorders>
            <w:shd w:val="clear" w:color="000000" w:fill="F2F2F2"/>
            <w:noWrap/>
            <w:vAlign w:val="center"/>
            <w:hideMark/>
          </w:tcPr>
          <w:p w14:paraId="31141FFD"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444" w:type="dxa"/>
            <w:tcBorders>
              <w:top w:val="nil"/>
              <w:left w:val="nil"/>
              <w:bottom w:val="single" w:sz="4" w:space="0" w:color="auto"/>
              <w:right w:val="single" w:sz="4" w:space="0" w:color="auto"/>
            </w:tcBorders>
            <w:shd w:val="clear" w:color="000000" w:fill="F2F2F2"/>
            <w:noWrap/>
            <w:vAlign w:val="center"/>
            <w:hideMark/>
          </w:tcPr>
          <w:p w14:paraId="6C1C06AC"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0,37</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0A38E58E"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43CB2FC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64F5ED04"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4992A3F8"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r>
      <w:tr w:rsidR="00552526" w:rsidRPr="00552526" w14:paraId="7BA89123" w14:textId="77777777" w:rsidTr="00C162B0">
        <w:trPr>
          <w:trHeight w:val="300"/>
          <w:jc w:val="center"/>
        </w:trPr>
        <w:tc>
          <w:tcPr>
            <w:tcW w:w="14454" w:type="dxa"/>
            <w:gridSpan w:val="13"/>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0D57C837"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PLOCHY PŘÍRODNÍ</w:t>
            </w:r>
          </w:p>
        </w:tc>
      </w:tr>
      <w:tr w:rsidR="00C162B0" w:rsidRPr="00552526" w14:paraId="42DAE933"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0CD4DD8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K.02</w:t>
            </w:r>
          </w:p>
        </w:tc>
        <w:tc>
          <w:tcPr>
            <w:tcW w:w="960" w:type="dxa"/>
            <w:tcBorders>
              <w:top w:val="nil"/>
              <w:left w:val="nil"/>
              <w:bottom w:val="single" w:sz="4" w:space="0" w:color="auto"/>
              <w:right w:val="single" w:sz="4" w:space="0" w:color="auto"/>
            </w:tcBorders>
            <w:noWrap/>
            <w:vAlign w:val="center"/>
            <w:hideMark/>
          </w:tcPr>
          <w:p w14:paraId="5D4380F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NU</w:t>
            </w:r>
          </w:p>
        </w:tc>
        <w:tc>
          <w:tcPr>
            <w:tcW w:w="960" w:type="dxa"/>
            <w:tcBorders>
              <w:top w:val="nil"/>
              <w:left w:val="nil"/>
              <w:bottom w:val="single" w:sz="4" w:space="0" w:color="auto"/>
              <w:right w:val="single" w:sz="4" w:space="0" w:color="auto"/>
            </w:tcBorders>
            <w:noWrap/>
            <w:vAlign w:val="center"/>
            <w:hideMark/>
          </w:tcPr>
          <w:p w14:paraId="01B6BC4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1,0235</w:t>
            </w:r>
          </w:p>
        </w:tc>
        <w:tc>
          <w:tcPr>
            <w:tcW w:w="1062" w:type="dxa"/>
            <w:tcBorders>
              <w:top w:val="nil"/>
              <w:left w:val="nil"/>
              <w:bottom w:val="single" w:sz="4" w:space="0" w:color="auto"/>
              <w:right w:val="single" w:sz="4" w:space="0" w:color="auto"/>
            </w:tcBorders>
            <w:noWrap/>
            <w:vAlign w:val="center"/>
            <w:hideMark/>
          </w:tcPr>
          <w:p w14:paraId="5A60B22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1,0235</w:t>
            </w:r>
          </w:p>
        </w:tc>
        <w:tc>
          <w:tcPr>
            <w:tcW w:w="907" w:type="dxa"/>
            <w:tcBorders>
              <w:top w:val="nil"/>
              <w:left w:val="nil"/>
              <w:bottom w:val="single" w:sz="4" w:space="0" w:color="auto"/>
              <w:right w:val="single" w:sz="4" w:space="0" w:color="auto"/>
            </w:tcBorders>
            <w:noWrap/>
            <w:vAlign w:val="center"/>
            <w:hideMark/>
          </w:tcPr>
          <w:p w14:paraId="4A9F3FE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5A63B1E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3DAC9FB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2279180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1A9BED3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6AE7DF3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5C6B66C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1F5378E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6051F2C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r>
      <w:tr w:rsidR="00C162B0" w:rsidRPr="00552526" w14:paraId="61702C17"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63311281"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K.03</w:t>
            </w:r>
          </w:p>
        </w:tc>
        <w:tc>
          <w:tcPr>
            <w:tcW w:w="960" w:type="dxa"/>
            <w:tcBorders>
              <w:top w:val="nil"/>
              <w:left w:val="nil"/>
              <w:bottom w:val="single" w:sz="4" w:space="0" w:color="auto"/>
              <w:right w:val="single" w:sz="4" w:space="0" w:color="auto"/>
            </w:tcBorders>
            <w:noWrap/>
            <w:vAlign w:val="center"/>
            <w:hideMark/>
          </w:tcPr>
          <w:p w14:paraId="6C9FDBE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NU</w:t>
            </w:r>
          </w:p>
        </w:tc>
        <w:tc>
          <w:tcPr>
            <w:tcW w:w="960" w:type="dxa"/>
            <w:tcBorders>
              <w:top w:val="nil"/>
              <w:left w:val="nil"/>
              <w:bottom w:val="single" w:sz="4" w:space="0" w:color="auto"/>
              <w:right w:val="single" w:sz="4" w:space="0" w:color="auto"/>
            </w:tcBorders>
            <w:noWrap/>
            <w:vAlign w:val="center"/>
            <w:hideMark/>
          </w:tcPr>
          <w:p w14:paraId="4BC4A64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3,4826</w:t>
            </w:r>
          </w:p>
        </w:tc>
        <w:tc>
          <w:tcPr>
            <w:tcW w:w="1062" w:type="dxa"/>
            <w:tcBorders>
              <w:top w:val="nil"/>
              <w:left w:val="nil"/>
              <w:bottom w:val="single" w:sz="4" w:space="0" w:color="auto"/>
              <w:right w:val="single" w:sz="4" w:space="0" w:color="auto"/>
            </w:tcBorders>
            <w:noWrap/>
            <w:vAlign w:val="center"/>
            <w:hideMark/>
          </w:tcPr>
          <w:p w14:paraId="522BDED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3,4826</w:t>
            </w:r>
          </w:p>
        </w:tc>
        <w:tc>
          <w:tcPr>
            <w:tcW w:w="907" w:type="dxa"/>
            <w:tcBorders>
              <w:top w:val="nil"/>
              <w:left w:val="nil"/>
              <w:bottom w:val="single" w:sz="4" w:space="0" w:color="auto"/>
              <w:right w:val="single" w:sz="4" w:space="0" w:color="auto"/>
            </w:tcBorders>
            <w:noWrap/>
            <w:vAlign w:val="center"/>
            <w:hideMark/>
          </w:tcPr>
          <w:p w14:paraId="780FB66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0DD5ED1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62F4F9BF"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6B1DFA4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7817C3E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42C402E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74AF835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0C4DDE39"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2252E6E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r>
      <w:tr w:rsidR="00C162B0" w:rsidRPr="00552526" w14:paraId="6073B038"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27584CD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K.04</w:t>
            </w:r>
          </w:p>
        </w:tc>
        <w:tc>
          <w:tcPr>
            <w:tcW w:w="960" w:type="dxa"/>
            <w:tcBorders>
              <w:top w:val="nil"/>
              <w:left w:val="nil"/>
              <w:bottom w:val="single" w:sz="4" w:space="0" w:color="auto"/>
              <w:right w:val="single" w:sz="4" w:space="0" w:color="auto"/>
            </w:tcBorders>
            <w:noWrap/>
            <w:vAlign w:val="center"/>
            <w:hideMark/>
          </w:tcPr>
          <w:p w14:paraId="0188AFD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NU</w:t>
            </w:r>
          </w:p>
        </w:tc>
        <w:tc>
          <w:tcPr>
            <w:tcW w:w="960" w:type="dxa"/>
            <w:tcBorders>
              <w:top w:val="nil"/>
              <w:left w:val="nil"/>
              <w:bottom w:val="single" w:sz="4" w:space="0" w:color="auto"/>
              <w:right w:val="single" w:sz="4" w:space="0" w:color="auto"/>
            </w:tcBorders>
            <w:noWrap/>
            <w:vAlign w:val="center"/>
            <w:hideMark/>
          </w:tcPr>
          <w:p w14:paraId="73CDCB5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1,4025</w:t>
            </w:r>
          </w:p>
        </w:tc>
        <w:tc>
          <w:tcPr>
            <w:tcW w:w="1062" w:type="dxa"/>
            <w:tcBorders>
              <w:top w:val="nil"/>
              <w:left w:val="nil"/>
              <w:bottom w:val="single" w:sz="4" w:space="0" w:color="auto"/>
              <w:right w:val="single" w:sz="4" w:space="0" w:color="auto"/>
            </w:tcBorders>
            <w:noWrap/>
            <w:vAlign w:val="center"/>
            <w:hideMark/>
          </w:tcPr>
          <w:p w14:paraId="38FF212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1,4025</w:t>
            </w:r>
          </w:p>
        </w:tc>
        <w:tc>
          <w:tcPr>
            <w:tcW w:w="907" w:type="dxa"/>
            <w:tcBorders>
              <w:top w:val="nil"/>
              <w:left w:val="nil"/>
              <w:bottom w:val="single" w:sz="4" w:space="0" w:color="auto"/>
              <w:right w:val="single" w:sz="4" w:space="0" w:color="auto"/>
            </w:tcBorders>
            <w:noWrap/>
            <w:vAlign w:val="center"/>
            <w:hideMark/>
          </w:tcPr>
          <w:p w14:paraId="2EA791F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6D96639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3D76F1DE"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1729A80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3420720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5BC3740C"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7447D3B6"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c>
          <w:tcPr>
            <w:tcW w:w="1382" w:type="dxa"/>
            <w:tcBorders>
              <w:top w:val="nil"/>
              <w:left w:val="nil"/>
              <w:bottom w:val="single" w:sz="4" w:space="0" w:color="auto"/>
              <w:right w:val="single" w:sz="4" w:space="0" w:color="auto"/>
            </w:tcBorders>
            <w:noWrap/>
            <w:vAlign w:val="center"/>
            <w:hideMark/>
          </w:tcPr>
          <w:p w14:paraId="0291E7C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32757E1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r>
      <w:tr w:rsidR="00C162B0" w:rsidRPr="00552526" w14:paraId="01BAC5EA" w14:textId="77777777" w:rsidTr="00C162B0">
        <w:trPr>
          <w:trHeight w:val="300"/>
          <w:jc w:val="center"/>
        </w:trPr>
        <w:tc>
          <w:tcPr>
            <w:tcW w:w="959" w:type="dxa"/>
            <w:tcBorders>
              <w:top w:val="nil"/>
              <w:left w:val="single" w:sz="4" w:space="0" w:color="auto"/>
              <w:bottom w:val="single" w:sz="4" w:space="0" w:color="auto"/>
              <w:right w:val="single" w:sz="4" w:space="0" w:color="auto"/>
            </w:tcBorders>
            <w:noWrap/>
            <w:vAlign w:val="center"/>
            <w:hideMark/>
          </w:tcPr>
          <w:p w14:paraId="513C401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K.05</w:t>
            </w:r>
          </w:p>
        </w:tc>
        <w:tc>
          <w:tcPr>
            <w:tcW w:w="960" w:type="dxa"/>
            <w:tcBorders>
              <w:top w:val="nil"/>
              <w:left w:val="nil"/>
              <w:bottom w:val="single" w:sz="4" w:space="0" w:color="auto"/>
              <w:right w:val="single" w:sz="4" w:space="0" w:color="auto"/>
            </w:tcBorders>
            <w:noWrap/>
            <w:vAlign w:val="center"/>
            <w:hideMark/>
          </w:tcPr>
          <w:p w14:paraId="0F7393D7"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NU</w:t>
            </w:r>
          </w:p>
        </w:tc>
        <w:tc>
          <w:tcPr>
            <w:tcW w:w="960" w:type="dxa"/>
            <w:tcBorders>
              <w:top w:val="nil"/>
              <w:left w:val="nil"/>
              <w:bottom w:val="single" w:sz="4" w:space="0" w:color="auto"/>
              <w:right w:val="single" w:sz="4" w:space="0" w:color="auto"/>
            </w:tcBorders>
            <w:noWrap/>
            <w:vAlign w:val="center"/>
            <w:hideMark/>
          </w:tcPr>
          <w:p w14:paraId="5FFB5EA5"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0,2171</w:t>
            </w:r>
          </w:p>
        </w:tc>
        <w:tc>
          <w:tcPr>
            <w:tcW w:w="1062" w:type="dxa"/>
            <w:tcBorders>
              <w:top w:val="nil"/>
              <w:left w:val="nil"/>
              <w:bottom w:val="single" w:sz="4" w:space="0" w:color="auto"/>
              <w:right w:val="single" w:sz="4" w:space="0" w:color="auto"/>
            </w:tcBorders>
            <w:noWrap/>
            <w:vAlign w:val="center"/>
            <w:hideMark/>
          </w:tcPr>
          <w:p w14:paraId="496ABAFB"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0,2171</w:t>
            </w:r>
          </w:p>
        </w:tc>
        <w:tc>
          <w:tcPr>
            <w:tcW w:w="907" w:type="dxa"/>
            <w:tcBorders>
              <w:top w:val="nil"/>
              <w:left w:val="nil"/>
              <w:bottom w:val="single" w:sz="4" w:space="0" w:color="auto"/>
              <w:right w:val="single" w:sz="4" w:space="0" w:color="auto"/>
            </w:tcBorders>
            <w:noWrap/>
            <w:vAlign w:val="center"/>
            <w:hideMark/>
          </w:tcPr>
          <w:p w14:paraId="1E93FD4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2E67B12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820" w:type="dxa"/>
            <w:tcBorders>
              <w:top w:val="nil"/>
              <w:left w:val="nil"/>
              <w:bottom w:val="single" w:sz="4" w:space="0" w:color="auto"/>
              <w:right w:val="single" w:sz="4" w:space="0" w:color="auto"/>
            </w:tcBorders>
            <w:noWrap/>
            <w:vAlign w:val="center"/>
            <w:hideMark/>
          </w:tcPr>
          <w:p w14:paraId="5B041FC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4842E8E2"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444" w:type="dxa"/>
            <w:tcBorders>
              <w:top w:val="nil"/>
              <w:left w:val="nil"/>
              <w:bottom w:val="single" w:sz="4" w:space="0" w:color="auto"/>
              <w:right w:val="single" w:sz="4" w:space="0" w:color="auto"/>
            </w:tcBorders>
            <w:noWrap/>
            <w:vAlign w:val="center"/>
            <w:hideMark/>
          </w:tcPr>
          <w:p w14:paraId="49ED01AA"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0</w:t>
            </w:r>
          </w:p>
        </w:tc>
        <w:tc>
          <w:tcPr>
            <w:tcW w:w="1382" w:type="dxa"/>
            <w:tcBorders>
              <w:top w:val="nil"/>
              <w:left w:val="nil"/>
              <w:bottom w:val="single" w:sz="4" w:space="0" w:color="auto"/>
              <w:right w:val="single" w:sz="4" w:space="0" w:color="auto"/>
            </w:tcBorders>
            <w:noWrap/>
            <w:vAlign w:val="center"/>
            <w:hideMark/>
          </w:tcPr>
          <w:p w14:paraId="2465AF40"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6C00F194"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c>
          <w:tcPr>
            <w:tcW w:w="1382" w:type="dxa"/>
            <w:tcBorders>
              <w:top w:val="nil"/>
              <w:left w:val="nil"/>
              <w:bottom w:val="single" w:sz="4" w:space="0" w:color="auto"/>
              <w:right w:val="single" w:sz="4" w:space="0" w:color="auto"/>
            </w:tcBorders>
            <w:noWrap/>
            <w:vAlign w:val="center"/>
            <w:hideMark/>
          </w:tcPr>
          <w:p w14:paraId="7B40B7F8"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NE</w:t>
            </w:r>
          </w:p>
        </w:tc>
        <w:tc>
          <w:tcPr>
            <w:tcW w:w="1382" w:type="dxa"/>
            <w:tcBorders>
              <w:top w:val="nil"/>
              <w:left w:val="nil"/>
              <w:bottom w:val="single" w:sz="4" w:space="0" w:color="auto"/>
              <w:right w:val="single" w:sz="4" w:space="0" w:color="auto"/>
            </w:tcBorders>
            <w:noWrap/>
            <w:vAlign w:val="center"/>
            <w:hideMark/>
          </w:tcPr>
          <w:p w14:paraId="7CDE9303" w14:textId="77777777" w:rsidR="00552526" w:rsidRPr="00552526" w:rsidRDefault="00552526" w:rsidP="00552526">
            <w:pPr>
              <w:spacing w:after="0" w:line="240" w:lineRule="auto"/>
              <w:jc w:val="center"/>
              <w:rPr>
                <w:rFonts w:ascii="Calibri Light" w:eastAsia="Times New Roman" w:hAnsi="Calibri Light" w:cs="Calibri Light"/>
                <w:color w:val="000000"/>
                <w:sz w:val="18"/>
                <w:szCs w:val="18"/>
                <w:lang w:eastAsia="cs-CZ"/>
              </w:rPr>
            </w:pPr>
            <w:r w:rsidRPr="00552526">
              <w:rPr>
                <w:rFonts w:ascii="Calibri Light" w:eastAsia="Times New Roman" w:hAnsi="Calibri Light" w:cs="Calibri Light"/>
                <w:color w:val="000000"/>
                <w:sz w:val="18"/>
                <w:szCs w:val="18"/>
                <w:lang w:eastAsia="cs-CZ"/>
              </w:rPr>
              <w:t>ANO</w:t>
            </w:r>
          </w:p>
        </w:tc>
      </w:tr>
      <w:tr w:rsidR="00552526" w:rsidRPr="00552526" w14:paraId="33042D4E" w14:textId="77777777" w:rsidTr="00C162B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F2F2F2"/>
            <w:noWrap/>
            <w:vAlign w:val="center"/>
            <w:hideMark/>
          </w:tcPr>
          <w:p w14:paraId="7547642B"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Σ</w:t>
            </w:r>
          </w:p>
        </w:tc>
        <w:tc>
          <w:tcPr>
            <w:tcW w:w="960" w:type="dxa"/>
            <w:tcBorders>
              <w:top w:val="nil"/>
              <w:left w:val="nil"/>
              <w:bottom w:val="single" w:sz="4" w:space="0" w:color="auto"/>
              <w:right w:val="single" w:sz="4" w:space="0" w:color="auto"/>
            </w:tcBorders>
            <w:shd w:val="clear" w:color="000000" w:fill="F2F2F2"/>
            <w:noWrap/>
            <w:vAlign w:val="center"/>
            <w:hideMark/>
          </w:tcPr>
          <w:p w14:paraId="4EDAAE5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6,1257</w:t>
            </w:r>
          </w:p>
        </w:tc>
        <w:tc>
          <w:tcPr>
            <w:tcW w:w="1062" w:type="dxa"/>
            <w:tcBorders>
              <w:top w:val="nil"/>
              <w:left w:val="nil"/>
              <w:bottom w:val="single" w:sz="4" w:space="0" w:color="auto"/>
              <w:right w:val="single" w:sz="4" w:space="0" w:color="auto"/>
            </w:tcBorders>
            <w:shd w:val="clear" w:color="000000" w:fill="F2F2F2"/>
            <w:noWrap/>
            <w:vAlign w:val="center"/>
            <w:hideMark/>
          </w:tcPr>
          <w:p w14:paraId="366060E2"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6,1257</w:t>
            </w:r>
          </w:p>
        </w:tc>
        <w:tc>
          <w:tcPr>
            <w:tcW w:w="907" w:type="dxa"/>
            <w:tcBorders>
              <w:top w:val="nil"/>
              <w:left w:val="nil"/>
              <w:bottom w:val="single" w:sz="4" w:space="0" w:color="auto"/>
              <w:right w:val="single" w:sz="4" w:space="0" w:color="auto"/>
            </w:tcBorders>
            <w:shd w:val="clear" w:color="000000" w:fill="F2F2F2"/>
            <w:noWrap/>
            <w:vAlign w:val="center"/>
            <w:hideMark/>
          </w:tcPr>
          <w:p w14:paraId="2A7186EF"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60524794"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820" w:type="dxa"/>
            <w:tcBorders>
              <w:top w:val="nil"/>
              <w:left w:val="nil"/>
              <w:bottom w:val="single" w:sz="4" w:space="0" w:color="auto"/>
              <w:right w:val="single" w:sz="4" w:space="0" w:color="auto"/>
            </w:tcBorders>
            <w:shd w:val="clear" w:color="000000" w:fill="F2F2F2"/>
            <w:noWrap/>
            <w:vAlign w:val="center"/>
            <w:hideMark/>
          </w:tcPr>
          <w:p w14:paraId="4F90E0EA"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907" w:type="dxa"/>
            <w:tcBorders>
              <w:top w:val="nil"/>
              <w:left w:val="nil"/>
              <w:bottom w:val="single" w:sz="4" w:space="0" w:color="auto"/>
              <w:right w:val="single" w:sz="4" w:space="0" w:color="auto"/>
            </w:tcBorders>
            <w:shd w:val="clear" w:color="000000" w:fill="F2F2F2"/>
            <w:noWrap/>
            <w:vAlign w:val="center"/>
            <w:hideMark/>
          </w:tcPr>
          <w:p w14:paraId="04115D48"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444" w:type="dxa"/>
            <w:tcBorders>
              <w:top w:val="nil"/>
              <w:left w:val="nil"/>
              <w:bottom w:val="single" w:sz="4" w:space="0" w:color="auto"/>
              <w:right w:val="single" w:sz="4" w:space="0" w:color="auto"/>
            </w:tcBorders>
            <w:shd w:val="clear" w:color="000000" w:fill="F2F2F2"/>
            <w:noWrap/>
            <w:vAlign w:val="center"/>
            <w:hideMark/>
          </w:tcPr>
          <w:p w14:paraId="293458B1"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0</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583B475B"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752D4BB7"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65BEADA1"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F2F2F2"/>
            <w:noWrap/>
            <w:vAlign w:val="center"/>
            <w:hideMark/>
          </w:tcPr>
          <w:p w14:paraId="5F17E6F5" w14:textId="77777777" w:rsidR="00552526" w:rsidRPr="00552526" w:rsidRDefault="00552526" w:rsidP="00552526">
            <w:pPr>
              <w:spacing w:after="0" w:line="240" w:lineRule="auto"/>
              <w:jc w:val="center"/>
              <w:rPr>
                <w:rFonts w:ascii="Calibri Light" w:eastAsia="Times New Roman" w:hAnsi="Calibri Light" w:cs="Calibri Light"/>
                <w:b/>
                <w:bCs/>
                <w:color w:val="000000"/>
                <w:sz w:val="18"/>
                <w:szCs w:val="18"/>
                <w:lang w:eastAsia="cs-CZ"/>
              </w:rPr>
            </w:pPr>
            <w:r w:rsidRPr="00552526">
              <w:rPr>
                <w:rFonts w:ascii="Calibri Light" w:eastAsia="Times New Roman" w:hAnsi="Calibri Light" w:cs="Calibri Light"/>
                <w:b/>
                <w:bCs/>
                <w:color w:val="000000"/>
                <w:sz w:val="18"/>
                <w:szCs w:val="18"/>
                <w:lang w:eastAsia="cs-CZ"/>
              </w:rPr>
              <w:t> </w:t>
            </w:r>
          </w:p>
        </w:tc>
      </w:tr>
      <w:tr w:rsidR="00EF7150" w:rsidRPr="00552526" w14:paraId="38FA1A66" w14:textId="77777777" w:rsidTr="00C162B0">
        <w:trPr>
          <w:trHeight w:val="300"/>
          <w:jc w:val="center"/>
        </w:trPr>
        <w:tc>
          <w:tcPr>
            <w:tcW w:w="1919" w:type="dxa"/>
            <w:gridSpan w:val="2"/>
            <w:tcBorders>
              <w:top w:val="single" w:sz="4" w:space="0" w:color="auto"/>
              <w:left w:val="single" w:sz="4" w:space="0" w:color="auto"/>
              <w:bottom w:val="single" w:sz="4" w:space="0" w:color="auto"/>
              <w:right w:val="single" w:sz="4" w:space="0" w:color="auto"/>
            </w:tcBorders>
            <w:shd w:val="clear" w:color="000000" w:fill="70AD47"/>
            <w:noWrap/>
            <w:vAlign w:val="center"/>
            <w:hideMark/>
          </w:tcPr>
          <w:p w14:paraId="424ADD2E"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Σ</w:t>
            </w:r>
          </w:p>
        </w:tc>
        <w:tc>
          <w:tcPr>
            <w:tcW w:w="960" w:type="dxa"/>
            <w:tcBorders>
              <w:top w:val="nil"/>
              <w:left w:val="nil"/>
              <w:bottom w:val="single" w:sz="4" w:space="0" w:color="auto"/>
              <w:right w:val="single" w:sz="4" w:space="0" w:color="auto"/>
            </w:tcBorders>
            <w:shd w:val="clear" w:color="000000" w:fill="70AD47"/>
            <w:noWrap/>
            <w:vAlign w:val="center"/>
            <w:hideMark/>
          </w:tcPr>
          <w:p w14:paraId="4D14115D" w14:textId="174F69C2" w:rsidR="00EF7150" w:rsidRPr="00552526" w:rsidRDefault="00A95984" w:rsidP="00EF7150">
            <w:pPr>
              <w:spacing w:after="0" w:line="240" w:lineRule="auto"/>
              <w:jc w:val="center"/>
              <w:rPr>
                <w:rFonts w:ascii="Calibri Light" w:eastAsia="Times New Roman" w:hAnsi="Calibri Light" w:cs="Calibri Light"/>
                <w:b/>
                <w:bCs/>
                <w:color w:val="000000"/>
                <w:sz w:val="20"/>
                <w:szCs w:val="20"/>
                <w:lang w:eastAsia="cs-CZ"/>
              </w:rPr>
            </w:pPr>
            <w:r>
              <w:rPr>
                <w:rFonts w:ascii="Calibri Light" w:hAnsi="Calibri Light" w:cs="Calibri Light"/>
                <w:b/>
                <w:bCs/>
                <w:color w:val="000000"/>
                <w:sz w:val="20"/>
                <w:szCs w:val="20"/>
              </w:rPr>
              <w:t>26,9136</w:t>
            </w:r>
          </w:p>
        </w:tc>
        <w:tc>
          <w:tcPr>
            <w:tcW w:w="1062" w:type="dxa"/>
            <w:tcBorders>
              <w:top w:val="nil"/>
              <w:left w:val="nil"/>
              <w:bottom w:val="single" w:sz="4" w:space="0" w:color="auto"/>
              <w:right w:val="single" w:sz="4" w:space="0" w:color="auto"/>
            </w:tcBorders>
            <w:shd w:val="clear" w:color="000000" w:fill="70AD47"/>
            <w:noWrap/>
            <w:vAlign w:val="center"/>
            <w:hideMark/>
          </w:tcPr>
          <w:p w14:paraId="15EB0CF5" w14:textId="75C323B9" w:rsidR="00EF7150" w:rsidRPr="00552526" w:rsidRDefault="00A95984" w:rsidP="00EF7150">
            <w:pPr>
              <w:spacing w:after="0" w:line="240" w:lineRule="auto"/>
              <w:jc w:val="center"/>
              <w:rPr>
                <w:rFonts w:ascii="Calibri Light" w:eastAsia="Times New Roman" w:hAnsi="Calibri Light" w:cs="Calibri Light"/>
                <w:b/>
                <w:bCs/>
                <w:color w:val="000000"/>
                <w:sz w:val="20"/>
                <w:szCs w:val="20"/>
                <w:lang w:eastAsia="cs-CZ"/>
              </w:rPr>
            </w:pPr>
            <w:r>
              <w:rPr>
                <w:rFonts w:ascii="Calibri Light" w:hAnsi="Calibri Light" w:cs="Calibri Light"/>
                <w:b/>
                <w:bCs/>
                <w:color w:val="000000"/>
                <w:sz w:val="20"/>
                <w:szCs w:val="20"/>
              </w:rPr>
              <w:t>20,1971</w:t>
            </w:r>
          </w:p>
        </w:tc>
        <w:tc>
          <w:tcPr>
            <w:tcW w:w="907" w:type="dxa"/>
            <w:tcBorders>
              <w:top w:val="nil"/>
              <w:left w:val="nil"/>
              <w:bottom w:val="single" w:sz="4" w:space="0" w:color="auto"/>
              <w:right w:val="single" w:sz="4" w:space="0" w:color="auto"/>
            </w:tcBorders>
            <w:shd w:val="clear" w:color="000000" w:fill="70AD47"/>
            <w:noWrap/>
            <w:vAlign w:val="center"/>
            <w:hideMark/>
          </w:tcPr>
          <w:p w14:paraId="755CC341"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0,6455</w:t>
            </w:r>
          </w:p>
        </w:tc>
        <w:tc>
          <w:tcPr>
            <w:tcW w:w="907" w:type="dxa"/>
            <w:tcBorders>
              <w:top w:val="nil"/>
              <w:left w:val="nil"/>
              <w:bottom w:val="single" w:sz="4" w:space="0" w:color="auto"/>
              <w:right w:val="single" w:sz="4" w:space="0" w:color="auto"/>
            </w:tcBorders>
            <w:shd w:val="clear" w:color="000000" w:fill="70AD47"/>
            <w:noWrap/>
            <w:vAlign w:val="center"/>
            <w:hideMark/>
          </w:tcPr>
          <w:p w14:paraId="02BB93EC" w14:textId="73A1279A" w:rsidR="00EF7150" w:rsidRPr="00552526" w:rsidRDefault="00A95984" w:rsidP="00EF7150">
            <w:pPr>
              <w:spacing w:after="0" w:line="240" w:lineRule="auto"/>
              <w:jc w:val="center"/>
              <w:rPr>
                <w:rFonts w:ascii="Calibri Light" w:eastAsia="Times New Roman" w:hAnsi="Calibri Light" w:cs="Calibri Light"/>
                <w:b/>
                <w:bCs/>
                <w:color w:val="000000"/>
                <w:sz w:val="20"/>
                <w:szCs w:val="20"/>
                <w:lang w:eastAsia="cs-CZ"/>
              </w:rPr>
            </w:pPr>
            <w:r>
              <w:rPr>
                <w:rFonts w:ascii="Calibri Light" w:eastAsia="Times New Roman" w:hAnsi="Calibri Light" w:cs="Calibri Light"/>
                <w:b/>
                <w:bCs/>
                <w:color w:val="000000"/>
                <w:sz w:val="20"/>
                <w:szCs w:val="20"/>
                <w:lang w:eastAsia="cs-CZ"/>
              </w:rPr>
              <w:t>1,8523</w:t>
            </w:r>
          </w:p>
        </w:tc>
        <w:tc>
          <w:tcPr>
            <w:tcW w:w="820" w:type="dxa"/>
            <w:tcBorders>
              <w:top w:val="nil"/>
              <w:left w:val="nil"/>
              <w:bottom w:val="single" w:sz="4" w:space="0" w:color="auto"/>
              <w:right w:val="single" w:sz="4" w:space="0" w:color="auto"/>
            </w:tcBorders>
            <w:shd w:val="clear" w:color="000000" w:fill="70AD47"/>
            <w:noWrap/>
            <w:vAlign w:val="center"/>
            <w:hideMark/>
          </w:tcPr>
          <w:p w14:paraId="71266939"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4,2</w:t>
            </w:r>
          </w:p>
        </w:tc>
        <w:tc>
          <w:tcPr>
            <w:tcW w:w="907" w:type="dxa"/>
            <w:tcBorders>
              <w:top w:val="nil"/>
              <w:left w:val="nil"/>
              <w:bottom w:val="single" w:sz="4" w:space="0" w:color="auto"/>
              <w:right w:val="single" w:sz="4" w:space="0" w:color="auto"/>
            </w:tcBorders>
            <w:shd w:val="clear" w:color="000000" w:fill="70AD47"/>
            <w:noWrap/>
            <w:vAlign w:val="center"/>
            <w:hideMark/>
          </w:tcPr>
          <w:p w14:paraId="699F9B28"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0,0187</w:t>
            </w:r>
          </w:p>
        </w:tc>
        <w:tc>
          <w:tcPr>
            <w:tcW w:w="1444" w:type="dxa"/>
            <w:tcBorders>
              <w:top w:val="nil"/>
              <w:left w:val="nil"/>
              <w:bottom w:val="single" w:sz="4" w:space="0" w:color="auto"/>
              <w:right w:val="single" w:sz="4" w:space="0" w:color="auto"/>
            </w:tcBorders>
            <w:shd w:val="clear" w:color="000000" w:fill="70AD47"/>
            <w:noWrap/>
            <w:vAlign w:val="center"/>
            <w:hideMark/>
          </w:tcPr>
          <w:p w14:paraId="2B102A38"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0,37</w:t>
            </w:r>
          </w:p>
        </w:tc>
        <w:tc>
          <w:tcPr>
            <w:tcW w:w="1382" w:type="dxa"/>
            <w:tcBorders>
              <w:top w:val="nil"/>
              <w:left w:val="nil"/>
              <w:bottom w:val="single" w:sz="4" w:space="0" w:color="auto"/>
              <w:right w:val="single" w:sz="4" w:space="0" w:color="auto"/>
              <w:tr2bl w:val="single" w:sz="4" w:space="0" w:color="auto"/>
            </w:tcBorders>
            <w:shd w:val="clear" w:color="000000" w:fill="70AD47"/>
            <w:noWrap/>
            <w:vAlign w:val="center"/>
            <w:hideMark/>
          </w:tcPr>
          <w:p w14:paraId="26307445"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70AD47"/>
            <w:noWrap/>
            <w:vAlign w:val="center"/>
            <w:hideMark/>
          </w:tcPr>
          <w:p w14:paraId="2BE9514F"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70AD47"/>
            <w:noWrap/>
            <w:vAlign w:val="center"/>
            <w:hideMark/>
          </w:tcPr>
          <w:p w14:paraId="30E12029"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 </w:t>
            </w:r>
          </w:p>
        </w:tc>
        <w:tc>
          <w:tcPr>
            <w:tcW w:w="1382" w:type="dxa"/>
            <w:tcBorders>
              <w:top w:val="nil"/>
              <w:left w:val="nil"/>
              <w:bottom w:val="single" w:sz="4" w:space="0" w:color="auto"/>
              <w:right w:val="single" w:sz="4" w:space="0" w:color="auto"/>
              <w:tr2bl w:val="single" w:sz="4" w:space="0" w:color="auto"/>
            </w:tcBorders>
            <w:shd w:val="clear" w:color="000000" w:fill="70AD47"/>
            <w:noWrap/>
            <w:vAlign w:val="center"/>
            <w:hideMark/>
          </w:tcPr>
          <w:p w14:paraId="479BA447" w14:textId="77777777" w:rsidR="00EF7150" w:rsidRPr="00552526" w:rsidRDefault="00EF7150" w:rsidP="00EF7150">
            <w:pPr>
              <w:spacing w:after="0" w:line="240" w:lineRule="auto"/>
              <w:jc w:val="center"/>
              <w:rPr>
                <w:rFonts w:ascii="Calibri Light" w:eastAsia="Times New Roman" w:hAnsi="Calibri Light" w:cs="Calibri Light"/>
                <w:b/>
                <w:bCs/>
                <w:color w:val="000000"/>
                <w:sz w:val="20"/>
                <w:szCs w:val="20"/>
                <w:lang w:eastAsia="cs-CZ"/>
              </w:rPr>
            </w:pPr>
            <w:r w:rsidRPr="00552526">
              <w:rPr>
                <w:rFonts w:ascii="Calibri Light" w:eastAsia="Times New Roman" w:hAnsi="Calibri Light" w:cs="Calibri Light"/>
                <w:b/>
                <w:bCs/>
                <w:color w:val="000000"/>
                <w:sz w:val="20"/>
                <w:szCs w:val="20"/>
                <w:lang w:eastAsia="cs-CZ"/>
              </w:rPr>
              <w:t> </w:t>
            </w:r>
          </w:p>
        </w:tc>
      </w:tr>
    </w:tbl>
    <w:p w14:paraId="5B531D34" w14:textId="77777777" w:rsidR="00552526" w:rsidRDefault="00552526" w:rsidP="00D37005">
      <w:pPr>
        <w:spacing w:after="0" w:line="240" w:lineRule="auto"/>
        <w:jc w:val="center"/>
        <w:rPr>
          <w:rFonts w:asciiTheme="majorHAnsi" w:hAnsiTheme="majorHAnsi" w:cstheme="majorHAnsi"/>
          <w:color w:val="FF0000"/>
        </w:rPr>
      </w:pPr>
    </w:p>
    <w:p w14:paraId="2A99508D" w14:textId="77777777" w:rsidR="00552526" w:rsidRDefault="00552526" w:rsidP="00D37005">
      <w:pPr>
        <w:spacing w:after="0" w:line="240" w:lineRule="auto"/>
        <w:jc w:val="center"/>
        <w:rPr>
          <w:rFonts w:asciiTheme="majorHAnsi" w:hAnsiTheme="majorHAnsi" w:cstheme="majorHAnsi"/>
          <w:color w:val="FF0000"/>
        </w:rPr>
      </w:pPr>
    </w:p>
    <w:p w14:paraId="35F5A202" w14:textId="77777777" w:rsidR="00EF7150" w:rsidRDefault="00EF7150" w:rsidP="00D37005">
      <w:pPr>
        <w:spacing w:after="0" w:line="240" w:lineRule="auto"/>
        <w:jc w:val="center"/>
        <w:rPr>
          <w:rFonts w:asciiTheme="majorHAnsi" w:hAnsiTheme="majorHAnsi" w:cstheme="majorHAnsi"/>
          <w:color w:val="FF0000"/>
        </w:rPr>
      </w:pPr>
    </w:p>
    <w:p w14:paraId="353DF585" w14:textId="77777777" w:rsidR="00552526" w:rsidRPr="006070EA" w:rsidRDefault="00552526" w:rsidP="00C162B0">
      <w:pPr>
        <w:spacing w:after="0" w:line="240" w:lineRule="auto"/>
        <w:jc w:val="center"/>
        <w:rPr>
          <w:rFonts w:asciiTheme="majorHAnsi" w:hAnsiTheme="majorHAnsi" w:cstheme="majorHAnsi"/>
          <w:color w:val="FF0000"/>
        </w:rPr>
      </w:pPr>
    </w:p>
    <w:tbl>
      <w:tblPr>
        <w:tblW w:w="14486" w:type="dxa"/>
        <w:jc w:val="center"/>
        <w:tblLayout w:type="fixed"/>
        <w:tblCellMar>
          <w:left w:w="70" w:type="dxa"/>
          <w:right w:w="70" w:type="dxa"/>
        </w:tblCellMar>
        <w:tblLook w:val="04A0" w:firstRow="1" w:lastRow="0" w:firstColumn="1" w:lastColumn="0" w:noHBand="0" w:noVBand="1"/>
      </w:tblPr>
      <w:tblGrid>
        <w:gridCol w:w="1980"/>
        <w:gridCol w:w="992"/>
        <w:gridCol w:w="907"/>
        <w:gridCol w:w="907"/>
        <w:gridCol w:w="907"/>
        <w:gridCol w:w="907"/>
        <w:gridCol w:w="908"/>
        <w:gridCol w:w="1418"/>
        <w:gridCol w:w="1390"/>
        <w:gridCol w:w="1390"/>
        <w:gridCol w:w="1390"/>
        <w:gridCol w:w="1390"/>
      </w:tblGrid>
      <w:tr w:rsidR="00C162B0" w:rsidRPr="00C162B0" w14:paraId="3C9178F0" w14:textId="77777777" w:rsidTr="00C162B0">
        <w:trPr>
          <w:trHeight w:val="1203"/>
          <w:jc w:val="center"/>
        </w:trPr>
        <w:tc>
          <w:tcPr>
            <w:tcW w:w="198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BA45786"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lastRenderedPageBreak/>
              <w:t>Ozn. koridoru</w:t>
            </w:r>
          </w:p>
        </w:tc>
        <w:tc>
          <w:tcPr>
            <w:tcW w:w="992"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4ABE949C"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Maximální výměra záboru ZPF (ha)</w:t>
            </w:r>
          </w:p>
        </w:tc>
        <w:tc>
          <w:tcPr>
            <w:tcW w:w="4536" w:type="dxa"/>
            <w:gridSpan w:val="5"/>
            <w:tcBorders>
              <w:top w:val="single" w:sz="4" w:space="0" w:color="auto"/>
              <w:left w:val="nil"/>
              <w:bottom w:val="single" w:sz="4" w:space="0" w:color="auto"/>
              <w:right w:val="single" w:sz="4" w:space="0" w:color="auto"/>
            </w:tcBorders>
            <w:shd w:val="clear" w:color="000000" w:fill="F2F2F2"/>
            <w:vAlign w:val="center"/>
            <w:hideMark/>
          </w:tcPr>
          <w:p w14:paraId="0C57F1DA"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Odhad výměry záboru podle tříd ochrany (ha)</w:t>
            </w:r>
          </w:p>
        </w:tc>
        <w:tc>
          <w:tcPr>
            <w:tcW w:w="1418"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4E5EF1F"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Odhad výměry záboru, na které bude provedena rekultivace na zemědělskou půdu (ha)</w:t>
            </w:r>
          </w:p>
        </w:tc>
        <w:tc>
          <w:tcPr>
            <w:tcW w:w="139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24133136"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Informace o existenci závlah</w:t>
            </w:r>
          </w:p>
        </w:tc>
        <w:tc>
          <w:tcPr>
            <w:tcW w:w="139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0F5399E5"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Informace o existenci odvodnění</w:t>
            </w:r>
          </w:p>
        </w:tc>
        <w:tc>
          <w:tcPr>
            <w:tcW w:w="139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15439F4A"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Informace o existenci staveb k ochraně pozemku před erozní činností vody</w:t>
            </w:r>
          </w:p>
        </w:tc>
        <w:tc>
          <w:tcPr>
            <w:tcW w:w="1390" w:type="dxa"/>
            <w:vMerge w:val="restart"/>
            <w:tcBorders>
              <w:top w:val="single" w:sz="4" w:space="0" w:color="auto"/>
              <w:left w:val="single" w:sz="4" w:space="0" w:color="auto"/>
              <w:bottom w:val="single" w:sz="4" w:space="0" w:color="auto"/>
              <w:right w:val="single" w:sz="4" w:space="0" w:color="auto"/>
            </w:tcBorders>
            <w:shd w:val="clear" w:color="000000" w:fill="F2F2F2"/>
            <w:vAlign w:val="center"/>
            <w:hideMark/>
          </w:tcPr>
          <w:p w14:paraId="5E429D18"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Informace podle ustanovení § 3 odst. 1 písm. g)</w:t>
            </w:r>
          </w:p>
        </w:tc>
      </w:tr>
      <w:tr w:rsidR="00C162B0" w:rsidRPr="00C162B0" w14:paraId="1B535A46" w14:textId="77777777" w:rsidTr="00C162B0">
        <w:trPr>
          <w:trHeight w:val="300"/>
          <w:jc w:val="center"/>
        </w:trPr>
        <w:tc>
          <w:tcPr>
            <w:tcW w:w="1980" w:type="dxa"/>
            <w:vMerge/>
            <w:tcBorders>
              <w:top w:val="single" w:sz="4" w:space="0" w:color="auto"/>
              <w:left w:val="single" w:sz="4" w:space="0" w:color="auto"/>
              <w:bottom w:val="single" w:sz="4" w:space="0" w:color="auto"/>
              <w:right w:val="single" w:sz="4" w:space="0" w:color="auto"/>
            </w:tcBorders>
            <w:vAlign w:val="center"/>
            <w:hideMark/>
          </w:tcPr>
          <w:p w14:paraId="33D95326" w14:textId="77777777" w:rsidR="00C162B0" w:rsidRPr="00C162B0" w:rsidRDefault="00C162B0" w:rsidP="00C162B0">
            <w:pPr>
              <w:keepNext/>
              <w:spacing w:after="0" w:line="240" w:lineRule="auto"/>
              <w:rPr>
                <w:rFonts w:ascii="Calibri Light" w:eastAsia="Times New Roman" w:hAnsi="Calibri Light" w:cs="Calibri Light"/>
                <w:b/>
                <w:bCs/>
                <w:color w:val="000000"/>
                <w:sz w:val="18"/>
                <w:szCs w:val="18"/>
                <w:lang w:eastAsia="cs-CZ"/>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14:paraId="3357A8FB" w14:textId="77777777" w:rsidR="00C162B0" w:rsidRPr="00C162B0" w:rsidRDefault="00C162B0" w:rsidP="00C162B0">
            <w:pPr>
              <w:keepNext/>
              <w:spacing w:after="0" w:line="240" w:lineRule="auto"/>
              <w:rPr>
                <w:rFonts w:ascii="Calibri Light" w:eastAsia="Times New Roman" w:hAnsi="Calibri Light" w:cs="Calibri Light"/>
                <w:b/>
                <w:bCs/>
                <w:color w:val="000000"/>
                <w:sz w:val="18"/>
                <w:szCs w:val="18"/>
                <w:lang w:eastAsia="cs-CZ"/>
              </w:rPr>
            </w:pPr>
          </w:p>
        </w:tc>
        <w:tc>
          <w:tcPr>
            <w:tcW w:w="907" w:type="dxa"/>
            <w:tcBorders>
              <w:top w:val="nil"/>
              <w:left w:val="nil"/>
              <w:bottom w:val="single" w:sz="4" w:space="0" w:color="auto"/>
              <w:right w:val="single" w:sz="4" w:space="0" w:color="auto"/>
            </w:tcBorders>
            <w:shd w:val="clear" w:color="000000" w:fill="F2F2F2"/>
            <w:noWrap/>
            <w:vAlign w:val="center"/>
            <w:hideMark/>
          </w:tcPr>
          <w:p w14:paraId="44FA664C"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I.</w:t>
            </w:r>
          </w:p>
        </w:tc>
        <w:tc>
          <w:tcPr>
            <w:tcW w:w="907" w:type="dxa"/>
            <w:tcBorders>
              <w:top w:val="nil"/>
              <w:left w:val="nil"/>
              <w:bottom w:val="single" w:sz="4" w:space="0" w:color="auto"/>
              <w:right w:val="single" w:sz="4" w:space="0" w:color="auto"/>
            </w:tcBorders>
            <w:shd w:val="clear" w:color="000000" w:fill="F2F2F2"/>
            <w:noWrap/>
            <w:vAlign w:val="center"/>
            <w:hideMark/>
          </w:tcPr>
          <w:p w14:paraId="55334587"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II.</w:t>
            </w:r>
          </w:p>
        </w:tc>
        <w:tc>
          <w:tcPr>
            <w:tcW w:w="907" w:type="dxa"/>
            <w:tcBorders>
              <w:top w:val="nil"/>
              <w:left w:val="nil"/>
              <w:bottom w:val="single" w:sz="4" w:space="0" w:color="auto"/>
              <w:right w:val="single" w:sz="4" w:space="0" w:color="auto"/>
            </w:tcBorders>
            <w:shd w:val="clear" w:color="000000" w:fill="F2F2F2"/>
            <w:noWrap/>
            <w:vAlign w:val="center"/>
            <w:hideMark/>
          </w:tcPr>
          <w:p w14:paraId="2AFF36AB"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III.</w:t>
            </w:r>
          </w:p>
        </w:tc>
        <w:tc>
          <w:tcPr>
            <w:tcW w:w="907" w:type="dxa"/>
            <w:tcBorders>
              <w:top w:val="nil"/>
              <w:left w:val="nil"/>
              <w:bottom w:val="single" w:sz="4" w:space="0" w:color="auto"/>
              <w:right w:val="single" w:sz="4" w:space="0" w:color="auto"/>
            </w:tcBorders>
            <w:shd w:val="clear" w:color="000000" w:fill="F2F2F2"/>
            <w:noWrap/>
            <w:vAlign w:val="center"/>
            <w:hideMark/>
          </w:tcPr>
          <w:p w14:paraId="1BE103CF"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IV.</w:t>
            </w:r>
          </w:p>
        </w:tc>
        <w:tc>
          <w:tcPr>
            <w:tcW w:w="908" w:type="dxa"/>
            <w:tcBorders>
              <w:top w:val="nil"/>
              <w:left w:val="nil"/>
              <w:bottom w:val="single" w:sz="4" w:space="0" w:color="auto"/>
              <w:right w:val="single" w:sz="4" w:space="0" w:color="auto"/>
            </w:tcBorders>
            <w:shd w:val="clear" w:color="000000" w:fill="F2F2F2"/>
            <w:noWrap/>
            <w:vAlign w:val="center"/>
            <w:hideMark/>
          </w:tcPr>
          <w:p w14:paraId="225BCCD4"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V.</w:t>
            </w: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CDB66F" w14:textId="77777777" w:rsidR="00C162B0" w:rsidRPr="00C162B0" w:rsidRDefault="00C162B0" w:rsidP="00C162B0">
            <w:pPr>
              <w:keepNext/>
              <w:spacing w:after="0" w:line="240" w:lineRule="auto"/>
              <w:rPr>
                <w:rFonts w:ascii="Calibri Light" w:eastAsia="Times New Roman" w:hAnsi="Calibri Light" w:cs="Calibri Light"/>
                <w:b/>
                <w:bCs/>
                <w:color w:val="000000"/>
                <w:sz w:val="18"/>
                <w:szCs w:val="18"/>
                <w:lang w:eastAsia="cs-CZ"/>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0CDC9CDD" w14:textId="77777777" w:rsidR="00C162B0" w:rsidRPr="00C162B0" w:rsidRDefault="00C162B0" w:rsidP="00C162B0">
            <w:pPr>
              <w:keepNext/>
              <w:spacing w:after="0" w:line="240" w:lineRule="auto"/>
              <w:rPr>
                <w:rFonts w:ascii="Calibri Light" w:eastAsia="Times New Roman" w:hAnsi="Calibri Light" w:cs="Calibri Light"/>
                <w:b/>
                <w:bCs/>
                <w:color w:val="000000"/>
                <w:sz w:val="18"/>
                <w:szCs w:val="18"/>
                <w:lang w:eastAsia="cs-CZ"/>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067A8A47" w14:textId="77777777" w:rsidR="00C162B0" w:rsidRPr="00C162B0" w:rsidRDefault="00C162B0" w:rsidP="00C162B0">
            <w:pPr>
              <w:keepNext/>
              <w:spacing w:after="0" w:line="240" w:lineRule="auto"/>
              <w:rPr>
                <w:rFonts w:ascii="Calibri Light" w:eastAsia="Times New Roman" w:hAnsi="Calibri Light" w:cs="Calibri Light"/>
                <w:b/>
                <w:bCs/>
                <w:color w:val="000000"/>
                <w:sz w:val="18"/>
                <w:szCs w:val="18"/>
                <w:lang w:eastAsia="cs-CZ"/>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26177DEB" w14:textId="77777777" w:rsidR="00C162B0" w:rsidRPr="00C162B0" w:rsidRDefault="00C162B0" w:rsidP="00C162B0">
            <w:pPr>
              <w:keepNext/>
              <w:spacing w:after="0" w:line="240" w:lineRule="auto"/>
              <w:rPr>
                <w:rFonts w:ascii="Calibri Light" w:eastAsia="Times New Roman" w:hAnsi="Calibri Light" w:cs="Calibri Light"/>
                <w:b/>
                <w:bCs/>
                <w:color w:val="000000"/>
                <w:sz w:val="18"/>
                <w:szCs w:val="18"/>
                <w:lang w:eastAsia="cs-CZ"/>
              </w:rPr>
            </w:pPr>
          </w:p>
        </w:tc>
        <w:tc>
          <w:tcPr>
            <w:tcW w:w="1390" w:type="dxa"/>
            <w:vMerge/>
            <w:tcBorders>
              <w:top w:val="single" w:sz="4" w:space="0" w:color="auto"/>
              <w:left w:val="single" w:sz="4" w:space="0" w:color="auto"/>
              <w:bottom w:val="single" w:sz="4" w:space="0" w:color="auto"/>
              <w:right w:val="single" w:sz="4" w:space="0" w:color="auto"/>
            </w:tcBorders>
            <w:vAlign w:val="center"/>
            <w:hideMark/>
          </w:tcPr>
          <w:p w14:paraId="6E4655B8" w14:textId="77777777" w:rsidR="00C162B0" w:rsidRPr="00C162B0" w:rsidRDefault="00C162B0" w:rsidP="00C162B0">
            <w:pPr>
              <w:keepNext/>
              <w:spacing w:after="0" w:line="240" w:lineRule="auto"/>
              <w:rPr>
                <w:rFonts w:ascii="Calibri Light" w:eastAsia="Times New Roman" w:hAnsi="Calibri Light" w:cs="Calibri Light"/>
                <w:b/>
                <w:bCs/>
                <w:color w:val="000000"/>
                <w:sz w:val="18"/>
                <w:szCs w:val="18"/>
                <w:lang w:eastAsia="cs-CZ"/>
              </w:rPr>
            </w:pPr>
          </w:p>
        </w:tc>
      </w:tr>
      <w:tr w:rsidR="00C162B0" w:rsidRPr="00C162B0" w14:paraId="09601BC8" w14:textId="77777777" w:rsidTr="00C162B0">
        <w:trPr>
          <w:trHeight w:val="300"/>
          <w:jc w:val="center"/>
        </w:trPr>
        <w:tc>
          <w:tcPr>
            <w:tcW w:w="14486" w:type="dxa"/>
            <w:gridSpan w:val="12"/>
            <w:tcBorders>
              <w:top w:val="single" w:sz="4" w:space="0" w:color="auto"/>
              <w:left w:val="single" w:sz="4" w:space="0" w:color="auto"/>
              <w:bottom w:val="single" w:sz="4" w:space="0" w:color="auto"/>
              <w:right w:val="single" w:sz="4" w:space="0" w:color="auto"/>
            </w:tcBorders>
            <w:shd w:val="clear" w:color="000000" w:fill="FCE4D6"/>
            <w:noWrap/>
            <w:vAlign w:val="center"/>
            <w:hideMark/>
          </w:tcPr>
          <w:p w14:paraId="67BAEE98" w14:textId="77777777" w:rsidR="00C162B0" w:rsidRPr="00C162B0" w:rsidRDefault="00C162B0" w:rsidP="00C162B0">
            <w:pPr>
              <w:keepNext/>
              <w:spacing w:after="0" w:line="240" w:lineRule="auto"/>
              <w:jc w:val="center"/>
              <w:rPr>
                <w:rFonts w:ascii="Calibri Light" w:eastAsia="Times New Roman" w:hAnsi="Calibri Light" w:cs="Calibri Light"/>
                <w:b/>
                <w:bCs/>
                <w:color w:val="000000"/>
                <w:sz w:val="18"/>
                <w:szCs w:val="18"/>
                <w:lang w:eastAsia="cs-CZ"/>
              </w:rPr>
            </w:pPr>
            <w:r w:rsidRPr="00C162B0">
              <w:rPr>
                <w:rFonts w:ascii="Calibri Light" w:eastAsia="Times New Roman" w:hAnsi="Calibri Light" w:cs="Calibri Light"/>
                <w:b/>
                <w:bCs/>
                <w:color w:val="000000"/>
                <w:sz w:val="18"/>
                <w:szCs w:val="18"/>
                <w:lang w:eastAsia="cs-CZ"/>
              </w:rPr>
              <w:t>KORIDORY</w:t>
            </w:r>
          </w:p>
        </w:tc>
      </w:tr>
      <w:tr w:rsidR="00C162B0" w:rsidRPr="00A76411" w14:paraId="38B7AC0F" w14:textId="77777777" w:rsidTr="00C162B0">
        <w:trPr>
          <w:trHeight w:val="300"/>
          <w:jc w:val="center"/>
        </w:trPr>
        <w:tc>
          <w:tcPr>
            <w:tcW w:w="1980" w:type="dxa"/>
            <w:tcBorders>
              <w:top w:val="nil"/>
              <w:left w:val="single" w:sz="4" w:space="0" w:color="auto"/>
              <w:bottom w:val="single" w:sz="4" w:space="0" w:color="auto"/>
              <w:right w:val="single" w:sz="4" w:space="0" w:color="auto"/>
            </w:tcBorders>
            <w:noWrap/>
            <w:vAlign w:val="center"/>
            <w:hideMark/>
          </w:tcPr>
          <w:p w14:paraId="471683F9"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CNU.KD1-jih*</w:t>
            </w:r>
          </w:p>
        </w:tc>
        <w:tc>
          <w:tcPr>
            <w:tcW w:w="992" w:type="dxa"/>
            <w:tcBorders>
              <w:top w:val="nil"/>
              <w:left w:val="nil"/>
              <w:bottom w:val="single" w:sz="4" w:space="0" w:color="auto"/>
              <w:right w:val="single" w:sz="4" w:space="0" w:color="auto"/>
            </w:tcBorders>
            <w:noWrap/>
            <w:vAlign w:val="center"/>
            <w:hideMark/>
          </w:tcPr>
          <w:p w14:paraId="45D1C9C3"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1,5195</w:t>
            </w:r>
          </w:p>
        </w:tc>
        <w:tc>
          <w:tcPr>
            <w:tcW w:w="907" w:type="dxa"/>
            <w:tcBorders>
              <w:top w:val="nil"/>
              <w:left w:val="nil"/>
              <w:bottom w:val="single" w:sz="4" w:space="0" w:color="auto"/>
              <w:right w:val="single" w:sz="4" w:space="0" w:color="auto"/>
            </w:tcBorders>
            <w:noWrap/>
            <w:vAlign w:val="center"/>
            <w:hideMark/>
          </w:tcPr>
          <w:p w14:paraId="1C3623AB"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0,4915</w:t>
            </w:r>
          </w:p>
        </w:tc>
        <w:tc>
          <w:tcPr>
            <w:tcW w:w="907" w:type="dxa"/>
            <w:tcBorders>
              <w:top w:val="nil"/>
              <w:left w:val="nil"/>
              <w:bottom w:val="single" w:sz="4" w:space="0" w:color="auto"/>
              <w:right w:val="single" w:sz="4" w:space="0" w:color="auto"/>
            </w:tcBorders>
            <w:noWrap/>
            <w:vAlign w:val="center"/>
            <w:hideMark/>
          </w:tcPr>
          <w:p w14:paraId="64032B30"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689CC8FF"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61D7C271"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1,028</w:t>
            </w:r>
          </w:p>
        </w:tc>
        <w:tc>
          <w:tcPr>
            <w:tcW w:w="908" w:type="dxa"/>
            <w:tcBorders>
              <w:top w:val="nil"/>
              <w:left w:val="nil"/>
              <w:bottom w:val="single" w:sz="4" w:space="0" w:color="auto"/>
              <w:right w:val="single" w:sz="4" w:space="0" w:color="auto"/>
            </w:tcBorders>
            <w:noWrap/>
            <w:vAlign w:val="center"/>
            <w:hideMark/>
          </w:tcPr>
          <w:p w14:paraId="2D4B40CB"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418" w:type="dxa"/>
            <w:tcBorders>
              <w:top w:val="nil"/>
              <w:left w:val="nil"/>
              <w:bottom w:val="single" w:sz="4" w:space="0" w:color="auto"/>
              <w:right w:val="single" w:sz="4" w:space="0" w:color="auto"/>
            </w:tcBorders>
            <w:noWrap/>
            <w:vAlign w:val="center"/>
            <w:hideMark/>
          </w:tcPr>
          <w:p w14:paraId="3B017A1F"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390" w:type="dxa"/>
            <w:tcBorders>
              <w:top w:val="nil"/>
              <w:left w:val="nil"/>
              <w:bottom w:val="single" w:sz="4" w:space="0" w:color="auto"/>
              <w:right w:val="single" w:sz="4" w:space="0" w:color="auto"/>
            </w:tcBorders>
            <w:noWrap/>
            <w:vAlign w:val="center"/>
            <w:hideMark/>
          </w:tcPr>
          <w:p w14:paraId="42B6D0F3"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7A7AE45F"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ANO</w:t>
            </w:r>
          </w:p>
        </w:tc>
        <w:tc>
          <w:tcPr>
            <w:tcW w:w="1390" w:type="dxa"/>
            <w:tcBorders>
              <w:top w:val="nil"/>
              <w:left w:val="nil"/>
              <w:bottom w:val="single" w:sz="4" w:space="0" w:color="auto"/>
              <w:right w:val="single" w:sz="4" w:space="0" w:color="auto"/>
            </w:tcBorders>
            <w:noWrap/>
            <w:vAlign w:val="center"/>
            <w:hideMark/>
          </w:tcPr>
          <w:p w14:paraId="57981881"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00F100C8"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r>
      <w:tr w:rsidR="00C162B0" w:rsidRPr="00A76411" w14:paraId="469BA940" w14:textId="77777777" w:rsidTr="00C162B0">
        <w:trPr>
          <w:trHeight w:val="300"/>
          <w:jc w:val="center"/>
        </w:trPr>
        <w:tc>
          <w:tcPr>
            <w:tcW w:w="1980" w:type="dxa"/>
            <w:tcBorders>
              <w:top w:val="nil"/>
              <w:left w:val="single" w:sz="4" w:space="0" w:color="auto"/>
              <w:bottom w:val="single" w:sz="4" w:space="0" w:color="auto"/>
              <w:right w:val="single" w:sz="4" w:space="0" w:color="auto"/>
            </w:tcBorders>
            <w:noWrap/>
            <w:vAlign w:val="center"/>
            <w:hideMark/>
          </w:tcPr>
          <w:p w14:paraId="79508627"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CNU.KD1-střed*</w:t>
            </w:r>
          </w:p>
        </w:tc>
        <w:tc>
          <w:tcPr>
            <w:tcW w:w="992" w:type="dxa"/>
            <w:tcBorders>
              <w:top w:val="nil"/>
              <w:left w:val="nil"/>
              <w:bottom w:val="single" w:sz="4" w:space="0" w:color="auto"/>
              <w:right w:val="single" w:sz="4" w:space="0" w:color="auto"/>
            </w:tcBorders>
            <w:noWrap/>
            <w:vAlign w:val="center"/>
            <w:hideMark/>
          </w:tcPr>
          <w:p w14:paraId="21376F25"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1,4702</w:t>
            </w:r>
          </w:p>
        </w:tc>
        <w:tc>
          <w:tcPr>
            <w:tcW w:w="907" w:type="dxa"/>
            <w:tcBorders>
              <w:top w:val="nil"/>
              <w:left w:val="nil"/>
              <w:bottom w:val="single" w:sz="4" w:space="0" w:color="auto"/>
              <w:right w:val="single" w:sz="4" w:space="0" w:color="auto"/>
            </w:tcBorders>
            <w:noWrap/>
            <w:vAlign w:val="center"/>
            <w:hideMark/>
          </w:tcPr>
          <w:p w14:paraId="66AFA459"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1,2853</w:t>
            </w:r>
          </w:p>
        </w:tc>
        <w:tc>
          <w:tcPr>
            <w:tcW w:w="907" w:type="dxa"/>
            <w:tcBorders>
              <w:top w:val="nil"/>
              <w:left w:val="nil"/>
              <w:bottom w:val="single" w:sz="4" w:space="0" w:color="auto"/>
              <w:right w:val="single" w:sz="4" w:space="0" w:color="auto"/>
            </w:tcBorders>
            <w:noWrap/>
            <w:vAlign w:val="center"/>
            <w:hideMark/>
          </w:tcPr>
          <w:p w14:paraId="7B40D63A"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01675E7E"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75A0BF24"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0,1849</w:t>
            </w:r>
          </w:p>
        </w:tc>
        <w:tc>
          <w:tcPr>
            <w:tcW w:w="908" w:type="dxa"/>
            <w:tcBorders>
              <w:top w:val="nil"/>
              <w:left w:val="nil"/>
              <w:bottom w:val="single" w:sz="4" w:space="0" w:color="auto"/>
              <w:right w:val="single" w:sz="4" w:space="0" w:color="auto"/>
            </w:tcBorders>
            <w:noWrap/>
            <w:vAlign w:val="center"/>
            <w:hideMark/>
          </w:tcPr>
          <w:p w14:paraId="32D1D133"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418" w:type="dxa"/>
            <w:tcBorders>
              <w:top w:val="nil"/>
              <w:left w:val="nil"/>
              <w:bottom w:val="single" w:sz="4" w:space="0" w:color="auto"/>
              <w:right w:val="single" w:sz="4" w:space="0" w:color="auto"/>
            </w:tcBorders>
            <w:noWrap/>
            <w:vAlign w:val="center"/>
            <w:hideMark/>
          </w:tcPr>
          <w:p w14:paraId="36535FFA"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390" w:type="dxa"/>
            <w:tcBorders>
              <w:top w:val="nil"/>
              <w:left w:val="nil"/>
              <w:bottom w:val="single" w:sz="4" w:space="0" w:color="auto"/>
              <w:right w:val="single" w:sz="4" w:space="0" w:color="auto"/>
            </w:tcBorders>
            <w:noWrap/>
            <w:vAlign w:val="center"/>
            <w:hideMark/>
          </w:tcPr>
          <w:p w14:paraId="3795DA7B"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0AEB604D"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ANO</w:t>
            </w:r>
          </w:p>
        </w:tc>
        <w:tc>
          <w:tcPr>
            <w:tcW w:w="1390" w:type="dxa"/>
            <w:tcBorders>
              <w:top w:val="nil"/>
              <w:left w:val="nil"/>
              <w:bottom w:val="single" w:sz="4" w:space="0" w:color="auto"/>
              <w:right w:val="single" w:sz="4" w:space="0" w:color="auto"/>
            </w:tcBorders>
            <w:noWrap/>
            <w:vAlign w:val="center"/>
            <w:hideMark/>
          </w:tcPr>
          <w:p w14:paraId="02DA259F"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05E1E85B"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r>
      <w:tr w:rsidR="00C162B0" w:rsidRPr="00A76411" w14:paraId="6A0F186C" w14:textId="77777777" w:rsidTr="00C162B0">
        <w:trPr>
          <w:trHeight w:val="300"/>
          <w:jc w:val="center"/>
        </w:trPr>
        <w:tc>
          <w:tcPr>
            <w:tcW w:w="1980" w:type="dxa"/>
            <w:tcBorders>
              <w:top w:val="nil"/>
              <w:left w:val="single" w:sz="4" w:space="0" w:color="auto"/>
              <w:bottom w:val="single" w:sz="4" w:space="0" w:color="auto"/>
              <w:right w:val="single" w:sz="4" w:space="0" w:color="auto"/>
            </w:tcBorders>
            <w:noWrap/>
            <w:vAlign w:val="center"/>
            <w:hideMark/>
          </w:tcPr>
          <w:p w14:paraId="5CB8E3F1"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CNU.KD1-sever*</w:t>
            </w:r>
          </w:p>
        </w:tc>
        <w:tc>
          <w:tcPr>
            <w:tcW w:w="992" w:type="dxa"/>
            <w:tcBorders>
              <w:top w:val="nil"/>
              <w:left w:val="nil"/>
              <w:bottom w:val="single" w:sz="4" w:space="0" w:color="auto"/>
              <w:right w:val="single" w:sz="4" w:space="0" w:color="auto"/>
            </w:tcBorders>
            <w:noWrap/>
            <w:vAlign w:val="center"/>
            <w:hideMark/>
          </w:tcPr>
          <w:p w14:paraId="3C0D6E17"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1,3375</w:t>
            </w:r>
          </w:p>
        </w:tc>
        <w:tc>
          <w:tcPr>
            <w:tcW w:w="907" w:type="dxa"/>
            <w:tcBorders>
              <w:top w:val="nil"/>
              <w:left w:val="nil"/>
              <w:bottom w:val="single" w:sz="4" w:space="0" w:color="auto"/>
              <w:right w:val="single" w:sz="4" w:space="0" w:color="auto"/>
            </w:tcBorders>
            <w:noWrap/>
            <w:vAlign w:val="center"/>
            <w:hideMark/>
          </w:tcPr>
          <w:p w14:paraId="6A454484"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1,1546</w:t>
            </w:r>
          </w:p>
        </w:tc>
        <w:tc>
          <w:tcPr>
            <w:tcW w:w="907" w:type="dxa"/>
            <w:tcBorders>
              <w:top w:val="nil"/>
              <w:left w:val="nil"/>
              <w:bottom w:val="single" w:sz="4" w:space="0" w:color="auto"/>
              <w:right w:val="single" w:sz="4" w:space="0" w:color="auto"/>
            </w:tcBorders>
            <w:noWrap/>
            <w:vAlign w:val="center"/>
            <w:hideMark/>
          </w:tcPr>
          <w:p w14:paraId="7E6265D3"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1FE942BF"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52B24CDD"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0,1829</w:t>
            </w:r>
          </w:p>
        </w:tc>
        <w:tc>
          <w:tcPr>
            <w:tcW w:w="908" w:type="dxa"/>
            <w:tcBorders>
              <w:top w:val="nil"/>
              <w:left w:val="nil"/>
              <w:bottom w:val="single" w:sz="4" w:space="0" w:color="auto"/>
              <w:right w:val="single" w:sz="4" w:space="0" w:color="auto"/>
            </w:tcBorders>
            <w:noWrap/>
            <w:vAlign w:val="center"/>
            <w:hideMark/>
          </w:tcPr>
          <w:p w14:paraId="1D3B8BF6"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418" w:type="dxa"/>
            <w:tcBorders>
              <w:top w:val="nil"/>
              <w:left w:val="nil"/>
              <w:bottom w:val="single" w:sz="4" w:space="0" w:color="auto"/>
              <w:right w:val="single" w:sz="4" w:space="0" w:color="auto"/>
            </w:tcBorders>
            <w:noWrap/>
            <w:vAlign w:val="center"/>
            <w:hideMark/>
          </w:tcPr>
          <w:p w14:paraId="10750F66"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390" w:type="dxa"/>
            <w:tcBorders>
              <w:top w:val="nil"/>
              <w:left w:val="nil"/>
              <w:bottom w:val="single" w:sz="4" w:space="0" w:color="auto"/>
              <w:right w:val="single" w:sz="4" w:space="0" w:color="auto"/>
            </w:tcBorders>
            <w:noWrap/>
            <w:vAlign w:val="center"/>
            <w:hideMark/>
          </w:tcPr>
          <w:p w14:paraId="75DC63EA"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22F1FA20"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ANO</w:t>
            </w:r>
          </w:p>
        </w:tc>
        <w:tc>
          <w:tcPr>
            <w:tcW w:w="1390" w:type="dxa"/>
            <w:tcBorders>
              <w:top w:val="nil"/>
              <w:left w:val="nil"/>
              <w:bottom w:val="single" w:sz="4" w:space="0" w:color="auto"/>
              <w:right w:val="single" w:sz="4" w:space="0" w:color="auto"/>
            </w:tcBorders>
            <w:noWrap/>
            <w:vAlign w:val="center"/>
            <w:hideMark/>
          </w:tcPr>
          <w:p w14:paraId="381569AE"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2883F9B3"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r>
      <w:tr w:rsidR="00C162B0" w:rsidRPr="00A76411" w14:paraId="3CA2AD8D" w14:textId="77777777" w:rsidTr="00C162B0">
        <w:trPr>
          <w:trHeight w:val="300"/>
          <w:jc w:val="center"/>
        </w:trPr>
        <w:tc>
          <w:tcPr>
            <w:tcW w:w="1980" w:type="dxa"/>
            <w:tcBorders>
              <w:top w:val="nil"/>
              <w:left w:val="single" w:sz="4" w:space="0" w:color="auto"/>
              <w:bottom w:val="single" w:sz="4" w:space="0" w:color="auto"/>
              <w:right w:val="single" w:sz="4" w:space="0" w:color="auto"/>
            </w:tcBorders>
            <w:noWrap/>
            <w:vAlign w:val="center"/>
            <w:hideMark/>
          </w:tcPr>
          <w:p w14:paraId="6028E39D"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CNU.KD2</w:t>
            </w:r>
          </w:p>
        </w:tc>
        <w:tc>
          <w:tcPr>
            <w:tcW w:w="992" w:type="dxa"/>
            <w:tcBorders>
              <w:top w:val="nil"/>
              <w:left w:val="nil"/>
              <w:bottom w:val="single" w:sz="4" w:space="0" w:color="auto"/>
              <w:right w:val="single" w:sz="4" w:space="0" w:color="auto"/>
            </w:tcBorders>
            <w:noWrap/>
            <w:vAlign w:val="center"/>
            <w:hideMark/>
          </w:tcPr>
          <w:p w14:paraId="1BB0EBF5"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0,4434</w:t>
            </w:r>
          </w:p>
        </w:tc>
        <w:tc>
          <w:tcPr>
            <w:tcW w:w="907" w:type="dxa"/>
            <w:tcBorders>
              <w:top w:val="nil"/>
              <w:left w:val="nil"/>
              <w:bottom w:val="single" w:sz="4" w:space="0" w:color="auto"/>
              <w:right w:val="single" w:sz="4" w:space="0" w:color="auto"/>
            </w:tcBorders>
            <w:noWrap/>
            <w:vAlign w:val="center"/>
            <w:hideMark/>
          </w:tcPr>
          <w:p w14:paraId="6D58DB63"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04E54673"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6ACC6964"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3EF40356"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0,4434</w:t>
            </w:r>
          </w:p>
        </w:tc>
        <w:tc>
          <w:tcPr>
            <w:tcW w:w="908" w:type="dxa"/>
            <w:tcBorders>
              <w:top w:val="nil"/>
              <w:left w:val="nil"/>
              <w:bottom w:val="single" w:sz="4" w:space="0" w:color="auto"/>
              <w:right w:val="single" w:sz="4" w:space="0" w:color="auto"/>
            </w:tcBorders>
            <w:noWrap/>
            <w:vAlign w:val="center"/>
            <w:hideMark/>
          </w:tcPr>
          <w:p w14:paraId="3230C433"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418" w:type="dxa"/>
            <w:tcBorders>
              <w:top w:val="nil"/>
              <w:left w:val="nil"/>
              <w:bottom w:val="single" w:sz="4" w:space="0" w:color="auto"/>
              <w:right w:val="single" w:sz="4" w:space="0" w:color="auto"/>
            </w:tcBorders>
            <w:noWrap/>
            <w:vAlign w:val="center"/>
            <w:hideMark/>
          </w:tcPr>
          <w:p w14:paraId="13E396B9"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390" w:type="dxa"/>
            <w:tcBorders>
              <w:top w:val="nil"/>
              <w:left w:val="nil"/>
              <w:bottom w:val="single" w:sz="4" w:space="0" w:color="auto"/>
              <w:right w:val="single" w:sz="4" w:space="0" w:color="auto"/>
            </w:tcBorders>
            <w:noWrap/>
            <w:vAlign w:val="center"/>
            <w:hideMark/>
          </w:tcPr>
          <w:p w14:paraId="1D19E18B"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04EE5D07"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ANO</w:t>
            </w:r>
          </w:p>
        </w:tc>
        <w:tc>
          <w:tcPr>
            <w:tcW w:w="1390" w:type="dxa"/>
            <w:tcBorders>
              <w:top w:val="nil"/>
              <w:left w:val="nil"/>
              <w:bottom w:val="single" w:sz="4" w:space="0" w:color="auto"/>
              <w:right w:val="single" w:sz="4" w:space="0" w:color="auto"/>
            </w:tcBorders>
            <w:noWrap/>
            <w:vAlign w:val="center"/>
            <w:hideMark/>
          </w:tcPr>
          <w:p w14:paraId="47738C9D"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36E65048"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w:t>
            </w:r>
          </w:p>
        </w:tc>
      </w:tr>
      <w:tr w:rsidR="00C162B0" w:rsidRPr="00C162B0" w14:paraId="3965B3C9" w14:textId="77777777" w:rsidTr="00C162B0">
        <w:trPr>
          <w:trHeight w:val="300"/>
          <w:jc w:val="center"/>
        </w:trPr>
        <w:tc>
          <w:tcPr>
            <w:tcW w:w="1980" w:type="dxa"/>
            <w:tcBorders>
              <w:top w:val="nil"/>
              <w:left w:val="single" w:sz="4" w:space="0" w:color="auto"/>
              <w:bottom w:val="single" w:sz="4" w:space="0" w:color="auto"/>
              <w:right w:val="single" w:sz="4" w:space="0" w:color="auto"/>
            </w:tcBorders>
            <w:noWrap/>
            <w:vAlign w:val="center"/>
            <w:hideMark/>
          </w:tcPr>
          <w:p w14:paraId="47E8DA6E" w14:textId="727726FB"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CN</w:t>
            </w:r>
            <w:r w:rsidR="00DD69E4" w:rsidRPr="00A76411">
              <w:rPr>
                <w:rFonts w:ascii="Calibri Light" w:eastAsia="Times New Roman" w:hAnsi="Calibri Light" w:cs="Calibri Light"/>
                <w:color w:val="000000"/>
                <w:sz w:val="18"/>
                <w:szCs w:val="18"/>
                <w:lang w:eastAsia="cs-CZ"/>
              </w:rPr>
              <w:t>Z</w:t>
            </w:r>
            <w:r w:rsidRPr="00A76411">
              <w:rPr>
                <w:rFonts w:ascii="Calibri Light" w:eastAsia="Times New Roman" w:hAnsi="Calibri Light" w:cs="Calibri Light"/>
                <w:color w:val="000000"/>
                <w:sz w:val="18"/>
                <w:szCs w:val="18"/>
                <w:lang w:eastAsia="cs-CZ"/>
              </w:rPr>
              <w:t>.</w:t>
            </w:r>
            <w:r w:rsidR="00DD69E4" w:rsidRPr="00A76411">
              <w:rPr>
                <w:rFonts w:ascii="Calibri Light" w:eastAsia="Times New Roman" w:hAnsi="Calibri Light" w:cs="Calibri Light"/>
                <w:color w:val="000000"/>
                <w:sz w:val="18"/>
                <w:szCs w:val="18"/>
                <w:lang w:eastAsia="cs-CZ"/>
              </w:rPr>
              <w:t>VD</w:t>
            </w:r>
            <w:r w:rsidRPr="00A76411">
              <w:rPr>
                <w:rFonts w:ascii="Calibri Light" w:eastAsia="Times New Roman" w:hAnsi="Calibri Light" w:cs="Calibri Light"/>
                <w:color w:val="000000"/>
                <w:sz w:val="18"/>
                <w:szCs w:val="18"/>
                <w:lang w:eastAsia="cs-CZ"/>
              </w:rPr>
              <w:t>1</w:t>
            </w:r>
          </w:p>
        </w:tc>
        <w:tc>
          <w:tcPr>
            <w:tcW w:w="992" w:type="dxa"/>
            <w:tcBorders>
              <w:top w:val="nil"/>
              <w:left w:val="nil"/>
              <w:bottom w:val="single" w:sz="4" w:space="0" w:color="auto"/>
              <w:right w:val="single" w:sz="4" w:space="0" w:color="auto"/>
            </w:tcBorders>
            <w:noWrap/>
            <w:vAlign w:val="center"/>
            <w:hideMark/>
          </w:tcPr>
          <w:p w14:paraId="4B10907E"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0,083</w:t>
            </w:r>
          </w:p>
        </w:tc>
        <w:tc>
          <w:tcPr>
            <w:tcW w:w="907" w:type="dxa"/>
            <w:tcBorders>
              <w:top w:val="nil"/>
              <w:left w:val="nil"/>
              <w:bottom w:val="single" w:sz="4" w:space="0" w:color="auto"/>
              <w:right w:val="single" w:sz="4" w:space="0" w:color="auto"/>
            </w:tcBorders>
            <w:noWrap/>
            <w:vAlign w:val="center"/>
            <w:hideMark/>
          </w:tcPr>
          <w:p w14:paraId="55840624"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44EC8126"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40236220"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28783EDE"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0,083</w:t>
            </w:r>
          </w:p>
        </w:tc>
        <w:tc>
          <w:tcPr>
            <w:tcW w:w="908" w:type="dxa"/>
            <w:tcBorders>
              <w:top w:val="nil"/>
              <w:left w:val="nil"/>
              <w:bottom w:val="single" w:sz="4" w:space="0" w:color="auto"/>
              <w:right w:val="single" w:sz="4" w:space="0" w:color="auto"/>
            </w:tcBorders>
            <w:noWrap/>
            <w:vAlign w:val="center"/>
            <w:hideMark/>
          </w:tcPr>
          <w:p w14:paraId="28108AF0"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418" w:type="dxa"/>
            <w:tcBorders>
              <w:top w:val="nil"/>
              <w:left w:val="nil"/>
              <w:bottom w:val="single" w:sz="4" w:space="0" w:color="auto"/>
              <w:right w:val="single" w:sz="4" w:space="0" w:color="auto"/>
            </w:tcBorders>
            <w:noWrap/>
            <w:vAlign w:val="center"/>
            <w:hideMark/>
          </w:tcPr>
          <w:p w14:paraId="1DAEED2F"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0</w:t>
            </w:r>
          </w:p>
        </w:tc>
        <w:tc>
          <w:tcPr>
            <w:tcW w:w="1390" w:type="dxa"/>
            <w:tcBorders>
              <w:top w:val="nil"/>
              <w:left w:val="nil"/>
              <w:bottom w:val="single" w:sz="4" w:space="0" w:color="auto"/>
              <w:right w:val="single" w:sz="4" w:space="0" w:color="auto"/>
            </w:tcBorders>
            <w:noWrap/>
            <w:vAlign w:val="center"/>
            <w:hideMark/>
          </w:tcPr>
          <w:p w14:paraId="5ACDEF4D"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296244E6"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39FA02EC" w14:textId="77777777" w:rsidR="00C162B0" w:rsidRPr="00A76411"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474EE9A2"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A76411">
              <w:rPr>
                <w:rFonts w:ascii="Calibri Light" w:eastAsia="Times New Roman" w:hAnsi="Calibri Light" w:cs="Calibri Light"/>
                <w:color w:val="000000"/>
                <w:sz w:val="18"/>
                <w:szCs w:val="18"/>
                <w:lang w:eastAsia="cs-CZ"/>
              </w:rPr>
              <w:t>-</w:t>
            </w:r>
          </w:p>
        </w:tc>
      </w:tr>
      <w:tr w:rsidR="00C162B0" w:rsidRPr="00C162B0" w14:paraId="7FC57F9A" w14:textId="77777777" w:rsidTr="00C162B0">
        <w:trPr>
          <w:trHeight w:val="300"/>
          <w:jc w:val="center"/>
        </w:trPr>
        <w:tc>
          <w:tcPr>
            <w:tcW w:w="1980" w:type="dxa"/>
            <w:tcBorders>
              <w:top w:val="nil"/>
              <w:left w:val="single" w:sz="4" w:space="0" w:color="auto"/>
              <w:bottom w:val="single" w:sz="4" w:space="0" w:color="auto"/>
              <w:right w:val="single" w:sz="4" w:space="0" w:color="auto"/>
            </w:tcBorders>
            <w:noWrap/>
            <w:vAlign w:val="center"/>
            <w:hideMark/>
          </w:tcPr>
          <w:p w14:paraId="0DAEE7E3"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CNU.KDN1</w:t>
            </w:r>
          </w:p>
        </w:tc>
        <w:tc>
          <w:tcPr>
            <w:tcW w:w="992" w:type="dxa"/>
            <w:tcBorders>
              <w:top w:val="nil"/>
              <w:left w:val="nil"/>
              <w:bottom w:val="single" w:sz="4" w:space="0" w:color="auto"/>
              <w:right w:val="single" w:sz="4" w:space="0" w:color="auto"/>
            </w:tcBorders>
            <w:noWrap/>
            <w:vAlign w:val="center"/>
            <w:hideMark/>
          </w:tcPr>
          <w:p w14:paraId="0A0295FB"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1,3506</w:t>
            </w:r>
          </w:p>
        </w:tc>
        <w:tc>
          <w:tcPr>
            <w:tcW w:w="907" w:type="dxa"/>
            <w:tcBorders>
              <w:top w:val="nil"/>
              <w:left w:val="nil"/>
              <w:bottom w:val="single" w:sz="4" w:space="0" w:color="auto"/>
              <w:right w:val="single" w:sz="4" w:space="0" w:color="auto"/>
            </w:tcBorders>
            <w:noWrap/>
            <w:vAlign w:val="center"/>
            <w:hideMark/>
          </w:tcPr>
          <w:p w14:paraId="20407F99"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656BDA03"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75977F3A"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w:t>
            </w:r>
          </w:p>
        </w:tc>
        <w:tc>
          <w:tcPr>
            <w:tcW w:w="907" w:type="dxa"/>
            <w:tcBorders>
              <w:top w:val="nil"/>
              <w:left w:val="nil"/>
              <w:bottom w:val="single" w:sz="4" w:space="0" w:color="auto"/>
              <w:right w:val="single" w:sz="4" w:space="0" w:color="auto"/>
            </w:tcBorders>
            <w:noWrap/>
            <w:vAlign w:val="center"/>
            <w:hideMark/>
          </w:tcPr>
          <w:p w14:paraId="4FF8C19D"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1,3506</w:t>
            </w:r>
          </w:p>
        </w:tc>
        <w:tc>
          <w:tcPr>
            <w:tcW w:w="908" w:type="dxa"/>
            <w:tcBorders>
              <w:top w:val="nil"/>
              <w:left w:val="nil"/>
              <w:bottom w:val="single" w:sz="4" w:space="0" w:color="auto"/>
              <w:right w:val="single" w:sz="4" w:space="0" w:color="auto"/>
            </w:tcBorders>
            <w:noWrap/>
            <w:vAlign w:val="center"/>
            <w:hideMark/>
          </w:tcPr>
          <w:p w14:paraId="15289375"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w:t>
            </w:r>
          </w:p>
        </w:tc>
        <w:tc>
          <w:tcPr>
            <w:tcW w:w="1418" w:type="dxa"/>
            <w:tcBorders>
              <w:top w:val="nil"/>
              <w:left w:val="nil"/>
              <w:bottom w:val="single" w:sz="4" w:space="0" w:color="auto"/>
              <w:right w:val="single" w:sz="4" w:space="0" w:color="auto"/>
            </w:tcBorders>
            <w:noWrap/>
            <w:vAlign w:val="center"/>
            <w:hideMark/>
          </w:tcPr>
          <w:p w14:paraId="50ADA6CD"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w:t>
            </w:r>
          </w:p>
        </w:tc>
        <w:tc>
          <w:tcPr>
            <w:tcW w:w="1390" w:type="dxa"/>
            <w:tcBorders>
              <w:top w:val="nil"/>
              <w:left w:val="nil"/>
              <w:bottom w:val="single" w:sz="4" w:space="0" w:color="auto"/>
              <w:right w:val="single" w:sz="4" w:space="0" w:color="auto"/>
            </w:tcBorders>
            <w:noWrap/>
            <w:vAlign w:val="center"/>
            <w:hideMark/>
          </w:tcPr>
          <w:p w14:paraId="30E4E243"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57C8EB5F"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51FA7CD8"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11944270"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w:t>
            </w:r>
          </w:p>
        </w:tc>
      </w:tr>
      <w:tr w:rsidR="00C162B0" w:rsidRPr="00C162B0" w14:paraId="5A9E53D6" w14:textId="77777777" w:rsidTr="00C162B0">
        <w:trPr>
          <w:trHeight w:val="300"/>
          <w:jc w:val="center"/>
        </w:trPr>
        <w:tc>
          <w:tcPr>
            <w:tcW w:w="1980" w:type="dxa"/>
            <w:tcBorders>
              <w:top w:val="nil"/>
              <w:left w:val="single" w:sz="4" w:space="0" w:color="auto"/>
              <w:bottom w:val="single" w:sz="4" w:space="0" w:color="auto"/>
              <w:right w:val="single" w:sz="4" w:space="0" w:color="auto"/>
            </w:tcBorders>
            <w:noWrap/>
            <w:vAlign w:val="center"/>
            <w:hideMark/>
          </w:tcPr>
          <w:p w14:paraId="56BD2AA2"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CNU.KTI1</w:t>
            </w:r>
          </w:p>
        </w:tc>
        <w:tc>
          <w:tcPr>
            <w:tcW w:w="992" w:type="dxa"/>
            <w:tcBorders>
              <w:top w:val="nil"/>
              <w:left w:val="nil"/>
              <w:bottom w:val="single" w:sz="4" w:space="0" w:color="auto"/>
              <w:right w:val="single" w:sz="4" w:space="0" w:color="auto"/>
            </w:tcBorders>
            <w:noWrap/>
            <w:vAlign w:val="center"/>
            <w:hideMark/>
          </w:tcPr>
          <w:p w14:paraId="32197413"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2,4302</w:t>
            </w:r>
          </w:p>
        </w:tc>
        <w:tc>
          <w:tcPr>
            <w:tcW w:w="907" w:type="dxa"/>
            <w:tcBorders>
              <w:top w:val="nil"/>
              <w:left w:val="nil"/>
              <w:bottom w:val="single" w:sz="4" w:space="0" w:color="auto"/>
              <w:right w:val="single" w:sz="4" w:space="0" w:color="auto"/>
            </w:tcBorders>
            <w:noWrap/>
            <w:vAlign w:val="center"/>
            <w:hideMark/>
          </w:tcPr>
          <w:p w14:paraId="1586D3F9"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0,5087</w:t>
            </w:r>
          </w:p>
        </w:tc>
        <w:tc>
          <w:tcPr>
            <w:tcW w:w="907" w:type="dxa"/>
            <w:tcBorders>
              <w:top w:val="nil"/>
              <w:left w:val="nil"/>
              <w:bottom w:val="single" w:sz="4" w:space="0" w:color="auto"/>
              <w:right w:val="single" w:sz="4" w:space="0" w:color="auto"/>
            </w:tcBorders>
            <w:noWrap/>
            <w:vAlign w:val="center"/>
            <w:hideMark/>
          </w:tcPr>
          <w:p w14:paraId="707EAD7A"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0,1412</w:t>
            </w:r>
          </w:p>
        </w:tc>
        <w:tc>
          <w:tcPr>
            <w:tcW w:w="907" w:type="dxa"/>
            <w:tcBorders>
              <w:top w:val="nil"/>
              <w:left w:val="nil"/>
              <w:bottom w:val="single" w:sz="4" w:space="0" w:color="auto"/>
              <w:right w:val="single" w:sz="4" w:space="0" w:color="auto"/>
            </w:tcBorders>
            <w:noWrap/>
            <w:vAlign w:val="center"/>
            <w:hideMark/>
          </w:tcPr>
          <w:p w14:paraId="46D22019"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0,9103</w:t>
            </w:r>
          </w:p>
        </w:tc>
        <w:tc>
          <w:tcPr>
            <w:tcW w:w="907" w:type="dxa"/>
            <w:tcBorders>
              <w:top w:val="nil"/>
              <w:left w:val="nil"/>
              <w:bottom w:val="single" w:sz="4" w:space="0" w:color="auto"/>
              <w:right w:val="single" w:sz="4" w:space="0" w:color="auto"/>
            </w:tcBorders>
            <w:noWrap/>
            <w:vAlign w:val="center"/>
            <w:hideMark/>
          </w:tcPr>
          <w:p w14:paraId="062645D0"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0,5538</w:t>
            </w:r>
          </w:p>
        </w:tc>
        <w:tc>
          <w:tcPr>
            <w:tcW w:w="908" w:type="dxa"/>
            <w:tcBorders>
              <w:top w:val="nil"/>
              <w:left w:val="nil"/>
              <w:bottom w:val="single" w:sz="4" w:space="0" w:color="auto"/>
              <w:right w:val="single" w:sz="4" w:space="0" w:color="auto"/>
            </w:tcBorders>
            <w:noWrap/>
            <w:vAlign w:val="center"/>
            <w:hideMark/>
          </w:tcPr>
          <w:p w14:paraId="0550F12B"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0,3162</w:t>
            </w:r>
          </w:p>
        </w:tc>
        <w:tc>
          <w:tcPr>
            <w:tcW w:w="1418" w:type="dxa"/>
            <w:tcBorders>
              <w:top w:val="nil"/>
              <w:left w:val="nil"/>
              <w:bottom w:val="single" w:sz="4" w:space="0" w:color="auto"/>
              <w:right w:val="single" w:sz="4" w:space="0" w:color="auto"/>
            </w:tcBorders>
            <w:noWrap/>
            <w:vAlign w:val="center"/>
            <w:hideMark/>
          </w:tcPr>
          <w:p w14:paraId="0D409F5E"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0</w:t>
            </w:r>
          </w:p>
        </w:tc>
        <w:tc>
          <w:tcPr>
            <w:tcW w:w="1390" w:type="dxa"/>
            <w:tcBorders>
              <w:top w:val="nil"/>
              <w:left w:val="nil"/>
              <w:bottom w:val="single" w:sz="4" w:space="0" w:color="auto"/>
              <w:right w:val="single" w:sz="4" w:space="0" w:color="auto"/>
            </w:tcBorders>
            <w:noWrap/>
            <w:vAlign w:val="center"/>
            <w:hideMark/>
          </w:tcPr>
          <w:p w14:paraId="032E9B17"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2E006ED7"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61A8EB66"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NE</w:t>
            </w:r>
          </w:p>
        </w:tc>
        <w:tc>
          <w:tcPr>
            <w:tcW w:w="1390" w:type="dxa"/>
            <w:tcBorders>
              <w:top w:val="nil"/>
              <w:left w:val="nil"/>
              <w:bottom w:val="single" w:sz="4" w:space="0" w:color="auto"/>
              <w:right w:val="single" w:sz="4" w:space="0" w:color="auto"/>
            </w:tcBorders>
            <w:noWrap/>
            <w:vAlign w:val="center"/>
            <w:hideMark/>
          </w:tcPr>
          <w:p w14:paraId="285B88DD" w14:textId="77777777" w:rsidR="00C162B0" w:rsidRPr="00C162B0" w:rsidRDefault="00C162B0" w:rsidP="00C162B0">
            <w:pPr>
              <w:spacing w:after="0" w:line="240" w:lineRule="auto"/>
              <w:jc w:val="center"/>
              <w:rPr>
                <w:rFonts w:ascii="Calibri Light" w:eastAsia="Times New Roman" w:hAnsi="Calibri Light" w:cs="Calibri Light"/>
                <w:color w:val="000000"/>
                <w:sz w:val="18"/>
                <w:szCs w:val="18"/>
                <w:lang w:eastAsia="cs-CZ"/>
              </w:rPr>
            </w:pPr>
            <w:r w:rsidRPr="00C162B0">
              <w:rPr>
                <w:rFonts w:ascii="Calibri Light" w:eastAsia="Times New Roman" w:hAnsi="Calibri Light" w:cs="Calibri Light"/>
                <w:color w:val="000000"/>
                <w:sz w:val="18"/>
                <w:szCs w:val="18"/>
                <w:lang w:eastAsia="cs-CZ"/>
              </w:rPr>
              <w:t>NE</w:t>
            </w:r>
          </w:p>
        </w:tc>
      </w:tr>
      <w:tr w:rsidR="00C162B0" w:rsidRPr="006A42C9" w14:paraId="77425F63" w14:textId="77777777" w:rsidTr="006A42C9">
        <w:trPr>
          <w:trHeight w:val="300"/>
          <w:jc w:val="center"/>
        </w:trPr>
        <w:tc>
          <w:tcPr>
            <w:tcW w:w="1980" w:type="dxa"/>
            <w:tcBorders>
              <w:top w:val="nil"/>
              <w:left w:val="single" w:sz="4" w:space="0" w:color="auto"/>
              <w:bottom w:val="single" w:sz="4" w:space="0" w:color="auto"/>
              <w:right w:val="single" w:sz="4" w:space="0" w:color="auto"/>
            </w:tcBorders>
            <w:shd w:val="clear" w:color="auto" w:fill="F2F2F2" w:themeFill="background1" w:themeFillShade="F2"/>
            <w:noWrap/>
            <w:vAlign w:val="center"/>
            <w:hideMark/>
          </w:tcPr>
          <w:p w14:paraId="07031283" w14:textId="08A382DF" w:rsidR="00C162B0" w:rsidRPr="006A42C9" w:rsidRDefault="00EE2EBF"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C</w:t>
            </w:r>
            <w:r w:rsidR="00C162B0" w:rsidRPr="006A42C9">
              <w:rPr>
                <w:rFonts w:ascii="Calibri Light" w:eastAsia="Times New Roman" w:hAnsi="Calibri Light" w:cs="Calibri Light"/>
                <w:b/>
                <w:bCs/>
                <w:color w:val="000000"/>
                <w:sz w:val="20"/>
                <w:szCs w:val="20"/>
                <w:lang w:eastAsia="cs-CZ"/>
              </w:rPr>
              <w:t>elkem</w:t>
            </w:r>
            <w:r w:rsidRPr="006A42C9">
              <w:rPr>
                <w:rFonts w:ascii="Calibri Light" w:eastAsia="Times New Roman" w:hAnsi="Calibri Light" w:cs="Calibri Light"/>
                <w:b/>
                <w:bCs/>
                <w:color w:val="000000"/>
                <w:sz w:val="20"/>
                <w:szCs w:val="20"/>
                <w:lang w:eastAsia="cs-CZ"/>
              </w:rPr>
              <w:t>**</w:t>
            </w:r>
          </w:p>
        </w:tc>
        <w:tc>
          <w:tcPr>
            <w:tcW w:w="992" w:type="dxa"/>
            <w:tcBorders>
              <w:top w:val="nil"/>
              <w:left w:val="nil"/>
              <w:bottom w:val="single" w:sz="4" w:space="0" w:color="auto"/>
              <w:right w:val="single" w:sz="4" w:space="0" w:color="auto"/>
            </w:tcBorders>
            <w:shd w:val="clear" w:color="auto" w:fill="F2F2F2" w:themeFill="background1" w:themeFillShade="F2"/>
            <w:noWrap/>
            <w:vAlign w:val="center"/>
            <w:hideMark/>
          </w:tcPr>
          <w:p w14:paraId="1BE9CFEF"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8,6344</w:t>
            </w:r>
          </w:p>
        </w:tc>
        <w:tc>
          <w:tcPr>
            <w:tcW w:w="907" w:type="dxa"/>
            <w:tcBorders>
              <w:top w:val="nil"/>
              <w:left w:val="nil"/>
              <w:bottom w:val="single" w:sz="4" w:space="0" w:color="auto"/>
              <w:right w:val="single" w:sz="4" w:space="0" w:color="auto"/>
            </w:tcBorders>
            <w:shd w:val="clear" w:color="auto" w:fill="F2F2F2" w:themeFill="background1" w:themeFillShade="F2"/>
            <w:noWrap/>
            <w:vAlign w:val="center"/>
            <w:hideMark/>
          </w:tcPr>
          <w:p w14:paraId="73DABAF8"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3,4401</w:t>
            </w:r>
          </w:p>
        </w:tc>
        <w:tc>
          <w:tcPr>
            <w:tcW w:w="907" w:type="dxa"/>
            <w:tcBorders>
              <w:top w:val="nil"/>
              <w:left w:val="nil"/>
              <w:bottom w:val="single" w:sz="4" w:space="0" w:color="auto"/>
              <w:right w:val="single" w:sz="4" w:space="0" w:color="auto"/>
            </w:tcBorders>
            <w:shd w:val="clear" w:color="auto" w:fill="F2F2F2" w:themeFill="background1" w:themeFillShade="F2"/>
            <w:noWrap/>
            <w:vAlign w:val="center"/>
            <w:hideMark/>
          </w:tcPr>
          <w:p w14:paraId="2943B04F"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0,1412</w:t>
            </w:r>
          </w:p>
        </w:tc>
        <w:tc>
          <w:tcPr>
            <w:tcW w:w="907" w:type="dxa"/>
            <w:tcBorders>
              <w:top w:val="nil"/>
              <w:left w:val="nil"/>
              <w:bottom w:val="single" w:sz="4" w:space="0" w:color="auto"/>
              <w:right w:val="single" w:sz="4" w:space="0" w:color="auto"/>
            </w:tcBorders>
            <w:shd w:val="clear" w:color="auto" w:fill="F2F2F2" w:themeFill="background1" w:themeFillShade="F2"/>
            <w:noWrap/>
            <w:vAlign w:val="center"/>
            <w:hideMark/>
          </w:tcPr>
          <w:p w14:paraId="24CF960D"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0,9103</w:t>
            </w:r>
          </w:p>
        </w:tc>
        <w:tc>
          <w:tcPr>
            <w:tcW w:w="907" w:type="dxa"/>
            <w:tcBorders>
              <w:top w:val="nil"/>
              <w:left w:val="nil"/>
              <w:bottom w:val="single" w:sz="4" w:space="0" w:color="auto"/>
              <w:right w:val="single" w:sz="4" w:space="0" w:color="auto"/>
            </w:tcBorders>
            <w:shd w:val="clear" w:color="auto" w:fill="F2F2F2" w:themeFill="background1" w:themeFillShade="F2"/>
            <w:noWrap/>
            <w:vAlign w:val="center"/>
            <w:hideMark/>
          </w:tcPr>
          <w:p w14:paraId="4ABC31E9"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3,8266</w:t>
            </w:r>
          </w:p>
        </w:tc>
        <w:tc>
          <w:tcPr>
            <w:tcW w:w="908" w:type="dxa"/>
            <w:tcBorders>
              <w:top w:val="nil"/>
              <w:left w:val="nil"/>
              <w:bottom w:val="single" w:sz="4" w:space="0" w:color="auto"/>
              <w:right w:val="single" w:sz="4" w:space="0" w:color="auto"/>
            </w:tcBorders>
            <w:shd w:val="clear" w:color="auto" w:fill="F2F2F2" w:themeFill="background1" w:themeFillShade="F2"/>
            <w:noWrap/>
            <w:vAlign w:val="center"/>
            <w:hideMark/>
          </w:tcPr>
          <w:p w14:paraId="30D39289"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0,3162</w:t>
            </w:r>
          </w:p>
        </w:tc>
        <w:tc>
          <w:tcPr>
            <w:tcW w:w="1418" w:type="dxa"/>
            <w:tcBorders>
              <w:top w:val="nil"/>
              <w:left w:val="nil"/>
              <w:bottom w:val="single" w:sz="4" w:space="0" w:color="auto"/>
              <w:right w:val="single" w:sz="4" w:space="0" w:color="auto"/>
            </w:tcBorders>
            <w:shd w:val="clear" w:color="auto" w:fill="F2F2F2" w:themeFill="background1" w:themeFillShade="F2"/>
            <w:noWrap/>
            <w:vAlign w:val="center"/>
            <w:hideMark/>
          </w:tcPr>
          <w:p w14:paraId="3FA951E9"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0</w:t>
            </w:r>
          </w:p>
        </w:tc>
        <w:tc>
          <w:tcPr>
            <w:tcW w:w="1390" w:type="dxa"/>
            <w:tcBorders>
              <w:top w:val="nil"/>
              <w:left w:val="nil"/>
              <w:bottom w:val="single" w:sz="4" w:space="0" w:color="auto"/>
              <w:right w:val="single" w:sz="4" w:space="0" w:color="auto"/>
            </w:tcBorders>
            <w:shd w:val="clear" w:color="auto" w:fill="F2F2F2" w:themeFill="background1" w:themeFillShade="F2"/>
            <w:noWrap/>
            <w:vAlign w:val="center"/>
            <w:hideMark/>
          </w:tcPr>
          <w:p w14:paraId="5DB81DB3"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w:t>
            </w:r>
          </w:p>
        </w:tc>
        <w:tc>
          <w:tcPr>
            <w:tcW w:w="1390" w:type="dxa"/>
            <w:tcBorders>
              <w:top w:val="nil"/>
              <w:left w:val="nil"/>
              <w:bottom w:val="single" w:sz="4" w:space="0" w:color="auto"/>
              <w:right w:val="single" w:sz="4" w:space="0" w:color="auto"/>
            </w:tcBorders>
            <w:shd w:val="clear" w:color="auto" w:fill="F2F2F2" w:themeFill="background1" w:themeFillShade="F2"/>
            <w:noWrap/>
            <w:vAlign w:val="center"/>
            <w:hideMark/>
          </w:tcPr>
          <w:p w14:paraId="7B5855DC"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w:t>
            </w:r>
          </w:p>
        </w:tc>
        <w:tc>
          <w:tcPr>
            <w:tcW w:w="1390" w:type="dxa"/>
            <w:tcBorders>
              <w:top w:val="nil"/>
              <w:left w:val="nil"/>
              <w:bottom w:val="single" w:sz="4" w:space="0" w:color="auto"/>
              <w:right w:val="single" w:sz="4" w:space="0" w:color="auto"/>
            </w:tcBorders>
            <w:shd w:val="clear" w:color="auto" w:fill="F2F2F2" w:themeFill="background1" w:themeFillShade="F2"/>
            <w:noWrap/>
            <w:vAlign w:val="center"/>
            <w:hideMark/>
          </w:tcPr>
          <w:p w14:paraId="06E2C01A"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w:t>
            </w:r>
          </w:p>
        </w:tc>
        <w:tc>
          <w:tcPr>
            <w:tcW w:w="1390" w:type="dxa"/>
            <w:tcBorders>
              <w:top w:val="nil"/>
              <w:left w:val="nil"/>
              <w:bottom w:val="single" w:sz="4" w:space="0" w:color="auto"/>
              <w:right w:val="single" w:sz="4" w:space="0" w:color="auto"/>
            </w:tcBorders>
            <w:shd w:val="clear" w:color="auto" w:fill="F2F2F2" w:themeFill="background1" w:themeFillShade="F2"/>
            <w:noWrap/>
            <w:vAlign w:val="center"/>
            <w:hideMark/>
          </w:tcPr>
          <w:p w14:paraId="43F05D91" w14:textId="77777777" w:rsidR="00C162B0" w:rsidRPr="006A42C9" w:rsidRDefault="00C162B0" w:rsidP="00C162B0">
            <w:pPr>
              <w:spacing w:after="0" w:line="240" w:lineRule="auto"/>
              <w:jc w:val="center"/>
              <w:rPr>
                <w:rFonts w:ascii="Calibri Light" w:eastAsia="Times New Roman" w:hAnsi="Calibri Light" w:cs="Calibri Light"/>
                <w:b/>
                <w:bCs/>
                <w:color w:val="000000"/>
                <w:sz w:val="20"/>
                <w:szCs w:val="20"/>
                <w:lang w:eastAsia="cs-CZ"/>
              </w:rPr>
            </w:pPr>
            <w:r w:rsidRPr="006A42C9">
              <w:rPr>
                <w:rFonts w:ascii="Calibri Light" w:eastAsia="Times New Roman" w:hAnsi="Calibri Light" w:cs="Calibri Light"/>
                <w:b/>
                <w:bCs/>
                <w:color w:val="000000"/>
                <w:sz w:val="20"/>
                <w:szCs w:val="20"/>
                <w:lang w:eastAsia="cs-CZ"/>
              </w:rPr>
              <w:t>-</w:t>
            </w:r>
          </w:p>
        </w:tc>
      </w:tr>
    </w:tbl>
    <w:p w14:paraId="1D7AD83E" w14:textId="3132A492" w:rsidR="004321A6" w:rsidRPr="006070EA" w:rsidRDefault="004321A6" w:rsidP="004321A6">
      <w:pPr>
        <w:pStyle w:val="Anadpiskurzva"/>
        <w:rPr>
          <w:rFonts w:asciiTheme="majorHAnsi" w:eastAsia="Calibri" w:hAnsiTheme="majorHAnsi" w:cstheme="majorHAnsi"/>
        </w:rPr>
      </w:pPr>
      <w:r w:rsidRPr="006070EA">
        <w:rPr>
          <w:rFonts w:asciiTheme="majorHAnsi" w:eastAsia="Calibri" w:hAnsiTheme="majorHAnsi" w:cstheme="majorHAnsi"/>
        </w:rPr>
        <w:t xml:space="preserve">* </w:t>
      </w:r>
      <w:r w:rsidR="0085631A" w:rsidRPr="006070EA">
        <w:rPr>
          <w:rFonts w:asciiTheme="majorHAnsi" w:eastAsia="Calibri" w:hAnsiTheme="majorHAnsi" w:cstheme="majorHAnsi"/>
        </w:rPr>
        <w:t xml:space="preserve">koridor </w:t>
      </w:r>
      <w:r w:rsidR="00300530" w:rsidRPr="006070EA">
        <w:rPr>
          <w:rFonts w:asciiTheme="majorHAnsi" w:eastAsia="Calibri" w:hAnsiTheme="majorHAnsi" w:cstheme="majorHAnsi"/>
        </w:rPr>
        <w:t>CNU.</w:t>
      </w:r>
      <w:r w:rsidR="0085631A" w:rsidRPr="006070EA">
        <w:rPr>
          <w:rFonts w:asciiTheme="majorHAnsi" w:eastAsia="Calibri" w:hAnsiTheme="majorHAnsi" w:cstheme="majorHAnsi"/>
        </w:rPr>
        <w:t xml:space="preserve">KD1 zahrnuje 3 varianty trasování přeložky silnice III/3317, </w:t>
      </w:r>
      <w:r w:rsidR="00C162B0">
        <w:rPr>
          <w:rFonts w:asciiTheme="majorHAnsi" w:eastAsia="Calibri" w:hAnsiTheme="majorHAnsi" w:cstheme="majorHAnsi"/>
        </w:rPr>
        <w:t xml:space="preserve">související s </w:t>
      </w:r>
      <w:r w:rsidR="0085631A" w:rsidRPr="006070EA">
        <w:rPr>
          <w:rFonts w:asciiTheme="majorHAnsi" w:eastAsia="Calibri" w:hAnsiTheme="majorHAnsi" w:cstheme="majorHAnsi"/>
        </w:rPr>
        <w:t xml:space="preserve">modernizací železniční trati </w:t>
      </w:r>
      <w:r w:rsidR="00C162B0">
        <w:rPr>
          <w:rFonts w:asciiTheme="majorHAnsi" w:eastAsia="Calibri" w:hAnsiTheme="majorHAnsi" w:cstheme="majorHAnsi"/>
        </w:rPr>
        <w:t>v koridoru CNZ.D322</w:t>
      </w:r>
      <w:r w:rsidR="0085631A" w:rsidRPr="006070EA">
        <w:rPr>
          <w:rFonts w:asciiTheme="majorHAnsi" w:eastAsia="Calibri" w:hAnsiTheme="majorHAnsi" w:cstheme="majorHAnsi"/>
        </w:rPr>
        <w:t>; údaje v tabulce výše uvádí možný zábor ZPF v závislosti na výsledné variantě trasování přeložky silnice, přičemž výsledný zábor ZPF bude realizován pouze v jedné z těchto variant</w:t>
      </w:r>
    </w:p>
    <w:p w14:paraId="2CE37D9E" w14:textId="03E04DB4" w:rsidR="0085631A" w:rsidRPr="00EF7B4B" w:rsidRDefault="0085631A" w:rsidP="004321A6">
      <w:pPr>
        <w:pStyle w:val="Anadpiskurzva"/>
        <w:rPr>
          <w:rFonts w:asciiTheme="majorHAnsi" w:eastAsia="Calibri" w:hAnsiTheme="majorHAnsi" w:cstheme="majorHAnsi"/>
        </w:rPr>
      </w:pPr>
      <w:r w:rsidRPr="006070EA">
        <w:rPr>
          <w:rFonts w:asciiTheme="majorHAnsi" w:eastAsia="Calibri" w:hAnsiTheme="majorHAnsi" w:cstheme="majorHAnsi"/>
        </w:rPr>
        <w:t xml:space="preserve">** reálný celkový zábor ZPF v důsledku vymezení koridorů bude nižší, zejména s ohledem na výslednou zvolenou variantu přeložky silnice III/3317 v koridoru </w:t>
      </w:r>
      <w:r w:rsidR="00300530" w:rsidRPr="006070EA">
        <w:rPr>
          <w:rFonts w:asciiTheme="majorHAnsi" w:eastAsia="Calibri" w:hAnsiTheme="majorHAnsi" w:cstheme="majorHAnsi"/>
        </w:rPr>
        <w:t>CNU.</w:t>
      </w:r>
      <w:r w:rsidRPr="006070EA">
        <w:rPr>
          <w:rFonts w:asciiTheme="majorHAnsi" w:eastAsia="Calibri" w:hAnsiTheme="majorHAnsi" w:cstheme="majorHAnsi"/>
        </w:rPr>
        <w:t>KD1</w:t>
      </w:r>
    </w:p>
    <w:p w14:paraId="41C62ED5" w14:textId="77777777" w:rsidR="00AC3D3F" w:rsidRDefault="00AC3D3F" w:rsidP="00AC3D3F">
      <w:pPr>
        <w:spacing w:after="0" w:line="240" w:lineRule="auto"/>
        <w:rPr>
          <w:rFonts w:asciiTheme="majorHAnsi" w:hAnsiTheme="majorHAnsi" w:cstheme="majorHAnsi"/>
          <w:color w:val="FF0000"/>
        </w:rPr>
      </w:pPr>
    </w:p>
    <w:p w14:paraId="65802C84" w14:textId="77777777" w:rsidR="00AC3D3F" w:rsidRDefault="00AC3D3F" w:rsidP="00AC3D3F">
      <w:pPr>
        <w:spacing w:after="0" w:line="240" w:lineRule="auto"/>
        <w:rPr>
          <w:rFonts w:asciiTheme="majorHAnsi" w:hAnsiTheme="majorHAnsi" w:cstheme="majorHAnsi"/>
          <w:color w:val="FF0000"/>
        </w:rPr>
      </w:pPr>
    </w:p>
    <w:p w14:paraId="754C37EE" w14:textId="77777777" w:rsidR="00AC3D3F" w:rsidRDefault="00AC3D3F" w:rsidP="00AC3D3F">
      <w:pPr>
        <w:spacing w:after="0" w:line="240" w:lineRule="auto"/>
        <w:rPr>
          <w:rFonts w:asciiTheme="majorHAnsi" w:hAnsiTheme="majorHAnsi" w:cstheme="majorHAnsi"/>
          <w:color w:val="FF0000"/>
        </w:rPr>
      </w:pPr>
    </w:p>
    <w:p w14:paraId="1B430AE4" w14:textId="77777777" w:rsidR="00AC3D3F" w:rsidRDefault="00AC3D3F" w:rsidP="00AC3D3F">
      <w:pPr>
        <w:spacing w:after="0" w:line="240" w:lineRule="auto"/>
        <w:rPr>
          <w:rFonts w:asciiTheme="majorHAnsi" w:hAnsiTheme="majorHAnsi" w:cstheme="majorHAnsi"/>
          <w:color w:val="FF0000"/>
        </w:rPr>
      </w:pPr>
    </w:p>
    <w:p w14:paraId="4F008083" w14:textId="77777777" w:rsidR="00AC3D3F" w:rsidRDefault="00AC3D3F" w:rsidP="00AC3D3F">
      <w:pPr>
        <w:spacing w:after="0" w:line="240" w:lineRule="auto"/>
        <w:rPr>
          <w:rFonts w:asciiTheme="majorHAnsi" w:hAnsiTheme="majorHAnsi" w:cstheme="majorHAnsi"/>
          <w:color w:val="FF0000"/>
        </w:rPr>
      </w:pPr>
    </w:p>
    <w:p w14:paraId="242DF5B0" w14:textId="77777777" w:rsidR="00AC3D3F" w:rsidRDefault="00AC3D3F" w:rsidP="00AC3D3F">
      <w:pPr>
        <w:spacing w:after="0" w:line="240" w:lineRule="auto"/>
        <w:rPr>
          <w:rFonts w:asciiTheme="majorHAnsi" w:hAnsiTheme="majorHAnsi" w:cstheme="majorHAnsi"/>
          <w:color w:val="FF0000"/>
        </w:rPr>
        <w:sectPr w:rsidR="00AC3D3F" w:rsidSect="00EC0BC6">
          <w:headerReference w:type="default" r:id="rId69"/>
          <w:footerReference w:type="default" r:id="rId70"/>
          <w:pgSz w:w="16838" w:h="11906" w:orient="landscape"/>
          <w:pgMar w:top="1418" w:right="851" w:bottom="1418" w:left="851" w:header="709" w:footer="431" w:gutter="0"/>
          <w:cols w:space="708"/>
          <w:docGrid w:linePitch="360"/>
        </w:sectPr>
      </w:pPr>
    </w:p>
    <w:p w14:paraId="712841D7" w14:textId="65AE2C3A" w:rsidR="00AC3D3F" w:rsidRPr="00AC3D3F" w:rsidRDefault="00AC3D3F" w:rsidP="00AC3D3F">
      <w:pPr>
        <w:pBdr>
          <w:top w:val="single" w:sz="8" w:space="1" w:color="auto"/>
          <w:left w:val="single" w:sz="8" w:space="4" w:color="auto"/>
          <w:bottom w:val="single" w:sz="8" w:space="1" w:color="auto"/>
          <w:right w:val="single" w:sz="8" w:space="4" w:color="auto"/>
        </w:pBdr>
        <w:shd w:val="clear" w:color="auto" w:fill="F2F2F2" w:themeFill="background1" w:themeFillShade="F2"/>
        <w:spacing w:after="200" w:line="240" w:lineRule="auto"/>
        <w:jc w:val="both"/>
        <w:outlineLvl w:val="0"/>
        <w:rPr>
          <w:rFonts w:asciiTheme="majorHAnsi" w:hAnsiTheme="majorHAnsi" w:cstheme="majorHAnsi"/>
          <w:b/>
          <w:sz w:val="24"/>
          <w:szCs w:val="28"/>
        </w:rPr>
      </w:pPr>
      <w:bookmarkStart w:id="500" w:name="_Toc189583525"/>
      <w:bookmarkStart w:id="501" w:name="_Toc204678251"/>
      <w:r w:rsidRPr="00AC3D3F">
        <w:rPr>
          <w:rFonts w:asciiTheme="majorHAnsi" w:hAnsiTheme="majorHAnsi" w:cstheme="majorHAnsi"/>
          <w:b/>
          <w:sz w:val="24"/>
          <w:szCs w:val="28"/>
        </w:rPr>
        <w:lastRenderedPageBreak/>
        <w:t xml:space="preserve">PŘÍLOHA Č. </w:t>
      </w:r>
      <w:r>
        <w:rPr>
          <w:rFonts w:asciiTheme="majorHAnsi" w:hAnsiTheme="majorHAnsi" w:cstheme="majorHAnsi"/>
          <w:b/>
          <w:sz w:val="24"/>
          <w:szCs w:val="28"/>
        </w:rPr>
        <w:t>3</w:t>
      </w:r>
      <w:r w:rsidRPr="00AC3D3F">
        <w:rPr>
          <w:rFonts w:asciiTheme="majorHAnsi" w:hAnsiTheme="majorHAnsi" w:cstheme="majorHAnsi"/>
          <w:b/>
          <w:sz w:val="24"/>
          <w:szCs w:val="28"/>
        </w:rPr>
        <w:t>: POSOUZENÍ SOULADU ÚZEMNÍHO PLÁNU S JEDNOTNÝM STANDARDEM (PROTOKOL ETL)</w:t>
      </w:r>
      <w:bookmarkEnd w:id="500"/>
      <w:bookmarkEnd w:id="501"/>
    </w:p>
    <w:p w14:paraId="21DA85DA"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IMPORT ÚZEMNÍHO PLÁNU OBCE 537331 spuštěn v 2025-07-29 15:18:02 </w:t>
      </w:r>
    </w:p>
    <w:p w14:paraId="574DB823"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5B9DFC8B" w14:textId="77777777" w:rsidR="00DE14BC" w:rsidRPr="00DE14BC" w:rsidRDefault="00DE14BC" w:rsidP="00DE14BC">
      <w:pPr>
        <w:spacing w:after="0" w:line="240" w:lineRule="auto"/>
        <w:rPr>
          <w:rFonts w:ascii="Calibri" w:hAnsi="Calibri" w:cs="Calibri"/>
        </w:rPr>
      </w:pPr>
    </w:p>
    <w:p w14:paraId="56EE349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reseneuzemi_p.shp </w:t>
      </w:r>
    </w:p>
    <w:p w14:paraId="0B6370E0" w14:textId="77777777" w:rsidR="00DE14BC" w:rsidRPr="00DE14BC" w:rsidRDefault="00DE14BC" w:rsidP="00DE14BC">
      <w:pPr>
        <w:spacing w:after="0" w:line="240" w:lineRule="auto"/>
        <w:rPr>
          <w:rFonts w:ascii="Calibri" w:hAnsi="Calibri" w:cs="Calibri"/>
        </w:rPr>
      </w:pPr>
    </w:p>
    <w:p w14:paraId="00EDFED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ReseneUzemi úspěšně načtena </w:t>
      </w:r>
    </w:p>
    <w:p w14:paraId="45556FA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w:t>
      </w:r>
      <w:proofErr w:type="gramStart"/>
      <w:r w:rsidRPr="00DE14BC">
        <w:rPr>
          <w:rFonts w:ascii="Calibri" w:hAnsi="Calibri" w:cs="Calibri"/>
        </w:rPr>
        <w:t>ReseneUzemi :</w:t>
      </w:r>
      <w:proofErr w:type="gramEnd"/>
      <w:r w:rsidRPr="00DE14BC">
        <w:rPr>
          <w:rFonts w:ascii="Calibri" w:hAnsi="Calibri" w:cs="Calibri"/>
        </w:rPr>
        <w:t xml:space="preserve"> 1 </w:t>
      </w:r>
    </w:p>
    <w:p w14:paraId="79A9C17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ReseneUzemi neobsahuje nulové geometrie </w:t>
      </w:r>
    </w:p>
    <w:p w14:paraId="00710A4B" w14:textId="77777777" w:rsidR="00DE14BC" w:rsidRPr="00DE14BC" w:rsidRDefault="00DE14BC" w:rsidP="00DE14BC">
      <w:pPr>
        <w:spacing w:after="0" w:line="240" w:lineRule="auto"/>
        <w:rPr>
          <w:rFonts w:ascii="Calibri" w:hAnsi="Calibri" w:cs="Calibri"/>
        </w:rPr>
      </w:pPr>
    </w:p>
    <w:p w14:paraId="0BA49B1E" w14:textId="77777777" w:rsidR="00DE14BC" w:rsidRPr="00DE14BC" w:rsidRDefault="00DE14BC" w:rsidP="00DE14BC">
      <w:pPr>
        <w:spacing w:after="0" w:line="240" w:lineRule="auto"/>
        <w:rPr>
          <w:rFonts w:ascii="Calibri" w:hAnsi="Calibri" w:cs="Calibri"/>
        </w:rPr>
      </w:pPr>
    </w:p>
    <w:p w14:paraId="44DF866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Varování: Neexistuje soubor uzemiprvkyrp_p.shp </w:t>
      </w:r>
    </w:p>
    <w:p w14:paraId="4E33B462" w14:textId="77777777" w:rsidR="00DE14BC" w:rsidRPr="00DE14BC" w:rsidRDefault="00DE14BC" w:rsidP="00DE14BC">
      <w:pPr>
        <w:spacing w:after="0" w:line="240" w:lineRule="auto"/>
        <w:rPr>
          <w:rFonts w:ascii="Calibri" w:hAnsi="Calibri" w:cs="Calibri"/>
        </w:rPr>
      </w:pPr>
    </w:p>
    <w:p w14:paraId="309BF41C" w14:textId="77777777" w:rsidR="00DE14BC" w:rsidRPr="00DE14BC" w:rsidRDefault="00DE14BC" w:rsidP="00DE14BC">
      <w:pPr>
        <w:spacing w:after="0" w:line="240" w:lineRule="auto"/>
        <w:rPr>
          <w:rFonts w:ascii="Calibri" w:hAnsi="Calibri" w:cs="Calibri"/>
        </w:rPr>
      </w:pPr>
    </w:p>
    <w:p w14:paraId="69F0AE3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plochyrzv_p.shp </w:t>
      </w:r>
    </w:p>
    <w:p w14:paraId="515837DD" w14:textId="77777777" w:rsidR="00DE14BC" w:rsidRPr="00DE14BC" w:rsidRDefault="00DE14BC" w:rsidP="00DE14BC">
      <w:pPr>
        <w:spacing w:after="0" w:line="240" w:lineRule="auto"/>
        <w:rPr>
          <w:rFonts w:ascii="Calibri" w:hAnsi="Calibri" w:cs="Calibri"/>
        </w:rPr>
      </w:pPr>
    </w:p>
    <w:p w14:paraId="406408D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PlochyRZV úspěšně načtena </w:t>
      </w:r>
    </w:p>
    <w:p w14:paraId="58B47EC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w:t>
      </w:r>
      <w:proofErr w:type="gramStart"/>
      <w:r w:rsidRPr="00DE14BC">
        <w:rPr>
          <w:rFonts w:ascii="Calibri" w:hAnsi="Calibri" w:cs="Calibri"/>
        </w:rPr>
        <w:t>PlochyRZV :</w:t>
      </w:r>
      <w:proofErr w:type="gramEnd"/>
      <w:r w:rsidRPr="00DE14BC">
        <w:rPr>
          <w:rFonts w:ascii="Calibri" w:hAnsi="Calibri" w:cs="Calibri"/>
        </w:rPr>
        <w:t xml:space="preserve"> 434 </w:t>
      </w:r>
    </w:p>
    <w:p w14:paraId="1F71054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PlochyRZV neobsahuje nulové geometrie </w:t>
      </w:r>
    </w:p>
    <w:p w14:paraId="4DE4D607" w14:textId="77777777" w:rsidR="00DE14BC" w:rsidRPr="00DE14BC" w:rsidRDefault="00DE14BC" w:rsidP="00DE14BC">
      <w:pPr>
        <w:spacing w:after="0" w:line="240" w:lineRule="auto"/>
        <w:rPr>
          <w:rFonts w:ascii="Calibri" w:hAnsi="Calibri" w:cs="Calibri"/>
        </w:rPr>
      </w:pPr>
    </w:p>
    <w:p w14:paraId="5EF3A4D4" w14:textId="77777777" w:rsidR="00DE14BC" w:rsidRPr="00DE14BC" w:rsidRDefault="00DE14BC" w:rsidP="00DE14BC">
      <w:pPr>
        <w:spacing w:after="0" w:line="240" w:lineRule="auto"/>
        <w:rPr>
          <w:rFonts w:ascii="Calibri" w:hAnsi="Calibri" w:cs="Calibri"/>
        </w:rPr>
      </w:pPr>
    </w:p>
    <w:p w14:paraId="4407547F"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zastaveneuzemi_p.shp </w:t>
      </w:r>
    </w:p>
    <w:p w14:paraId="68417329" w14:textId="77777777" w:rsidR="00DE14BC" w:rsidRPr="00DE14BC" w:rsidRDefault="00DE14BC" w:rsidP="00DE14BC">
      <w:pPr>
        <w:spacing w:after="0" w:line="240" w:lineRule="auto"/>
        <w:rPr>
          <w:rFonts w:ascii="Calibri" w:hAnsi="Calibri" w:cs="Calibri"/>
        </w:rPr>
      </w:pPr>
    </w:p>
    <w:p w14:paraId="31EBE2B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ZastaveneUzemi úspěšně načtena </w:t>
      </w:r>
    </w:p>
    <w:p w14:paraId="4165FCE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w:t>
      </w:r>
      <w:proofErr w:type="gramStart"/>
      <w:r w:rsidRPr="00DE14BC">
        <w:rPr>
          <w:rFonts w:ascii="Calibri" w:hAnsi="Calibri" w:cs="Calibri"/>
        </w:rPr>
        <w:t>ZastaveneUzemi :</w:t>
      </w:r>
      <w:proofErr w:type="gramEnd"/>
      <w:r w:rsidRPr="00DE14BC">
        <w:rPr>
          <w:rFonts w:ascii="Calibri" w:hAnsi="Calibri" w:cs="Calibri"/>
        </w:rPr>
        <w:t xml:space="preserve"> 26 </w:t>
      </w:r>
    </w:p>
    <w:p w14:paraId="00A4AD2D"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ZastaveneUzemi neobsahuje nulové geometrie </w:t>
      </w:r>
    </w:p>
    <w:p w14:paraId="489436BE" w14:textId="77777777" w:rsidR="00DE14BC" w:rsidRPr="00DE14BC" w:rsidRDefault="00DE14BC" w:rsidP="00DE14BC">
      <w:pPr>
        <w:spacing w:after="0" w:line="240" w:lineRule="auto"/>
        <w:rPr>
          <w:rFonts w:ascii="Calibri" w:hAnsi="Calibri" w:cs="Calibri"/>
        </w:rPr>
      </w:pPr>
    </w:p>
    <w:p w14:paraId="7904F4FB" w14:textId="77777777" w:rsidR="00DE14BC" w:rsidRPr="00DE14BC" w:rsidRDefault="00DE14BC" w:rsidP="00DE14BC">
      <w:pPr>
        <w:spacing w:after="0" w:line="240" w:lineRule="auto"/>
        <w:rPr>
          <w:rFonts w:ascii="Calibri" w:hAnsi="Calibri" w:cs="Calibri"/>
        </w:rPr>
      </w:pPr>
    </w:p>
    <w:p w14:paraId="4E37444F"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uzemnirezervy_p.shp </w:t>
      </w:r>
    </w:p>
    <w:p w14:paraId="39445FBE" w14:textId="77777777" w:rsidR="00DE14BC" w:rsidRPr="00DE14BC" w:rsidRDefault="00DE14BC" w:rsidP="00DE14BC">
      <w:pPr>
        <w:spacing w:after="0" w:line="240" w:lineRule="auto"/>
        <w:rPr>
          <w:rFonts w:ascii="Calibri" w:hAnsi="Calibri" w:cs="Calibri"/>
        </w:rPr>
      </w:pPr>
    </w:p>
    <w:p w14:paraId="0F19DC1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UzemniRezervy úspěšně načtena </w:t>
      </w:r>
    </w:p>
    <w:p w14:paraId="6E1CE638"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w:t>
      </w:r>
      <w:proofErr w:type="gramStart"/>
      <w:r w:rsidRPr="00DE14BC">
        <w:rPr>
          <w:rFonts w:ascii="Calibri" w:hAnsi="Calibri" w:cs="Calibri"/>
        </w:rPr>
        <w:t>UzemniRezervy :</w:t>
      </w:r>
      <w:proofErr w:type="gramEnd"/>
      <w:r w:rsidRPr="00DE14BC">
        <w:rPr>
          <w:rFonts w:ascii="Calibri" w:hAnsi="Calibri" w:cs="Calibri"/>
        </w:rPr>
        <w:t xml:space="preserve"> 1  </w:t>
      </w:r>
    </w:p>
    <w:p w14:paraId="65B8F55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UzemniRezervy neobsahuje nulové geometrie </w:t>
      </w:r>
    </w:p>
    <w:p w14:paraId="03A811C0" w14:textId="77777777" w:rsidR="00DE14BC" w:rsidRPr="00DE14BC" w:rsidRDefault="00DE14BC" w:rsidP="00DE14BC">
      <w:pPr>
        <w:spacing w:after="0" w:line="240" w:lineRule="auto"/>
        <w:rPr>
          <w:rFonts w:ascii="Calibri" w:hAnsi="Calibri" w:cs="Calibri"/>
        </w:rPr>
      </w:pPr>
    </w:p>
    <w:p w14:paraId="61BDA6C0" w14:textId="77777777" w:rsidR="00DE14BC" w:rsidRPr="00DE14BC" w:rsidRDefault="00DE14BC" w:rsidP="00DE14BC">
      <w:pPr>
        <w:spacing w:after="0" w:line="240" w:lineRule="auto"/>
        <w:rPr>
          <w:rFonts w:ascii="Calibri" w:hAnsi="Calibri" w:cs="Calibri"/>
        </w:rPr>
      </w:pPr>
    </w:p>
    <w:p w14:paraId="43B2EFD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koridoryp_p.shp </w:t>
      </w:r>
    </w:p>
    <w:p w14:paraId="42A7C7A6" w14:textId="77777777" w:rsidR="00DE14BC" w:rsidRPr="00DE14BC" w:rsidRDefault="00DE14BC" w:rsidP="00DE14BC">
      <w:pPr>
        <w:spacing w:after="0" w:line="240" w:lineRule="auto"/>
        <w:rPr>
          <w:rFonts w:ascii="Calibri" w:hAnsi="Calibri" w:cs="Calibri"/>
        </w:rPr>
      </w:pPr>
    </w:p>
    <w:p w14:paraId="39A2FC27"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KoridoryP úspěšně načtena </w:t>
      </w:r>
    </w:p>
    <w:p w14:paraId="3CB03DA2" w14:textId="77777777" w:rsidR="00DE14BC" w:rsidRPr="00DE14BC" w:rsidRDefault="00DE14BC" w:rsidP="00DE14BC">
      <w:pPr>
        <w:spacing w:after="0" w:line="240" w:lineRule="auto"/>
        <w:rPr>
          <w:rFonts w:ascii="Calibri" w:hAnsi="Calibri" w:cs="Calibri"/>
        </w:rPr>
      </w:pPr>
    </w:p>
    <w:p w14:paraId="5039450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Varování: Tabulka KoridoryP je prázdná </w:t>
      </w:r>
    </w:p>
    <w:p w14:paraId="401AA4F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KoridoryP neobsahuje nulové geometrie </w:t>
      </w:r>
    </w:p>
    <w:p w14:paraId="593870A0" w14:textId="77777777" w:rsidR="00DE14BC" w:rsidRPr="00DE14BC" w:rsidRDefault="00DE14BC" w:rsidP="00DE14BC">
      <w:pPr>
        <w:spacing w:after="0" w:line="240" w:lineRule="auto"/>
        <w:rPr>
          <w:rFonts w:ascii="Calibri" w:hAnsi="Calibri" w:cs="Calibri"/>
        </w:rPr>
      </w:pPr>
    </w:p>
    <w:p w14:paraId="6545877C" w14:textId="77777777" w:rsidR="00DE14BC" w:rsidRPr="00DE14BC" w:rsidRDefault="00DE14BC" w:rsidP="00DE14BC">
      <w:pPr>
        <w:spacing w:after="0" w:line="240" w:lineRule="auto"/>
        <w:rPr>
          <w:rFonts w:ascii="Calibri" w:hAnsi="Calibri" w:cs="Calibri"/>
        </w:rPr>
      </w:pPr>
    </w:p>
    <w:p w14:paraId="376B8653"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koridoryn_p.shp </w:t>
      </w:r>
    </w:p>
    <w:p w14:paraId="330CF5AB" w14:textId="77777777" w:rsidR="00DE14BC" w:rsidRPr="00DE14BC" w:rsidRDefault="00DE14BC" w:rsidP="00DE14BC">
      <w:pPr>
        <w:spacing w:after="0" w:line="240" w:lineRule="auto"/>
        <w:rPr>
          <w:rFonts w:ascii="Calibri" w:hAnsi="Calibri" w:cs="Calibri"/>
        </w:rPr>
      </w:pPr>
    </w:p>
    <w:p w14:paraId="133980F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KoridoryN úspěšně načtena </w:t>
      </w:r>
    </w:p>
    <w:p w14:paraId="2014F6B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w:t>
      </w:r>
      <w:proofErr w:type="gramStart"/>
      <w:r w:rsidRPr="00DE14BC">
        <w:rPr>
          <w:rFonts w:ascii="Calibri" w:hAnsi="Calibri" w:cs="Calibri"/>
        </w:rPr>
        <w:t>KoridoryN :</w:t>
      </w:r>
      <w:proofErr w:type="gramEnd"/>
      <w:r w:rsidRPr="00DE14BC">
        <w:rPr>
          <w:rFonts w:ascii="Calibri" w:hAnsi="Calibri" w:cs="Calibri"/>
        </w:rPr>
        <w:t xml:space="preserve"> 7  </w:t>
      </w:r>
    </w:p>
    <w:p w14:paraId="5F48CD4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KoridoryN neobsahuje nulové geometrie </w:t>
      </w:r>
    </w:p>
    <w:p w14:paraId="06F7E2A1" w14:textId="77777777" w:rsidR="00DE14BC" w:rsidRPr="00DE14BC" w:rsidRDefault="00DE14BC" w:rsidP="00DE14BC">
      <w:pPr>
        <w:spacing w:after="0" w:line="240" w:lineRule="auto"/>
        <w:rPr>
          <w:rFonts w:ascii="Calibri" w:hAnsi="Calibri" w:cs="Calibri"/>
        </w:rPr>
      </w:pPr>
    </w:p>
    <w:p w14:paraId="6EBDF90D" w14:textId="77777777" w:rsidR="00DE14BC" w:rsidRPr="00DE14BC" w:rsidRDefault="00DE14BC" w:rsidP="00DE14BC">
      <w:pPr>
        <w:spacing w:after="0" w:line="240" w:lineRule="auto"/>
        <w:rPr>
          <w:rFonts w:ascii="Calibri" w:hAnsi="Calibri" w:cs="Calibri"/>
        </w:rPr>
      </w:pPr>
    </w:p>
    <w:p w14:paraId="09085B4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plochyzmen_p.shp </w:t>
      </w:r>
    </w:p>
    <w:p w14:paraId="20A1F6C7" w14:textId="77777777" w:rsidR="00DE14BC" w:rsidRPr="00DE14BC" w:rsidRDefault="00DE14BC" w:rsidP="00DE14BC">
      <w:pPr>
        <w:spacing w:after="0" w:line="240" w:lineRule="auto"/>
        <w:rPr>
          <w:rFonts w:ascii="Calibri" w:hAnsi="Calibri" w:cs="Calibri"/>
        </w:rPr>
      </w:pPr>
    </w:p>
    <w:p w14:paraId="0084F72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PlochyZmen úspěšně načtena </w:t>
      </w:r>
    </w:p>
    <w:p w14:paraId="080B4CBF"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w:t>
      </w:r>
      <w:proofErr w:type="gramStart"/>
      <w:r w:rsidRPr="00DE14BC">
        <w:rPr>
          <w:rFonts w:ascii="Calibri" w:hAnsi="Calibri" w:cs="Calibri"/>
        </w:rPr>
        <w:t>PlochyZmen :</w:t>
      </w:r>
      <w:proofErr w:type="gramEnd"/>
      <w:r w:rsidRPr="00DE14BC">
        <w:rPr>
          <w:rFonts w:ascii="Calibri" w:hAnsi="Calibri" w:cs="Calibri"/>
        </w:rPr>
        <w:t xml:space="preserve"> 26 </w:t>
      </w:r>
    </w:p>
    <w:p w14:paraId="348BF53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PlochyZmen neobsahuje nulové geometrie </w:t>
      </w:r>
    </w:p>
    <w:p w14:paraId="784BC676" w14:textId="77777777" w:rsidR="00DE14BC" w:rsidRPr="00DE14BC" w:rsidRDefault="00DE14BC" w:rsidP="00DE14BC">
      <w:pPr>
        <w:spacing w:after="0" w:line="240" w:lineRule="auto"/>
        <w:rPr>
          <w:rFonts w:ascii="Calibri" w:hAnsi="Calibri" w:cs="Calibri"/>
        </w:rPr>
      </w:pPr>
    </w:p>
    <w:p w14:paraId="0E09A640" w14:textId="77777777" w:rsidR="00DE14BC" w:rsidRPr="00DE14BC" w:rsidRDefault="00DE14BC" w:rsidP="00DE14BC">
      <w:pPr>
        <w:spacing w:after="0" w:line="240" w:lineRule="auto"/>
        <w:rPr>
          <w:rFonts w:ascii="Calibri" w:hAnsi="Calibri" w:cs="Calibri"/>
        </w:rPr>
      </w:pPr>
    </w:p>
    <w:p w14:paraId="233BAD68"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plochypodm_p.shp </w:t>
      </w:r>
    </w:p>
    <w:p w14:paraId="4378458C" w14:textId="77777777" w:rsidR="00DE14BC" w:rsidRPr="00DE14BC" w:rsidRDefault="00DE14BC" w:rsidP="00DE14BC">
      <w:pPr>
        <w:spacing w:after="0" w:line="240" w:lineRule="auto"/>
        <w:rPr>
          <w:rFonts w:ascii="Calibri" w:hAnsi="Calibri" w:cs="Calibri"/>
        </w:rPr>
      </w:pPr>
    </w:p>
    <w:p w14:paraId="7810F2B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PlochyPodm úspěšně načtena </w:t>
      </w:r>
    </w:p>
    <w:p w14:paraId="3D3CFF3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w:t>
      </w:r>
      <w:proofErr w:type="gramStart"/>
      <w:r w:rsidRPr="00DE14BC">
        <w:rPr>
          <w:rFonts w:ascii="Calibri" w:hAnsi="Calibri" w:cs="Calibri"/>
        </w:rPr>
        <w:t>PlochyPodm :</w:t>
      </w:r>
      <w:proofErr w:type="gramEnd"/>
      <w:r w:rsidRPr="00DE14BC">
        <w:rPr>
          <w:rFonts w:ascii="Calibri" w:hAnsi="Calibri" w:cs="Calibri"/>
        </w:rPr>
        <w:t xml:space="preserve"> 4  </w:t>
      </w:r>
    </w:p>
    <w:p w14:paraId="6817066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PlochyPodm neobsahuje nulové geometrie </w:t>
      </w:r>
    </w:p>
    <w:p w14:paraId="565D1360" w14:textId="77777777" w:rsidR="00DE14BC" w:rsidRPr="00DE14BC" w:rsidRDefault="00DE14BC" w:rsidP="00DE14BC">
      <w:pPr>
        <w:spacing w:after="0" w:line="240" w:lineRule="auto"/>
        <w:rPr>
          <w:rFonts w:ascii="Calibri" w:hAnsi="Calibri" w:cs="Calibri"/>
        </w:rPr>
      </w:pPr>
    </w:p>
    <w:p w14:paraId="4BBD3D0A" w14:textId="77777777" w:rsidR="00DE14BC" w:rsidRPr="00DE14BC" w:rsidRDefault="00DE14BC" w:rsidP="00DE14BC">
      <w:pPr>
        <w:spacing w:after="0" w:line="240" w:lineRule="auto"/>
        <w:rPr>
          <w:rFonts w:ascii="Calibri" w:hAnsi="Calibri" w:cs="Calibri"/>
        </w:rPr>
      </w:pPr>
    </w:p>
    <w:p w14:paraId="35DB897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vpsvpoas_p.shp </w:t>
      </w:r>
    </w:p>
    <w:p w14:paraId="4234819A" w14:textId="77777777" w:rsidR="00DE14BC" w:rsidRPr="00DE14BC" w:rsidRDefault="00DE14BC" w:rsidP="00DE14BC">
      <w:pPr>
        <w:spacing w:after="0" w:line="240" w:lineRule="auto"/>
        <w:rPr>
          <w:rFonts w:ascii="Calibri" w:hAnsi="Calibri" w:cs="Calibri"/>
        </w:rPr>
      </w:pPr>
    </w:p>
    <w:p w14:paraId="735CCAB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VpsVpoAs úspěšně načtena </w:t>
      </w:r>
    </w:p>
    <w:p w14:paraId="49D972D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w:t>
      </w:r>
      <w:proofErr w:type="gramStart"/>
      <w:r w:rsidRPr="00DE14BC">
        <w:rPr>
          <w:rFonts w:ascii="Calibri" w:hAnsi="Calibri" w:cs="Calibri"/>
        </w:rPr>
        <w:t>VpsVpoAs :</w:t>
      </w:r>
      <w:proofErr w:type="gramEnd"/>
      <w:r w:rsidRPr="00DE14BC">
        <w:rPr>
          <w:rFonts w:ascii="Calibri" w:hAnsi="Calibri" w:cs="Calibri"/>
        </w:rPr>
        <w:t xml:space="preserve"> 16  </w:t>
      </w:r>
    </w:p>
    <w:p w14:paraId="3616BFE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VpsVpoAs neobsahuje nulové geometrie </w:t>
      </w:r>
    </w:p>
    <w:p w14:paraId="21CBC932" w14:textId="77777777" w:rsidR="00DE14BC" w:rsidRPr="00DE14BC" w:rsidRDefault="00DE14BC" w:rsidP="00DE14BC">
      <w:pPr>
        <w:spacing w:after="0" w:line="240" w:lineRule="auto"/>
        <w:rPr>
          <w:rFonts w:ascii="Calibri" w:hAnsi="Calibri" w:cs="Calibri"/>
        </w:rPr>
      </w:pPr>
    </w:p>
    <w:p w14:paraId="21F24E52" w14:textId="77777777" w:rsidR="00DE14BC" w:rsidRPr="00DE14BC" w:rsidRDefault="00DE14BC" w:rsidP="00DE14BC">
      <w:pPr>
        <w:spacing w:after="0" w:line="240" w:lineRule="auto"/>
        <w:rPr>
          <w:rFonts w:ascii="Calibri" w:hAnsi="Calibri" w:cs="Calibri"/>
        </w:rPr>
      </w:pPr>
    </w:p>
    <w:p w14:paraId="67B35A6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vpsvpoas_l.shp </w:t>
      </w:r>
    </w:p>
    <w:p w14:paraId="669F3D16" w14:textId="77777777" w:rsidR="00DE14BC" w:rsidRPr="00DE14BC" w:rsidRDefault="00DE14BC" w:rsidP="00DE14BC">
      <w:pPr>
        <w:spacing w:after="0" w:line="240" w:lineRule="auto"/>
        <w:rPr>
          <w:rFonts w:ascii="Calibri" w:hAnsi="Calibri" w:cs="Calibri"/>
        </w:rPr>
      </w:pPr>
    </w:p>
    <w:p w14:paraId="05F76CE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VpsVpoAs úspěšně načtena </w:t>
      </w:r>
    </w:p>
    <w:p w14:paraId="0018BF3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Varování: Tabulka VpsVpoAs (linie) je prázdná </w:t>
      </w:r>
    </w:p>
    <w:p w14:paraId="506B914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VpsVpoAs (linie) neobsahuje nulové geometrie </w:t>
      </w:r>
    </w:p>
    <w:p w14:paraId="49B0CF12" w14:textId="77777777" w:rsidR="00DE14BC" w:rsidRPr="00DE14BC" w:rsidRDefault="00DE14BC" w:rsidP="00DE14BC">
      <w:pPr>
        <w:spacing w:after="0" w:line="240" w:lineRule="auto"/>
        <w:rPr>
          <w:rFonts w:ascii="Calibri" w:hAnsi="Calibri" w:cs="Calibri"/>
        </w:rPr>
      </w:pPr>
    </w:p>
    <w:p w14:paraId="1F04C633" w14:textId="77777777" w:rsidR="00DE14BC" w:rsidRPr="00DE14BC" w:rsidRDefault="00DE14BC" w:rsidP="00DE14BC">
      <w:pPr>
        <w:spacing w:after="0" w:line="240" w:lineRule="auto"/>
        <w:rPr>
          <w:rFonts w:ascii="Calibri" w:hAnsi="Calibri" w:cs="Calibri"/>
        </w:rPr>
      </w:pPr>
    </w:p>
    <w:p w14:paraId="1534522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uses_p.shp </w:t>
      </w:r>
    </w:p>
    <w:p w14:paraId="13401116" w14:textId="77777777" w:rsidR="00DE14BC" w:rsidRPr="00DE14BC" w:rsidRDefault="00DE14BC" w:rsidP="00DE14BC">
      <w:pPr>
        <w:spacing w:after="0" w:line="240" w:lineRule="auto"/>
        <w:rPr>
          <w:rFonts w:ascii="Calibri" w:hAnsi="Calibri" w:cs="Calibri"/>
        </w:rPr>
      </w:pPr>
    </w:p>
    <w:p w14:paraId="1BDC42F3"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USES úspěšně načtena </w:t>
      </w:r>
    </w:p>
    <w:p w14:paraId="6C012277"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Počet prvků v tabulce </w:t>
      </w:r>
      <w:proofErr w:type="gramStart"/>
      <w:r w:rsidRPr="00DE14BC">
        <w:rPr>
          <w:rFonts w:ascii="Calibri" w:hAnsi="Calibri" w:cs="Calibri"/>
        </w:rPr>
        <w:t>USES :</w:t>
      </w:r>
      <w:proofErr w:type="gramEnd"/>
      <w:r w:rsidRPr="00DE14BC">
        <w:rPr>
          <w:rFonts w:ascii="Calibri" w:hAnsi="Calibri" w:cs="Calibri"/>
        </w:rPr>
        <w:t xml:space="preserve"> 13  </w:t>
      </w:r>
    </w:p>
    <w:p w14:paraId="0294264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USES neobsahuje nulové geometrie </w:t>
      </w:r>
    </w:p>
    <w:p w14:paraId="088DD6DA" w14:textId="77777777" w:rsidR="00DE14BC" w:rsidRPr="00DE14BC" w:rsidRDefault="00DE14BC" w:rsidP="00DE14BC">
      <w:pPr>
        <w:spacing w:after="0" w:line="240" w:lineRule="auto"/>
        <w:rPr>
          <w:rFonts w:ascii="Calibri" w:hAnsi="Calibri" w:cs="Calibri"/>
        </w:rPr>
      </w:pPr>
    </w:p>
    <w:p w14:paraId="4478273D" w14:textId="77777777" w:rsidR="00DE14BC" w:rsidRPr="00DE14BC" w:rsidRDefault="00DE14BC" w:rsidP="00DE14BC">
      <w:pPr>
        <w:spacing w:after="0" w:line="240" w:lineRule="auto"/>
        <w:rPr>
          <w:rFonts w:ascii="Calibri" w:hAnsi="Calibri" w:cs="Calibri"/>
        </w:rPr>
      </w:pPr>
    </w:p>
    <w:p w14:paraId="508628EA"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systemsidelnizelene_p.shp </w:t>
      </w:r>
    </w:p>
    <w:p w14:paraId="45DC7ACA" w14:textId="77777777" w:rsidR="00DE14BC" w:rsidRPr="00DE14BC" w:rsidRDefault="00DE14BC" w:rsidP="00DE14BC">
      <w:pPr>
        <w:spacing w:after="0" w:line="240" w:lineRule="auto"/>
        <w:rPr>
          <w:rFonts w:ascii="Calibri" w:hAnsi="Calibri" w:cs="Calibri"/>
        </w:rPr>
      </w:pPr>
    </w:p>
    <w:p w14:paraId="365F72C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SystemSidelniZelene úspěšně načtena </w:t>
      </w:r>
    </w:p>
    <w:p w14:paraId="06C3C6AB" w14:textId="77777777" w:rsidR="00DE14BC" w:rsidRPr="00DE14BC" w:rsidRDefault="00DE14BC" w:rsidP="00DE14BC">
      <w:pPr>
        <w:spacing w:after="0" w:line="240" w:lineRule="auto"/>
        <w:rPr>
          <w:rFonts w:ascii="Calibri" w:hAnsi="Calibri" w:cs="Calibri"/>
        </w:rPr>
      </w:pPr>
    </w:p>
    <w:p w14:paraId="1FA9375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Varování: Tabulka SystemSidelniZelene je prázdná </w:t>
      </w:r>
    </w:p>
    <w:p w14:paraId="39BC8DF9"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SystemSidelniZelene neobsahuje nulové geometrie </w:t>
      </w:r>
    </w:p>
    <w:p w14:paraId="119F57FC" w14:textId="77777777" w:rsidR="00DE14BC" w:rsidRPr="00DE14BC" w:rsidRDefault="00DE14BC" w:rsidP="00DE14BC">
      <w:pPr>
        <w:spacing w:after="0" w:line="240" w:lineRule="auto"/>
        <w:rPr>
          <w:rFonts w:ascii="Calibri" w:hAnsi="Calibri" w:cs="Calibri"/>
        </w:rPr>
      </w:pPr>
    </w:p>
    <w:p w14:paraId="28FF1FD0" w14:textId="77777777" w:rsidR="00DE14BC" w:rsidRPr="00DE14BC" w:rsidRDefault="00DE14BC" w:rsidP="00DE14BC">
      <w:pPr>
        <w:spacing w:after="0" w:line="240" w:lineRule="auto"/>
        <w:rPr>
          <w:rFonts w:ascii="Calibri" w:hAnsi="Calibri" w:cs="Calibri"/>
        </w:rPr>
      </w:pPr>
    </w:p>
    <w:p w14:paraId="5E742A0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Načtení systemverprostr_p.shp </w:t>
      </w:r>
    </w:p>
    <w:p w14:paraId="297E3D78" w14:textId="77777777" w:rsidR="00DE14BC" w:rsidRPr="00DE14BC" w:rsidRDefault="00DE14BC" w:rsidP="00DE14BC">
      <w:pPr>
        <w:spacing w:after="0" w:line="240" w:lineRule="auto"/>
        <w:rPr>
          <w:rFonts w:ascii="Calibri" w:hAnsi="Calibri" w:cs="Calibri"/>
        </w:rPr>
      </w:pPr>
    </w:p>
    <w:p w14:paraId="6B08EB0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Tabulka SystemVerProstr úspěšně načtena </w:t>
      </w:r>
    </w:p>
    <w:p w14:paraId="502D3B7E" w14:textId="77777777" w:rsidR="00DE14BC" w:rsidRPr="00DE14BC" w:rsidRDefault="00DE14BC" w:rsidP="00DE14BC">
      <w:pPr>
        <w:spacing w:after="0" w:line="240" w:lineRule="auto"/>
        <w:rPr>
          <w:rFonts w:ascii="Calibri" w:hAnsi="Calibri" w:cs="Calibri"/>
        </w:rPr>
      </w:pPr>
    </w:p>
    <w:p w14:paraId="7250236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Varování: Tabulka SystemVerProstr je prázdná </w:t>
      </w:r>
    </w:p>
    <w:p w14:paraId="076BA72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Zkontrolováno: Tabulka SystemVerProstr neobsahuje nulové geometrie </w:t>
      </w:r>
    </w:p>
    <w:p w14:paraId="47F735CA" w14:textId="77777777" w:rsidR="00DE14BC" w:rsidRPr="00DE14BC" w:rsidRDefault="00DE14BC" w:rsidP="00DE14BC">
      <w:pPr>
        <w:spacing w:after="0" w:line="240" w:lineRule="auto"/>
        <w:rPr>
          <w:rFonts w:ascii="Calibri" w:hAnsi="Calibri" w:cs="Calibri"/>
        </w:rPr>
      </w:pPr>
    </w:p>
    <w:p w14:paraId="71D764F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KONTROLY   ---------------------------- </w:t>
      </w:r>
    </w:p>
    <w:p w14:paraId="6F48543B" w14:textId="77777777" w:rsidR="00DE14BC" w:rsidRPr="00DE14BC" w:rsidRDefault="00DE14BC" w:rsidP="00DE14BC">
      <w:pPr>
        <w:spacing w:after="0" w:line="240" w:lineRule="auto"/>
        <w:rPr>
          <w:rFonts w:ascii="Calibri" w:hAnsi="Calibri" w:cs="Calibri"/>
        </w:rPr>
      </w:pPr>
      <w:r w:rsidRPr="00DE14BC">
        <w:rPr>
          <w:rFonts w:ascii="Calibri" w:hAnsi="Calibri" w:cs="Calibri"/>
        </w:rPr>
        <w:lastRenderedPageBreak/>
        <w:t xml:space="preserve"> </w:t>
      </w:r>
    </w:p>
    <w:p w14:paraId="44D43DD1" w14:textId="77777777" w:rsidR="00DE14BC" w:rsidRPr="00DE14BC" w:rsidRDefault="00DE14BC" w:rsidP="00DE14BC">
      <w:pPr>
        <w:spacing w:after="0" w:line="240" w:lineRule="auto"/>
        <w:rPr>
          <w:rFonts w:ascii="Calibri" w:hAnsi="Calibri" w:cs="Calibri"/>
        </w:rPr>
      </w:pPr>
    </w:p>
    <w:p w14:paraId="1D54417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w:t>
      </w:r>
      <w:proofErr w:type="gramStart"/>
      <w:r w:rsidRPr="00DE14BC">
        <w:rPr>
          <w:rFonts w:ascii="Calibri" w:hAnsi="Calibri" w:cs="Calibri"/>
        </w:rPr>
        <w:t>ReseneUzemi  (</w:t>
      </w:r>
      <w:proofErr w:type="gramEnd"/>
      <w:r w:rsidRPr="00DE14BC">
        <w:rPr>
          <w:rFonts w:ascii="Calibri" w:hAnsi="Calibri" w:cs="Calibri"/>
        </w:rPr>
        <w:t>plochy</w:t>
      </w:r>
      <w:proofErr w:type="gramStart"/>
      <w:r w:rsidRPr="00DE14BC">
        <w:rPr>
          <w:rFonts w:ascii="Calibri" w:hAnsi="Calibri" w:cs="Calibri"/>
        </w:rPr>
        <w:t>)  ----------</w:t>
      </w:r>
      <w:proofErr w:type="gramEnd"/>
      <w:r w:rsidRPr="00DE14BC">
        <w:rPr>
          <w:rFonts w:ascii="Calibri" w:hAnsi="Calibri" w:cs="Calibri"/>
        </w:rPr>
        <w:t xml:space="preserve"> </w:t>
      </w:r>
    </w:p>
    <w:p w14:paraId="445F163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0EE516FA" w14:textId="77777777" w:rsidR="00DE14BC" w:rsidRPr="00DE14BC" w:rsidRDefault="00DE14BC" w:rsidP="00DE14BC">
      <w:pPr>
        <w:spacing w:after="0" w:line="240" w:lineRule="auto"/>
        <w:rPr>
          <w:rFonts w:ascii="Calibri" w:hAnsi="Calibri" w:cs="Calibri"/>
        </w:rPr>
      </w:pPr>
    </w:p>
    <w:p w14:paraId="05AF2F1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ReseneUzemi neexistují nevalidní geometrie </w:t>
      </w:r>
    </w:p>
    <w:p w14:paraId="2CAF5184" w14:textId="77777777" w:rsidR="00DE14BC" w:rsidRPr="00DE14BC" w:rsidRDefault="00DE14BC" w:rsidP="00DE14BC">
      <w:pPr>
        <w:spacing w:after="0" w:line="240" w:lineRule="auto"/>
        <w:rPr>
          <w:rFonts w:ascii="Calibri" w:hAnsi="Calibri" w:cs="Calibri"/>
        </w:rPr>
      </w:pPr>
    </w:p>
    <w:p w14:paraId="5CD6F098"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ReseneUzemi neexistují protínající se geometrie </w:t>
      </w:r>
    </w:p>
    <w:p w14:paraId="3CD8E789" w14:textId="77777777" w:rsidR="00DE14BC" w:rsidRPr="00DE14BC" w:rsidRDefault="00DE14BC" w:rsidP="00DE14BC">
      <w:pPr>
        <w:spacing w:after="0" w:line="240" w:lineRule="auto"/>
        <w:rPr>
          <w:rFonts w:ascii="Calibri" w:hAnsi="Calibri" w:cs="Calibri"/>
        </w:rPr>
      </w:pPr>
    </w:p>
    <w:p w14:paraId="6837575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ReseneUzemi v atributu Obec_Kod jsou pouze povolené hodnoty </w:t>
      </w:r>
    </w:p>
    <w:p w14:paraId="2E1DDBDA" w14:textId="77777777" w:rsidR="00DE14BC" w:rsidRPr="00DE14BC" w:rsidRDefault="00DE14BC" w:rsidP="00DE14BC">
      <w:pPr>
        <w:spacing w:after="0" w:line="240" w:lineRule="auto"/>
        <w:rPr>
          <w:rFonts w:ascii="Calibri" w:hAnsi="Calibri" w:cs="Calibri"/>
        </w:rPr>
      </w:pPr>
    </w:p>
    <w:p w14:paraId="4A8805B9"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ReseneUzemi neexistují geometrie v nesouladu s hranicí obce v RÚIAN. </w:t>
      </w:r>
    </w:p>
    <w:p w14:paraId="5F5067A4" w14:textId="77777777" w:rsidR="00DE14BC" w:rsidRPr="00DE14BC" w:rsidRDefault="00DE14BC" w:rsidP="00DE14BC">
      <w:pPr>
        <w:spacing w:after="0" w:line="240" w:lineRule="auto"/>
        <w:rPr>
          <w:rFonts w:ascii="Calibri" w:hAnsi="Calibri" w:cs="Calibri"/>
        </w:rPr>
      </w:pPr>
    </w:p>
    <w:p w14:paraId="2AA4EBD3"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ReseneUzemi má geometrie správnou velikost </w:t>
      </w:r>
    </w:p>
    <w:p w14:paraId="13F7D10D" w14:textId="77777777" w:rsidR="00DE14BC" w:rsidRPr="00DE14BC" w:rsidRDefault="00DE14BC" w:rsidP="00DE14BC">
      <w:pPr>
        <w:spacing w:after="0" w:line="240" w:lineRule="auto"/>
        <w:rPr>
          <w:rFonts w:ascii="Calibri" w:hAnsi="Calibri" w:cs="Calibri"/>
        </w:rPr>
      </w:pPr>
    </w:p>
    <w:p w14:paraId="251B9992"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2EDF3235" w14:textId="77777777" w:rsidR="00DE14BC" w:rsidRPr="00DE14BC" w:rsidRDefault="00DE14BC" w:rsidP="00DE14BC">
      <w:pPr>
        <w:spacing w:after="0" w:line="240" w:lineRule="auto"/>
        <w:rPr>
          <w:rFonts w:ascii="Calibri" w:hAnsi="Calibri" w:cs="Calibri"/>
        </w:rPr>
      </w:pPr>
    </w:p>
    <w:p w14:paraId="4395EFA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w:t>
      </w:r>
      <w:proofErr w:type="gramStart"/>
      <w:r w:rsidRPr="00DE14BC">
        <w:rPr>
          <w:rFonts w:ascii="Calibri" w:hAnsi="Calibri" w:cs="Calibri"/>
        </w:rPr>
        <w:t>PlochyRZV  (</w:t>
      </w:r>
      <w:proofErr w:type="gramEnd"/>
      <w:r w:rsidRPr="00DE14BC">
        <w:rPr>
          <w:rFonts w:ascii="Calibri" w:hAnsi="Calibri" w:cs="Calibri"/>
        </w:rPr>
        <w:t>plochy</w:t>
      </w:r>
      <w:proofErr w:type="gramStart"/>
      <w:r w:rsidRPr="00DE14BC">
        <w:rPr>
          <w:rFonts w:ascii="Calibri" w:hAnsi="Calibri" w:cs="Calibri"/>
        </w:rPr>
        <w:t>)  ----------</w:t>
      </w:r>
      <w:proofErr w:type="gramEnd"/>
      <w:r w:rsidRPr="00DE14BC">
        <w:rPr>
          <w:rFonts w:ascii="Calibri" w:hAnsi="Calibri" w:cs="Calibri"/>
        </w:rPr>
        <w:t xml:space="preserve"> </w:t>
      </w:r>
    </w:p>
    <w:p w14:paraId="6A1694D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7F5882B2" w14:textId="77777777" w:rsidR="00DE14BC" w:rsidRPr="00DE14BC" w:rsidRDefault="00DE14BC" w:rsidP="00DE14BC">
      <w:pPr>
        <w:spacing w:after="0" w:line="240" w:lineRule="auto"/>
        <w:rPr>
          <w:rFonts w:ascii="Calibri" w:hAnsi="Calibri" w:cs="Calibri"/>
        </w:rPr>
      </w:pPr>
    </w:p>
    <w:p w14:paraId="019AE64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PlochyRZV neexistují nevalidní geometrie </w:t>
      </w:r>
    </w:p>
    <w:p w14:paraId="2E80A56E" w14:textId="77777777" w:rsidR="00DE14BC" w:rsidRPr="00DE14BC" w:rsidRDefault="00DE14BC" w:rsidP="00DE14BC">
      <w:pPr>
        <w:spacing w:after="0" w:line="240" w:lineRule="auto"/>
        <w:rPr>
          <w:rFonts w:ascii="Calibri" w:hAnsi="Calibri" w:cs="Calibri"/>
        </w:rPr>
      </w:pPr>
    </w:p>
    <w:p w14:paraId="185747E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PlochyRZV neexistují protínající se geometrie </w:t>
      </w:r>
    </w:p>
    <w:p w14:paraId="676F21B4" w14:textId="77777777" w:rsidR="00DE14BC" w:rsidRPr="00DE14BC" w:rsidRDefault="00DE14BC" w:rsidP="00DE14BC">
      <w:pPr>
        <w:spacing w:after="0" w:line="240" w:lineRule="auto"/>
        <w:rPr>
          <w:rFonts w:ascii="Calibri" w:hAnsi="Calibri" w:cs="Calibri"/>
        </w:rPr>
      </w:pPr>
    </w:p>
    <w:p w14:paraId="2D6CED57"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PlochyRZV neexistují geometrie přesahující mimo řešené území </w:t>
      </w:r>
    </w:p>
    <w:p w14:paraId="46D9F6D3" w14:textId="77777777" w:rsidR="00DE14BC" w:rsidRPr="00DE14BC" w:rsidRDefault="00DE14BC" w:rsidP="00DE14BC">
      <w:pPr>
        <w:spacing w:after="0" w:line="240" w:lineRule="auto"/>
        <w:rPr>
          <w:rFonts w:ascii="Calibri" w:hAnsi="Calibri" w:cs="Calibri"/>
        </w:rPr>
      </w:pPr>
    </w:p>
    <w:p w14:paraId="32DEDCC9"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PlochyRZV v atributu CasH jsou pouze povolené hodnoty </w:t>
      </w:r>
    </w:p>
    <w:p w14:paraId="2AC8E695" w14:textId="77777777" w:rsidR="00DE14BC" w:rsidRPr="00DE14BC" w:rsidRDefault="00DE14BC" w:rsidP="00DE14BC">
      <w:pPr>
        <w:spacing w:after="0" w:line="240" w:lineRule="auto"/>
        <w:rPr>
          <w:rFonts w:ascii="Calibri" w:hAnsi="Calibri" w:cs="Calibri"/>
        </w:rPr>
      </w:pPr>
    </w:p>
    <w:p w14:paraId="7842BA9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PlochyRZV v atributu Typ jsou pouze povolené hodnoty </w:t>
      </w:r>
    </w:p>
    <w:p w14:paraId="32FE2D18" w14:textId="77777777" w:rsidR="00DE14BC" w:rsidRPr="00DE14BC" w:rsidRDefault="00DE14BC" w:rsidP="00DE14BC">
      <w:pPr>
        <w:spacing w:after="0" w:line="240" w:lineRule="auto"/>
        <w:rPr>
          <w:rFonts w:ascii="Calibri" w:hAnsi="Calibri" w:cs="Calibri"/>
        </w:rPr>
      </w:pPr>
    </w:p>
    <w:p w14:paraId="5C14C88F"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PlochyRZV v </w:t>
      </w:r>
      <w:proofErr w:type="gramStart"/>
      <w:r w:rsidRPr="00DE14BC">
        <w:rPr>
          <w:rFonts w:ascii="Calibri" w:hAnsi="Calibri" w:cs="Calibri"/>
        </w:rPr>
        <w:t>atributu  Index</w:t>
      </w:r>
      <w:proofErr w:type="gramEnd"/>
      <w:r w:rsidRPr="00DE14BC">
        <w:rPr>
          <w:rFonts w:ascii="Calibri" w:hAnsi="Calibri" w:cs="Calibri"/>
        </w:rPr>
        <w:t xml:space="preserve"> jsou pouze povolené hodnoty </w:t>
      </w:r>
    </w:p>
    <w:p w14:paraId="245F03CC" w14:textId="77777777" w:rsidR="00DE14BC" w:rsidRPr="00DE14BC" w:rsidRDefault="00DE14BC" w:rsidP="00DE14BC">
      <w:pPr>
        <w:spacing w:after="0" w:line="240" w:lineRule="auto"/>
        <w:rPr>
          <w:rFonts w:ascii="Calibri" w:hAnsi="Calibri" w:cs="Calibri"/>
        </w:rPr>
      </w:pPr>
    </w:p>
    <w:p w14:paraId="6C216786"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588D6548" w14:textId="77777777" w:rsidR="00DE14BC" w:rsidRPr="00DE14BC" w:rsidRDefault="00DE14BC" w:rsidP="00DE14BC">
      <w:pPr>
        <w:spacing w:after="0" w:line="240" w:lineRule="auto"/>
        <w:rPr>
          <w:rFonts w:ascii="Calibri" w:hAnsi="Calibri" w:cs="Calibri"/>
        </w:rPr>
      </w:pPr>
    </w:p>
    <w:p w14:paraId="437360AF"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w:t>
      </w:r>
      <w:proofErr w:type="gramStart"/>
      <w:r w:rsidRPr="00DE14BC">
        <w:rPr>
          <w:rFonts w:ascii="Calibri" w:hAnsi="Calibri" w:cs="Calibri"/>
        </w:rPr>
        <w:t>ZastaveneUzemi  (</w:t>
      </w:r>
      <w:proofErr w:type="gramEnd"/>
      <w:r w:rsidRPr="00DE14BC">
        <w:rPr>
          <w:rFonts w:ascii="Calibri" w:hAnsi="Calibri" w:cs="Calibri"/>
        </w:rPr>
        <w:t>plochy</w:t>
      </w:r>
      <w:proofErr w:type="gramStart"/>
      <w:r w:rsidRPr="00DE14BC">
        <w:rPr>
          <w:rFonts w:ascii="Calibri" w:hAnsi="Calibri" w:cs="Calibri"/>
        </w:rPr>
        <w:t>)  ----------</w:t>
      </w:r>
      <w:proofErr w:type="gramEnd"/>
      <w:r w:rsidRPr="00DE14BC">
        <w:rPr>
          <w:rFonts w:ascii="Calibri" w:hAnsi="Calibri" w:cs="Calibri"/>
        </w:rPr>
        <w:t xml:space="preserve"> </w:t>
      </w:r>
    </w:p>
    <w:p w14:paraId="3C50F82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094C1309" w14:textId="77777777" w:rsidR="00DE14BC" w:rsidRPr="00DE14BC" w:rsidRDefault="00DE14BC" w:rsidP="00DE14BC">
      <w:pPr>
        <w:spacing w:after="0" w:line="240" w:lineRule="auto"/>
        <w:rPr>
          <w:rFonts w:ascii="Calibri" w:hAnsi="Calibri" w:cs="Calibri"/>
        </w:rPr>
      </w:pPr>
    </w:p>
    <w:p w14:paraId="4682FC3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ZastaveneUzemi neexistují nevalidní geometrie </w:t>
      </w:r>
    </w:p>
    <w:p w14:paraId="2A128972" w14:textId="77777777" w:rsidR="00DE14BC" w:rsidRPr="00DE14BC" w:rsidRDefault="00DE14BC" w:rsidP="00DE14BC">
      <w:pPr>
        <w:spacing w:after="0" w:line="240" w:lineRule="auto"/>
        <w:rPr>
          <w:rFonts w:ascii="Calibri" w:hAnsi="Calibri" w:cs="Calibri"/>
        </w:rPr>
      </w:pPr>
    </w:p>
    <w:p w14:paraId="242FAE7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ZastaveneUzemi neexistují protínající se geometrie </w:t>
      </w:r>
    </w:p>
    <w:p w14:paraId="54459D3E" w14:textId="77777777" w:rsidR="00DE14BC" w:rsidRPr="00DE14BC" w:rsidRDefault="00DE14BC" w:rsidP="00DE14BC">
      <w:pPr>
        <w:spacing w:after="0" w:line="240" w:lineRule="auto"/>
        <w:rPr>
          <w:rFonts w:ascii="Calibri" w:hAnsi="Calibri" w:cs="Calibri"/>
        </w:rPr>
      </w:pPr>
    </w:p>
    <w:p w14:paraId="0DAE375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ZastaveneUzemi neexistují malé díry mezi prvky </w:t>
      </w:r>
    </w:p>
    <w:p w14:paraId="6F8D6941" w14:textId="77777777" w:rsidR="00DE14BC" w:rsidRPr="00DE14BC" w:rsidRDefault="00DE14BC" w:rsidP="00DE14BC">
      <w:pPr>
        <w:spacing w:after="0" w:line="240" w:lineRule="auto"/>
        <w:rPr>
          <w:rFonts w:ascii="Calibri" w:hAnsi="Calibri" w:cs="Calibri"/>
        </w:rPr>
      </w:pPr>
    </w:p>
    <w:p w14:paraId="1F0BD75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ZastaveneUzemi neexistují geometrie přesahující mimo řešené území </w:t>
      </w:r>
    </w:p>
    <w:p w14:paraId="24517189" w14:textId="77777777" w:rsidR="00DE14BC" w:rsidRPr="00DE14BC" w:rsidRDefault="00DE14BC" w:rsidP="00DE14BC">
      <w:pPr>
        <w:spacing w:after="0" w:line="240" w:lineRule="auto"/>
        <w:rPr>
          <w:rFonts w:ascii="Calibri" w:hAnsi="Calibri" w:cs="Calibri"/>
        </w:rPr>
      </w:pPr>
    </w:p>
    <w:p w14:paraId="637D667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ZastaveneUzemi v atributu Obec_Kod jsou pouze povolené hodnoty </w:t>
      </w:r>
    </w:p>
    <w:p w14:paraId="5CCFD670" w14:textId="77777777" w:rsidR="00DE14BC" w:rsidRPr="00DE14BC" w:rsidRDefault="00DE14BC" w:rsidP="00DE14BC">
      <w:pPr>
        <w:spacing w:after="0" w:line="240" w:lineRule="auto"/>
        <w:rPr>
          <w:rFonts w:ascii="Calibri" w:hAnsi="Calibri" w:cs="Calibri"/>
        </w:rPr>
      </w:pPr>
    </w:p>
    <w:p w14:paraId="2C627B47"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59201E8B" w14:textId="77777777" w:rsidR="00DE14BC" w:rsidRPr="00DE14BC" w:rsidRDefault="00DE14BC" w:rsidP="00DE14BC">
      <w:pPr>
        <w:spacing w:after="0" w:line="240" w:lineRule="auto"/>
        <w:rPr>
          <w:rFonts w:ascii="Calibri" w:hAnsi="Calibri" w:cs="Calibri"/>
        </w:rPr>
      </w:pPr>
    </w:p>
    <w:p w14:paraId="4040ACD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w:t>
      </w:r>
      <w:proofErr w:type="gramStart"/>
      <w:r w:rsidRPr="00DE14BC">
        <w:rPr>
          <w:rFonts w:ascii="Calibri" w:hAnsi="Calibri" w:cs="Calibri"/>
        </w:rPr>
        <w:t>UzemniRezervy  (</w:t>
      </w:r>
      <w:proofErr w:type="gramEnd"/>
      <w:r w:rsidRPr="00DE14BC">
        <w:rPr>
          <w:rFonts w:ascii="Calibri" w:hAnsi="Calibri" w:cs="Calibri"/>
        </w:rPr>
        <w:t>plochy</w:t>
      </w:r>
      <w:proofErr w:type="gramStart"/>
      <w:r w:rsidRPr="00DE14BC">
        <w:rPr>
          <w:rFonts w:ascii="Calibri" w:hAnsi="Calibri" w:cs="Calibri"/>
        </w:rPr>
        <w:t>)  ----------</w:t>
      </w:r>
      <w:proofErr w:type="gramEnd"/>
      <w:r w:rsidRPr="00DE14BC">
        <w:rPr>
          <w:rFonts w:ascii="Calibri" w:hAnsi="Calibri" w:cs="Calibri"/>
        </w:rPr>
        <w:t xml:space="preserve"> </w:t>
      </w:r>
    </w:p>
    <w:p w14:paraId="0C336EA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2C27C4A5" w14:textId="77777777" w:rsidR="00DE14BC" w:rsidRPr="00DE14BC" w:rsidRDefault="00DE14BC" w:rsidP="00DE14BC">
      <w:pPr>
        <w:spacing w:after="0" w:line="240" w:lineRule="auto"/>
        <w:rPr>
          <w:rFonts w:ascii="Calibri" w:hAnsi="Calibri" w:cs="Calibri"/>
        </w:rPr>
      </w:pPr>
    </w:p>
    <w:p w14:paraId="0CAFC397" w14:textId="77777777" w:rsidR="00DE14BC" w:rsidRPr="00DE14BC" w:rsidRDefault="00DE14BC" w:rsidP="00DE14BC">
      <w:pPr>
        <w:spacing w:after="0" w:line="240" w:lineRule="auto"/>
        <w:rPr>
          <w:rFonts w:ascii="Calibri" w:hAnsi="Calibri" w:cs="Calibri"/>
        </w:rPr>
      </w:pPr>
      <w:r w:rsidRPr="00DE14BC">
        <w:rPr>
          <w:rFonts w:ascii="Calibri" w:hAnsi="Calibri" w:cs="Calibri"/>
        </w:rPr>
        <w:lastRenderedPageBreak/>
        <w:t xml:space="preserve">Zkontrolováno: V tabulce UzemniRezervy neexistují nevalidní geometrie </w:t>
      </w:r>
    </w:p>
    <w:p w14:paraId="4DEF1C92" w14:textId="77777777" w:rsidR="00DE14BC" w:rsidRPr="00DE14BC" w:rsidRDefault="00DE14BC" w:rsidP="00DE14BC">
      <w:pPr>
        <w:spacing w:after="0" w:line="240" w:lineRule="auto"/>
        <w:rPr>
          <w:rFonts w:ascii="Calibri" w:hAnsi="Calibri" w:cs="Calibri"/>
        </w:rPr>
      </w:pPr>
    </w:p>
    <w:p w14:paraId="6927E707"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UzemniRezervy neexistují geometrie přesahující mimo řešené území </w:t>
      </w:r>
    </w:p>
    <w:p w14:paraId="3AD6D727" w14:textId="77777777" w:rsidR="00DE14BC" w:rsidRPr="00DE14BC" w:rsidRDefault="00DE14BC" w:rsidP="00DE14BC">
      <w:pPr>
        <w:spacing w:after="0" w:line="240" w:lineRule="auto"/>
        <w:rPr>
          <w:rFonts w:ascii="Calibri" w:hAnsi="Calibri" w:cs="Calibri"/>
        </w:rPr>
      </w:pPr>
    </w:p>
    <w:p w14:paraId="5F08C45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UzemniRezervy v atributu Id jsou pouze povolené hodnoty </w:t>
      </w:r>
    </w:p>
    <w:p w14:paraId="6E602666" w14:textId="77777777" w:rsidR="00DE14BC" w:rsidRPr="00DE14BC" w:rsidRDefault="00DE14BC" w:rsidP="00DE14BC">
      <w:pPr>
        <w:spacing w:after="0" w:line="240" w:lineRule="auto"/>
        <w:rPr>
          <w:rFonts w:ascii="Calibri" w:hAnsi="Calibri" w:cs="Calibri"/>
        </w:rPr>
      </w:pPr>
    </w:p>
    <w:p w14:paraId="79AE022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UzemniRezervy v atributu Typ jsou pouze povolené hodnoty </w:t>
      </w:r>
    </w:p>
    <w:p w14:paraId="23947532" w14:textId="77777777" w:rsidR="00DE14BC" w:rsidRPr="00DE14BC" w:rsidRDefault="00DE14BC" w:rsidP="00DE14BC">
      <w:pPr>
        <w:spacing w:after="0" w:line="240" w:lineRule="auto"/>
        <w:rPr>
          <w:rFonts w:ascii="Calibri" w:hAnsi="Calibri" w:cs="Calibri"/>
        </w:rPr>
      </w:pPr>
    </w:p>
    <w:p w14:paraId="1160C47A"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485E3078" w14:textId="77777777" w:rsidR="00DE14BC" w:rsidRPr="00DE14BC" w:rsidRDefault="00DE14BC" w:rsidP="00DE14BC">
      <w:pPr>
        <w:spacing w:after="0" w:line="240" w:lineRule="auto"/>
        <w:rPr>
          <w:rFonts w:ascii="Calibri" w:hAnsi="Calibri" w:cs="Calibri"/>
        </w:rPr>
      </w:pPr>
    </w:p>
    <w:p w14:paraId="6076559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w:t>
      </w:r>
      <w:proofErr w:type="gramStart"/>
      <w:r w:rsidRPr="00DE14BC">
        <w:rPr>
          <w:rFonts w:ascii="Calibri" w:hAnsi="Calibri" w:cs="Calibri"/>
        </w:rPr>
        <w:t>KoridoryP  (</w:t>
      </w:r>
      <w:proofErr w:type="gramEnd"/>
      <w:r w:rsidRPr="00DE14BC">
        <w:rPr>
          <w:rFonts w:ascii="Calibri" w:hAnsi="Calibri" w:cs="Calibri"/>
        </w:rPr>
        <w:t>plochy</w:t>
      </w:r>
      <w:proofErr w:type="gramStart"/>
      <w:r w:rsidRPr="00DE14BC">
        <w:rPr>
          <w:rFonts w:ascii="Calibri" w:hAnsi="Calibri" w:cs="Calibri"/>
        </w:rPr>
        <w:t>)  ----------</w:t>
      </w:r>
      <w:proofErr w:type="gramEnd"/>
      <w:r w:rsidRPr="00DE14BC">
        <w:rPr>
          <w:rFonts w:ascii="Calibri" w:hAnsi="Calibri" w:cs="Calibri"/>
        </w:rPr>
        <w:t xml:space="preserve"> </w:t>
      </w:r>
    </w:p>
    <w:p w14:paraId="36BF691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682E5C68" w14:textId="77777777" w:rsidR="00DE14BC" w:rsidRPr="00DE14BC" w:rsidRDefault="00DE14BC" w:rsidP="00DE14BC">
      <w:pPr>
        <w:spacing w:after="0" w:line="240" w:lineRule="auto"/>
        <w:rPr>
          <w:rFonts w:ascii="Calibri" w:hAnsi="Calibri" w:cs="Calibri"/>
        </w:rPr>
      </w:pPr>
    </w:p>
    <w:p w14:paraId="559BFA9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KoridoryP neexistují nevalidní geometrie </w:t>
      </w:r>
    </w:p>
    <w:p w14:paraId="5BE85F05" w14:textId="77777777" w:rsidR="00DE14BC" w:rsidRPr="00DE14BC" w:rsidRDefault="00DE14BC" w:rsidP="00DE14BC">
      <w:pPr>
        <w:spacing w:after="0" w:line="240" w:lineRule="auto"/>
        <w:rPr>
          <w:rFonts w:ascii="Calibri" w:hAnsi="Calibri" w:cs="Calibri"/>
        </w:rPr>
      </w:pPr>
    </w:p>
    <w:p w14:paraId="7C92348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KoridoryP neexistují duplicity </w:t>
      </w:r>
    </w:p>
    <w:p w14:paraId="0FF72174" w14:textId="77777777" w:rsidR="00DE14BC" w:rsidRPr="00DE14BC" w:rsidRDefault="00DE14BC" w:rsidP="00DE14BC">
      <w:pPr>
        <w:spacing w:after="0" w:line="240" w:lineRule="auto"/>
        <w:rPr>
          <w:rFonts w:ascii="Calibri" w:hAnsi="Calibri" w:cs="Calibri"/>
        </w:rPr>
      </w:pPr>
    </w:p>
    <w:p w14:paraId="16CB07F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KoridoryP neexistují geometrie přesahující mimo řešené území </w:t>
      </w:r>
    </w:p>
    <w:p w14:paraId="05FDDB70" w14:textId="77777777" w:rsidR="00DE14BC" w:rsidRPr="00DE14BC" w:rsidRDefault="00DE14BC" w:rsidP="00DE14BC">
      <w:pPr>
        <w:spacing w:after="0" w:line="240" w:lineRule="auto"/>
        <w:rPr>
          <w:rFonts w:ascii="Calibri" w:hAnsi="Calibri" w:cs="Calibri"/>
        </w:rPr>
      </w:pPr>
    </w:p>
    <w:p w14:paraId="76D8147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KoridoryP v atributu Id jsou pouze povolené hodnoty </w:t>
      </w:r>
    </w:p>
    <w:p w14:paraId="5A958BE4" w14:textId="77777777" w:rsidR="00DE14BC" w:rsidRPr="00DE14BC" w:rsidRDefault="00DE14BC" w:rsidP="00DE14BC">
      <w:pPr>
        <w:spacing w:after="0" w:line="240" w:lineRule="auto"/>
        <w:rPr>
          <w:rFonts w:ascii="Calibri" w:hAnsi="Calibri" w:cs="Calibri"/>
        </w:rPr>
      </w:pPr>
    </w:p>
    <w:p w14:paraId="36249D72"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35B8DC4E" w14:textId="77777777" w:rsidR="00DE14BC" w:rsidRPr="00DE14BC" w:rsidRDefault="00DE14BC" w:rsidP="00DE14BC">
      <w:pPr>
        <w:spacing w:after="0" w:line="240" w:lineRule="auto"/>
        <w:rPr>
          <w:rFonts w:ascii="Calibri" w:hAnsi="Calibri" w:cs="Calibri"/>
        </w:rPr>
      </w:pPr>
    </w:p>
    <w:p w14:paraId="0FE87787"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w:t>
      </w:r>
      <w:proofErr w:type="gramStart"/>
      <w:r w:rsidRPr="00DE14BC">
        <w:rPr>
          <w:rFonts w:ascii="Calibri" w:hAnsi="Calibri" w:cs="Calibri"/>
        </w:rPr>
        <w:t>KoridoryN  (</w:t>
      </w:r>
      <w:proofErr w:type="gramEnd"/>
      <w:r w:rsidRPr="00DE14BC">
        <w:rPr>
          <w:rFonts w:ascii="Calibri" w:hAnsi="Calibri" w:cs="Calibri"/>
        </w:rPr>
        <w:t>plochy</w:t>
      </w:r>
      <w:proofErr w:type="gramStart"/>
      <w:r w:rsidRPr="00DE14BC">
        <w:rPr>
          <w:rFonts w:ascii="Calibri" w:hAnsi="Calibri" w:cs="Calibri"/>
        </w:rPr>
        <w:t>)  ----------</w:t>
      </w:r>
      <w:proofErr w:type="gramEnd"/>
      <w:r w:rsidRPr="00DE14BC">
        <w:rPr>
          <w:rFonts w:ascii="Calibri" w:hAnsi="Calibri" w:cs="Calibri"/>
        </w:rPr>
        <w:t xml:space="preserve"> </w:t>
      </w:r>
    </w:p>
    <w:p w14:paraId="643E2BB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401F013D" w14:textId="77777777" w:rsidR="00DE14BC" w:rsidRPr="00DE14BC" w:rsidRDefault="00DE14BC" w:rsidP="00DE14BC">
      <w:pPr>
        <w:spacing w:after="0" w:line="240" w:lineRule="auto"/>
        <w:rPr>
          <w:rFonts w:ascii="Calibri" w:hAnsi="Calibri" w:cs="Calibri"/>
        </w:rPr>
      </w:pPr>
    </w:p>
    <w:p w14:paraId="007F562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KoridoryN neexistují nevalidní geometrie </w:t>
      </w:r>
    </w:p>
    <w:p w14:paraId="30180914" w14:textId="77777777" w:rsidR="00DE14BC" w:rsidRPr="00DE14BC" w:rsidRDefault="00DE14BC" w:rsidP="00DE14BC">
      <w:pPr>
        <w:spacing w:after="0" w:line="240" w:lineRule="auto"/>
        <w:rPr>
          <w:rFonts w:ascii="Calibri" w:hAnsi="Calibri" w:cs="Calibri"/>
        </w:rPr>
      </w:pPr>
    </w:p>
    <w:p w14:paraId="25211CF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KoridoryN neexistují duplicity </w:t>
      </w:r>
    </w:p>
    <w:p w14:paraId="0261B0ED" w14:textId="77777777" w:rsidR="00DE14BC" w:rsidRPr="00DE14BC" w:rsidRDefault="00DE14BC" w:rsidP="00DE14BC">
      <w:pPr>
        <w:spacing w:after="0" w:line="240" w:lineRule="auto"/>
        <w:rPr>
          <w:rFonts w:ascii="Calibri" w:hAnsi="Calibri" w:cs="Calibri"/>
        </w:rPr>
      </w:pPr>
    </w:p>
    <w:p w14:paraId="78CD26D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KoridoryN neexistují geometrie přesahující mimo řešené území </w:t>
      </w:r>
    </w:p>
    <w:p w14:paraId="7158B54D" w14:textId="77777777" w:rsidR="00DE14BC" w:rsidRPr="00DE14BC" w:rsidRDefault="00DE14BC" w:rsidP="00DE14BC">
      <w:pPr>
        <w:spacing w:after="0" w:line="240" w:lineRule="auto"/>
        <w:rPr>
          <w:rFonts w:ascii="Calibri" w:hAnsi="Calibri" w:cs="Calibri"/>
        </w:rPr>
      </w:pPr>
    </w:p>
    <w:p w14:paraId="73304F5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KoridoryN v atributu Id jsou pouze povolené hodnoty </w:t>
      </w:r>
    </w:p>
    <w:p w14:paraId="1F61C7DB" w14:textId="77777777" w:rsidR="00DE14BC" w:rsidRPr="00DE14BC" w:rsidRDefault="00DE14BC" w:rsidP="00DE14BC">
      <w:pPr>
        <w:spacing w:after="0" w:line="240" w:lineRule="auto"/>
        <w:rPr>
          <w:rFonts w:ascii="Calibri" w:hAnsi="Calibri" w:cs="Calibri"/>
        </w:rPr>
      </w:pPr>
    </w:p>
    <w:p w14:paraId="053CD608"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09EBB099" w14:textId="77777777" w:rsidR="00DE14BC" w:rsidRPr="00DE14BC" w:rsidRDefault="00DE14BC" w:rsidP="00DE14BC">
      <w:pPr>
        <w:spacing w:after="0" w:line="240" w:lineRule="auto"/>
        <w:rPr>
          <w:rFonts w:ascii="Calibri" w:hAnsi="Calibri" w:cs="Calibri"/>
        </w:rPr>
      </w:pPr>
    </w:p>
    <w:p w14:paraId="31E2A03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w:t>
      </w:r>
      <w:proofErr w:type="gramStart"/>
      <w:r w:rsidRPr="00DE14BC">
        <w:rPr>
          <w:rFonts w:ascii="Calibri" w:hAnsi="Calibri" w:cs="Calibri"/>
        </w:rPr>
        <w:t>PlochyZmen  (</w:t>
      </w:r>
      <w:proofErr w:type="gramEnd"/>
      <w:r w:rsidRPr="00DE14BC">
        <w:rPr>
          <w:rFonts w:ascii="Calibri" w:hAnsi="Calibri" w:cs="Calibri"/>
        </w:rPr>
        <w:t>plochy</w:t>
      </w:r>
      <w:proofErr w:type="gramStart"/>
      <w:r w:rsidRPr="00DE14BC">
        <w:rPr>
          <w:rFonts w:ascii="Calibri" w:hAnsi="Calibri" w:cs="Calibri"/>
        </w:rPr>
        <w:t>)  ----------</w:t>
      </w:r>
      <w:proofErr w:type="gramEnd"/>
      <w:r w:rsidRPr="00DE14BC">
        <w:rPr>
          <w:rFonts w:ascii="Calibri" w:hAnsi="Calibri" w:cs="Calibri"/>
        </w:rPr>
        <w:t xml:space="preserve"> </w:t>
      </w:r>
    </w:p>
    <w:p w14:paraId="5E2863FF"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4E911291" w14:textId="77777777" w:rsidR="00DE14BC" w:rsidRPr="00DE14BC" w:rsidRDefault="00DE14BC" w:rsidP="00DE14BC">
      <w:pPr>
        <w:spacing w:after="0" w:line="240" w:lineRule="auto"/>
        <w:rPr>
          <w:rFonts w:ascii="Calibri" w:hAnsi="Calibri" w:cs="Calibri"/>
        </w:rPr>
      </w:pPr>
    </w:p>
    <w:p w14:paraId="2E8211DA"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PlochyZmen neexistují nevalidní geometrie </w:t>
      </w:r>
    </w:p>
    <w:p w14:paraId="4EF3B57B" w14:textId="77777777" w:rsidR="00DE14BC" w:rsidRPr="00DE14BC" w:rsidRDefault="00DE14BC" w:rsidP="00DE14BC">
      <w:pPr>
        <w:spacing w:after="0" w:line="240" w:lineRule="auto"/>
        <w:rPr>
          <w:rFonts w:ascii="Calibri" w:hAnsi="Calibri" w:cs="Calibri"/>
        </w:rPr>
      </w:pPr>
    </w:p>
    <w:p w14:paraId="76860EFD"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PlochyZmen neexistují protínající se geometrie </w:t>
      </w:r>
    </w:p>
    <w:p w14:paraId="0FFA01EA" w14:textId="77777777" w:rsidR="00DE14BC" w:rsidRPr="00DE14BC" w:rsidRDefault="00DE14BC" w:rsidP="00DE14BC">
      <w:pPr>
        <w:spacing w:after="0" w:line="240" w:lineRule="auto"/>
        <w:rPr>
          <w:rFonts w:ascii="Calibri" w:hAnsi="Calibri" w:cs="Calibri"/>
        </w:rPr>
      </w:pPr>
    </w:p>
    <w:p w14:paraId="0528272F"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PlochyZmen neexistují malé díry mezi prvky </w:t>
      </w:r>
    </w:p>
    <w:p w14:paraId="7073D9E3" w14:textId="77777777" w:rsidR="00DE14BC" w:rsidRPr="00DE14BC" w:rsidRDefault="00DE14BC" w:rsidP="00DE14BC">
      <w:pPr>
        <w:spacing w:after="0" w:line="240" w:lineRule="auto"/>
        <w:rPr>
          <w:rFonts w:ascii="Calibri" w:hAnsi="Calibri" w:cs="Calibri"/>
        </w:rPr>
      </w:pPr>
    </w:p>
    <w:p w14:paraId="277AD2ED"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PlochyZmen neexistují geometrie přesahující mimo řešené území </w:t>
      </w:r>
    </w:p>
    <w:p w14:paraId="2DFA9282" w14:textId="77777777" w:rsidR="00DE14BC" w:rsidRPr="00DE14BC" w:rsidRDefault="00DE14BC" w:rsidP="00DE14BC">
      <w:pPr>
        <w:spacing w:after="0" w:line="240" w:lineRule="auto"/>
        <w:rPr>
          <w:rFonts w:ascii="Calibri" w:hAnsi="Calibri" w:cs="Calibri"/>
        </w:rPr>
      </w:pPr>
    </w:p>
    <w:p w14:paraId="00D358DA"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PlochyZmen v atributu Id jsou pouze povolené hodnoty </w:t>
      </w:r>
    </w:p>
    <w:p w14:paraId="47044B95" w14:textId="77777777" w:rsidR="00DE14BC" w:rsidRPr="00DE14BC" w:rsidRDefault="00DE14BC" w:rsidP="00DE14BC">
      <w:pPr>
        <w:spacing w:after="0" w:line="240" w:lineRule="auto"/>
        <w:rPr>
          <w:rFonts w:ascii="Calibri" w:hAnsi="Calibri" w:cs="Calibri"/>
        </w:rPr>
      </w:pPr>
    </w:p>
    <w:p w14:paraId="0AD4694D"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PlochyZmen v atributu Etapizace jsou pouze povolené hodnoty </w:t>
      </w:r>
    </w:p>
    <w:p w14:paraId="11D86992" w14:textId="77777777" w:rsidR="00DE14BC" w:rsidRPr="00DE14BC" w:rsidRDefault="00DE14BC" w:rsidP="00DE14BC">
      <w:pPr>
        <w:spacing w:after="0" w:line="240" w:lineRule="auto"/>
        <w:rPr>
          <w:rFonts w:ascii="Calibri" w:hAnsi="Calibri" w:cs="Calibri"/>
        </w:rPr>
      </w:pPr>
    </w:p>
    <w:p w14:paraId="3656BB2A" w14:textId="77777777" w:rsidR="00DE14BC" w:rsidRPr="00DE14BC" w:rsidRDefault="00DE14BC" w:rsidP="00DE14BC">
      <w:pPr>
        <w:spacing w:after="0" w:line="240" w:lineRule="auto"/>
        <w:rPr>
          <w:rFonts w:ascii="Calibri" w:hAnsi="Calibri" w:cs="Calibri"/>
        </w:rPr>
      </w:pPr>
      <w:r w:rsidRPr="00DE14BC">
        <w:rPr>
          <w:rFonts w:ascii="Calibri" w:hAnsi="Calibri" w:cs="Calibri"/>
        </w:rPr>
        <w:lastRenderedPageBreak/>
        <w:t xml:space="preserve">Zkontrolováno: V tabulce PlochyZmen všechny plochy (P), které mají ležet v zastavěném území, v něm leží  </w:t>
      </w:r>
    </w:p>
    <w:p w14:paraId="38570BC8" w14:textId="77777777" w:rsidR="00DE14BC" w:rsidRPr="00DE14BC" w:rsidRDefault="00DE14BC" w:rsidP="00DE14BC">
      <w:pPr>
        <w:spacing w:after="0" w:line="240" w:lineRule="auto"/>
        <w:rPr>
          <w:rFonts w:ascii="Calibri" w:hAnsi="Calibri" w:cs="Calibri"/>
        </w:rPr>
      </w:pPr>
    </w:p>
    <w:p w14:paraId="7E6BC31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PlochyZmen všechny plochy, které mají ležet mimo zastavěné území, mimo něj leží </w:t>
      </w:r>
    </w:p>
    <w:p w14:paraId="0728DFA5" w14:textId="77777777" w:rsidR="00DE14BC" w:rsidRPr="00DE14BC" w:rsidRDefault="00DE14BC" w:rsidP="00DE14BC">
      <w:pPr>
        <w:spacing w:after="0" w:line="240" w:lineRule="auto"/>
        <w:rPr>
          <w:rFonts w:ascii="Calibri" w:hAnsi="Calibri" w:cs="Calibri"/>
        </w:rPr>
      </w:pPr>
    </w:p>
    <w:p w14:paraId="461861BB"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306A23E4" w14:textId="77777777" w:rsidR="00DE14BC" w:rsidRPr="00DE14BC" w:rsidRDefault="00DE14BC" w:rsidP="00DE14BC">
      <w:pPr>
        <w:spacing w:after="0" w:line="240" w:lineRule="auto"/>
        <w:rPr>
          <w:rFonts w:ascii="Calibri" w:hAnsi="Calibri" w:cs="Calibri"/>
        </w:rPr>
      </w:pPr>
    </w:p>
    <w:p w14:paraId="72EFBD5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w:t>
      </w:r>
      <w:proofErr w:type="gramStart"/>
      <w:r w:rsidRPr="00DE14BC">
        <w:rPr>
          <w:rFonts w:ascii="Calibri" w:hAnsi="Calibri" w:cs="Calibri"/>
        </w:rPr>
        <w:t>PlochyPodm  (</w:t>
      </w:r>
      <w:proofErr w:type="gramEnd"/>
      <w:r w:rsidRPr="00DE14BC">
        <w:rPr>
          <w:rFonts w:ascii="Calibri" w:hAnsi="Calibri" w:cs="Calibri"/>
        </w:rPr>
        <w:t>plochy</w:t>
      </w:r>
      <w:proofErr w:type="gramStart"/>
      <w:r w:rsidRPr="00DE14BC">
        <w:rPr>
          <w:rFonts w:ascii="Calibri" w:hAnsi="Calibri" w:cs="Calibri"/>
        </w:rPr>
        <w:t>)  ----------</w:t>
      </w:r>
      <w:proofErr w:type="gramEnd"/>
      <w:r w:rsidRPr="00DE14BC">
        <w:rPr>
          <w:rFonts w:ascii="Calibri" w:hAnsi="Calibri" w:cs="Calibri"/>
        </w:rPr>
        <w:t xml:space="preserve"> </w:t>
      </w:r>
    </w:p>
    <w:p w14:paraId="723E9DF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673E3EBA" w14:textId="77777777" w:rsidR="00DE14BC" w:rsidRPr="00DE14BC" w:rsidRDefault="00DE14BC" w:rsidP="00DE14BC">
      <w:pPr>
        <w:spacing w:after="0" w:line="240" w:lineRule="auto"/>
        <w:rPr>
          <w:rFonts w:ascii="Calibri" w:hAnsi="Calibri" w:cs="Calibri"/>
        </w:rPr>
      </w:pPr>
    </w:p>
    <w:p w14:paraId="59F96279"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PlochyPodm neexistují nevalidní geometrie </w:t>
      </w:r>
    </w:p>
    <w:p w14:paraId="4F43B44B" w14:textId="77777777" w:rsidR="00DE14BC" w:rsidRPr="00DE14BC" w:rsidRDefault="00DE14BC" w:rsidP="00DE14BC">
      <w:pPr>
        <w:spacing w:after="0" w:line="240" w:lineRule="auto"/>
        <w:rPr>
          <w:rFonts w:ascii="Calibri" w:hAnsi="Calibri" w:cs="Calibri"/>
        </w:rPr>
      </w:pPr>
    </w:p>
    <w:p w14:paraId="7368702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PlochyPodm neexistují geometrie přesahující mimo řešené území </w:t>
      </w:r>
    </w:p>
    <w:p w14:paraId="08A31F8D" w14:textId="77777777" w:rsidR="00DE14BC" w:rsidRPr="00DE14BC" w:rsidRDefault="00DE14BC" w:rsidP="00DE14BC">
      <w:pPr>
        <w:spacing w:after="0" w:line="240" w:lineRule="auto"/>
        <w:rPr>
          <w:rFonts w:ascii="Calibri" w:hAnsi="Calibri" w:cs="Calibri"/>
        </w:rPr>
      </w:pPr>
    </w:p>
    <w:p w14:paraId="74FE0B1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PlochyPodm v atributu Id jsou pouze povolené hodnoty </w:t>
      </w:r>
    </w:p>
    <w:p w14:paraId="50FD156D" w14:textId="77777777" w:rsidR="00DE14BC" w:rsidRPr="00DE14BC" w:rsidRDefault="00DE14BC" w:rsidP="00DE14BC">
      <w:pPr>
        <w:spacing w:after="0" w:line="240" w:lineRule="auto"/>
        <w:rPr>
          <w:rFonts w:ascii="Calibri" w:hAnsi="Calibri" w:cs="Calibri"/>
        </w:rPr>
      </w:pPr>
    </w:p>
    <w:p w14:paraId="182BD1F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PlochyPodm je pro Id (US|DU) vyplněno Datum </w:t>
      </w:r>
    </w:p>
    <w:p w14:paraId="6421A7C5" w14:textId="77777777" w:rsidR="00DE14BC" w:rsidRPr="00DE14BC" w:rsidRDefault="00DE14BC" w:rsidP="00DE14BC">
      <w:pPr>
        <w:spacing w:after="0" w:line="240" w:lineRule="auto"/>
        <w:rPr>
          <w:rFonts w:ascii="Calibri" w:hAnsi="Calibri" w:cs="Calibri"/>
        </w:rPr>
      </w:pPr>
    </w:p>
    <w:p w14:paraId="7A2E2A9F"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PlochyPodm je pro Id (RP|DR) vyplněno Datum </w:t>
      </w:r>
    </w:p>
    <w:p w14:paraId="582611D8" w14:textId="77777777" w:rsidR="00DE14BC" w:rsidRPr="00DE14BC" w:rsidRDefault="00DE14BC" w:rsidP="00DE14BC">
      <w:pPr>
        <w:spacing w:after="0" w:line="240" w:lineRule="auto"/>
        <w:rPr>
          <w:rFonts w:ascii="Calibri" w:hAnsi="Calibri" w:cs="Calibri"/>
        </w:rPr>
      </w:pPr>
    </w:p>
    <w:p w14:paraId="47875D8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PlochyPodm pro Id = DO není vyplněno Datum </w:t>
      </w:r>
    </w:p>
    <w:p w14:paraId="2F1B66D3" w14:textId="77777777" w:rsidR="00DE14BC" w:rsidRPr="00DE14BC" w:rsidRDefault="00DE14BC" w:rsidP="00DE14BC">
      <w:pPr>
        <w:spacing w:after="0" w:line="240" w:lineRule="auto"/>
        <w:rPr>
          <w:rFonts w:ascii="Calibri" w:hAnsi="Calibri" w:cs="Calibri"/>
        </w:rPr>
      </w:pPr>
    </w:p>
    <w:p w14:paraId="49446646"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6014590E" w14:textId="77777777" w:rsidR="00DE14BC" w:rsidRPr="00DE14BC" w:rsidRDefault="00DE14BC" w:rsidP="00DE14BC">
      <w:pPr>
        <w:spacing w:after="0" w:line="240" w:lineRule="auto"/>
        <w:rPr>
          <w:rFonts w:ascii="Calibri" w:hAnsi="Calibri" w:cs="Calibri"/>
        </w:rPr>
      </w:pPr>
    </w:p>
    <w:p w14:paraId="07A94ED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w:t>
      </w:r>
      <w:proofErr w:type="gramStart"/>
      <w:r w:rsidRPr="00DE14BC">
        <w:rPr>
          <w:rFonts w:ascii="Calibri" w:hAnsi="Calibri" w:cs="Calibri"/>
        </w:rPr>
        <w:t>VpsVpoAs  (</w:t>
      </w:r>
      <w:proofErr w:type="gramEnd"/>
      <w:r w:rsidRPr="00DE14BC">
        <w:rPr>
          <w:rFonts w:ascii="Calibri" w:hAnsi="Calibri" w:cs="Calibri"/>
        </w:rPr>
        <w:t>plochy</w:t>
      </w:r>
      <w:proofErr w:type="gramStart"/>
      <w:r w:rsidRPr="00DE14BC">
        <w:rPr>
          <w:rFonts w:ascii="Calibri" w:hAnsi="Calibri" w:cs="Calibri"/>
        </w:rPr>
        <w:t>)  ----------</w:t>
      </w:r>
      <w:proofErr w:type="gramEnd"/>
      <w:r w:rsidRPr="00DE14BC">
        <w:rPr>
          <w:rFonts w:ascii="Calibri" w:hAnsi="Calibri" w:cs="Calibri"/>
        </w:rPr>
        <w:t xml:space="preserve"> </w:t>
      </w:r>
    </w:p>
    <w:p w14:paraId="054194E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3FF90CE6" w14:textId="77777777" w:rsidR="00DE14BC" w:rsidRPr="00DE14BC" w:rsidRDefault="00DE14BC" w:rsidP="00DE14BC">
      <w:pPr>
        <w:spacing w:after="0" w:line="240" w:lineRule="auto"/>
        <w:rPr>
          <w:rFonts w:ascii="Calibri" w:hAnsi="Calibri" w:cs="Calibri"/>
        </w:rPr>
      </w:pPr>
    </w:p>
    <w:p w14:paraId="50709DE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neexistují nevalidní geometrie </w:t>
      </w:r>
    </w:p>
    <w:p w14:paraId="0B65C823" w14:textId="77777777" w:rsidR="00DE14BC" w:rsidRPr="00DE14BC" w:rsidRDefault="00DE14BC" w:rsidP="00DE14BC">
      <w:pPr>
        <w:spacing w:after="0" w:line="240" w:lineRule="auto"/>
        <w:rPr>
          <w:rFonts w:ascii="Calibri" w:hAnsi="Calibri" w:cs="Calibri"/>
        </w:rPr>
      </w:pPr>
    </w:p>
    <w:p w14:paraId="5ABBA2C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neexistují duplicity </w:t>
      </w:r>
    </w:p>
    <w:p w14:paraId="6B61AC99" w14:textId="77777777" w:rsidR="00DE14BC" w:rsidRPr="00DE14BC" w:rsidRDefault="00DE14BC" w:rsidP="00DE14BC">
      <w:pPr>
        <w:spacing w:after="0" w:line="240" w:lineRule="auto"/>
        <w:rPr>
          <w:rFonts w:ascii="Calibri" w:hAnsi="Calibri" w:cs="Calibri"/>
        </w:rPr>
      </w:pPr>
    </w:p>
    <w:p w14:paraId="1D275BC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neexistují geometrie přesahující mimo řešené území </w:t>
      </w:r>
    </w:p>
    <w:p w14:paraId="09F88DE1" w14:textId="77777777" w:rsidR="00DE14BC" w:rsidRPr="00DE14BC" w:rsidRDefault="00DE14BC" w:rsidP="00DE14BC">
      <w:pPr>
        <w:spacing w:after="0" w:line="240" w:lineRule="auto"/>
        <w:rPr>
          <w:rFonts w:ascii="Calibri" w:hAnsi="Calibri" w:cs="Calibri"/>
        </w:rPr>
      </w:pPr>
    </w:p>
    <w:p w14:paraId="1F67A723"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v atributu Id jsou pouze povolené hodnoty </w:t>
      </w:r>
    </w:p>
    <w:p w14:paraId="6683BE9B" w14:textId="77777777" w:rsidR="00DE14BC" w:rsidRPr="00DE14BC" w:rsidRDefault="00DE14BC" w:rsidP="00DE14BC">
      <w:pPr>
        <w:spacing w:after="0" w:line="240" w:lineRule="auto"/>
        <w:rPr>
          <w:rFonts w:ascii="Calibri" w:hAnsi="Calibri" w:cs="Calibri"/>
        </w:rPr>
      </w:pPr>
    </w:p>
    <w:p w14:paraId="673438C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jsou všechny prvky (VU) v souladu s vrstvou USES </w:t>
      </w:r>
    </w:p>
    <w:p w14:paraId="5973A095" w14:textId="77777777" w:rsidR="00DE14BC" w:rsidRPr="00DE14BC" w:rsidRDefault="00DE14BC" w:rsidP="00DE14BC">
      <w:pPr>
        <w:spacing w:after="0" w:line="240" w:lineRule="auto"/>
        <w:rPr>
          <w:rFonts w:ascii="Calibri" w:hAnsi="Calibri" w:cs="Calibri"/>
        </w:rPr>
      </w:pPr>
    </w:p>
    <w:p w14:paraId="43E44FFE"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28DD9147" w14:textId="77777777" w:rsidR="00DE14BC" w:rsidRPr="00DE14BC" w:rsidRDefault="00DE14BC" w:rsidP="00DE14BC">
      <w:pPr>
        <w:spacing w:after="0" w:line="240" w:lineRule="auto"/>
        <w:rPr>
          <w:rFonts w:ascii="Calibri" w:hAnsi="Calibri" w:cs="Calibri"/>
        </w:rPr>
      </w:pPr>
    </w:p>
    <w:p w14:paraId="571B07A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w:t>
      </w:r>
      <w:proofErr w:type="gramStart"/>
      <w:r w:rsidRPr="00DE14BC">
        <w:rPr>
          <w:rFonts w:ascii="Calibri" w:hAnsi="Calibri" w:cs="Calibri"/>
        </w:rPr>
        <w:t>VpsVpoAs  (</w:t>
      </w:r>
      <w:proofErr w:type="gramEnd"/>
      <w:r w:rsidRPr="00DE14BC">
        <w:rPr>
          <w:rFonts w:ascii="Calibri" w:hAnsi="Calibri" w:cs="Calibri"/>
        </w:rPr>
        <w:t>linie</w:t>
      </w:r>
      <w:proofErr w:type="gramStart"/>
      <w:r w:rsidRPr="00DE14BC">
        <w:rPr>
          <w:rFonts w:ascii="Calibri" w:hAnsi="Calibri" w:cs="Calibri"/>
        </w:rPr>
        <w:t>)  ----------</w:t>
      </w:r>
      <w:proofErr w:type="gramEnd"/>
      <w:r w:rsidRPr="00DE14BC">
        <w:rPr>
          <w:rFonts w:ascii="Calibri" w:hAnsi="Calibri" w:cs="Calibri"/>
        </w:rPr>
        <w:t xml:space="preserve"> </w:t>
      </w:r>
    </w:p>
    <w:p w14:paraId="4300F6E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170D7522" w14:textId="77777777" w:rsidR="00DE14BC" w:rsidRPr="00DE14BC" w:rsidRDefault="00DE14BC" w:rsidP="00DE14BC">
      <w:pPr>
        <w:spacing w:after="0" w:line="240" w:lineRule="auto"/>
        <w:rPr>
          <w:rFonts w:ascii="Calibri" w:hAnsi="Calibri" w:cs="Calibri"/>
        </w:rPr>
      </w:pPr>
    </w:p>
    <w:p w14:paraId="7A53521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neexistují nevalidní geometrie </w:t>
      </w:r>
    </w:p>
    <w:p w14:paraId="698069A2" w14:textId="77777777" w:rsidR="00DE14BC" w:rsidRPr="00DE14BC" w:rsidRDefault="00DE14BC" w:rsidP="00DE14BC">
      <w:pPr>
        <w:spacing w:after="0" w:line="240" w:lineRule="auto"/>
        <w:rPr>
          <w:rFonts w:ascii="Calibri" w:hAnsi="Calibri" w:cs="Calibri"/>
        </w:rPr>
      </w:pPr>
    </w:p>
    <w:p w14:paraId="7E6157A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neexistují neprosté geometrie </w:t>
      </w:r>
    </w:p>
    <w:p w14:paraId="776D49EE" w14:textId="77777777" w:rsidR="00DE14BC" w:rsidRPr="00DE14BC" w:rsidRDefault="00DE14BC" w:rsidP="00DE14BC">
      <w:pPr>
        <w:spacing w:after="0" w:line="240" w:lineRule="auto"/>
        <w:rPr>
          <w:rFonts w:ascii="Calibri" w:hAnsi="Calibri" w:cs="Calibri"/>
        </w:rPr>
      </w:pPr>
    </w:p>
    <w:p w14:paraId="36BA37C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neexistují duplicity </w:t>
      </w:r>
    </w:p>
    <w:p w14:paraId="20F9D08A" w14:textId="77777777" w:rsidR="00DE14BC" w:rsidRPr="00DE14BC" w:rsidRDefault="00DE14BC" w:rsidP="00DE14BC">
      <w:pPr>
        <w:spacing w:after="0" w:line="240" w:lineRule="auto"/>
        <w:rPr>
          <w:rFonts w:ascii="Calibri" w:hAnsi="Calibri" w:cs="Calibri"/>
        </w:rPr>
      </w:pPr>
    </w:p>
    <w:p w14:paraId="2AC2076A"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neexistují geometrie přesahující mimo řešené území </w:t>
      </w:r>
    </w:p>
    <w:p w14:paraId="70A339B5" w14:textId="77777777" w:rsidR="00DE14BC" w:rsidRPr="00DE14BC" w:rsidRDefault="00DE14BC" w:rsidP="00DE14BC">
      <w:pPr>
        <w:spacing w:after="0" w:line="240" w:lineRule="auto"/>
        <w:rPr>
          <w:rFonts w:ascii="Calibri" w:hAnsi="Calibri" w:cs="Calibri"/>
        </w:rPr>
      </w:pPr>
    </w:p>
    <w:p w14:paraId="40E9CA8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v atributu Id jsou pouze povolené hodnoty </w:t>
      </w:r>
    </w:p>
    <w:p w14:paraId="640BFEA6" w14:textId="77777777" w:rsidR="00DE14BC" w:rsidRPr="00DE14BC" w:rsidRDefault="00DE14BC" w:rsidP="00DE14BC">
      <w:pPr>
        <w:spacing w:after="0" w:line="240" w:lineRule="auto"/>
        <w:rPr>
          <w:rFonts w:ascii="Calibri" w:hAnsi="Calibri" w:cs="Calibri"/>
        </w:rPr>
      </w:pPr>
    </w:p>
    <w:p w14:paraId="3B35237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VpsVpoAs jsou všechny prvky (VU) v souladu s vrstvou USES </w:t>
      </w:r>
    </w:p>
    <w:p w14:paraId="009D4034" w14:textId="77777777" w:rsidR="00DE14BC" w:rsidRPr="00DE14BC" w:rsidRDefault="00DE14BC" w:rsidP="00DE14BC">
      <w:pPr>
        <w:spacing w:after="0" w:line="240" w:lineRule="auto"/>
        <w:rPr>
          <w:rFonts w:ascii="Calibri" w:hAnsi="Calibri" w:cs="Calibri"/>
        </w:rPr>
      </w:pPr>
    </w:p>
    <w:p w14:paraId="2BB4CD6E"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5239B3D3" w14:textId="77777777" w:rsidR="00DE14BC" w:rsidRPr="00DE14BC" w:rsidRDefault="00DE14BC" w:rsidP="00DE14BC">
      <w:pPr>
        <w:spacing w:after="0" w:line="240" w:lineRule="auto"/>
        <w:rPr>
          <w:rFonts w:ascii="Calibri" w:hAnsi="Calibri" w:cs="Calibri"/>
        </w:rPr>
      </w:pPr>
    </w:p>
    <w:p w14:paraId="0AB49A3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w:t>
      </w:r>
      <w:proofErr w:type="gramStart"/>
      <w:r w:rsidRPr="00DE14BC">
        <w:rPr>
          <w:rFonts w:ascii="Calibri" w:hAnsi="Calibri" w:cs="Calibri"/>
        </w:rPr>
        <w:t>USES  (</w:t>
      </w:r>
      <w:proofErr w:type="gramEnd"/>
      <w:r w:rsidRPr="00DE14BC">
        <w:rPr>
          <w:rFonts w:ascii="Calibri" w:hAnsi="Calibri" w:cs="Calibri"/>
        </w:rPr>
        <w:t>plochy</w:t>
      </w:r>
      <w:proofErr w:type="gramStart"/>
      <w:r w:rsidRPr="00DE14BC">
        <w:rPr>
          <w:rFonts w:ascii="Calibri" w:hAnsi="Calibri" w:cs="Calibri"/>
        </w:rPr>
        <w:t>)  ----------</w:t>
      </w:r>
      <w:proofErr w:type="gramEnd"/>
      <w:r w:rsidRPr="00DE14BC">
        <w:rPr>
          <w:rFonts w:ascii="Calibri" w:hAnsi="Calibri" w:cs="Calibri"/>
        </w:rPr>
        <w:t xml:space="preserve"> </w:t>
      </w:r>
    </w:p>
    <w:p w14:paraId="4D8C984D"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25BBB2E4" w14:textId="77777777" w:rsidR="00DE14BC" w:rsidRPr="00DE14BC" w:rsidRDefault="00DE14BC" w:rsidP="00DE14BC">
      <w:pPr>
        <w:spacing w:after="0" w:line="240" w:lineRule="auto"/>
        <w:rPr>
          <w:rFonts w:ascii="Calibri" w:hAnsi="Calibri" w:cs="Calibri"/>
        </w:rPr>
      </w:pPr>
    </w:p>
    <w:p w14:paraId="2CCAA467"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USES neexistují nevalidní geometrie </w:t>
      </w:r>
    </w:p>
    <w:p w14:paraId="7511D982" w14:textId="77777777" w:rsidR="00DE14BC" w:rsidRPr="00DE14BC" w:rsidRDefault="00DE14BC" w:rsidP="00DE14BC">
      <w:pPr>
        <w:spacing w:after="0" w:line="240" w:lineRule="auto"/>
        <w:rPr>
          <w:rFonts w:ascii="Calibri" w:hAnsi="Calibri" w:cs="Calibri"/>
        </w:rPr>
      </w:pPr>
    </w:p>
    <w:p w14:paraId="48D2451D"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USES neexistují protínající se geometrie </w:t>
      </w:r>
    </w:p>
    <w:p w14:paraId="45B25129" w14:textId="77777777" w:rsidR="00DE14BC" w:rsidRPr="00DE14BC" w:rsidRDefault="00DE14BC" w:rsidP="00DE14BC">
      <w:pPr>
        <w:spacing w:after="0" w:line="240" w:lineRule="auto"/>
        <w:rPr>
          <w:rFonts w:ascii="Calibri" w:hAnsi="Calibri" w:cs="Calibri"/>
        </w:rPr>
      </w:pPr>
    </w:p>
    <w:p w14:paraId="64E073C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USES neexistují malé díry mezi prvky </w:t>
      </w:r>
    </w:p>
    <w:p w14:paraId="11C56F22" w14:textId="77777777" w:rsidR="00DE14BC" w:rsidRPr="00DE14BC" w:rsidRDefault="00DE14BC" w:rsidP="00DE14BC">
      <w:pPr>
        <w:spacing w:after="0" w:line="240" w:lineRule="auto"/>
        <w:rPr>
          <w:rFonts w:ascii="Calibri" w:hAnsi="Calibri" w:cs="Calibri"/>
        </w:rPr>
      </w:pPr>
    </w:p>
    <w:p w14:paraId="5E4531C8"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USES neexistují geometrie přesahující mimo řešené území </w:t>
      </w:r>
    </w:p>
    <w:p w14:paraId="1F93BBF8" w14:textId="77777777" w:rsidR="00DE14BC" w:rsidRPr="00DE14BC" w:rsidRDefault="00DE14BC" w:rsidP="00DE14BC">
      <w:pPr>
        <w:spacing w:after="0" w:line="240" w:lineRule="auto"/>
        <w:rPr>
          <w:rFonts w:ascii="Calibri" w:hAnsi="Calibri" w:cs="Calibri"/>
        </w:rPr>
      </w:pPr>
    </w:p>
    <w:p w14:paraId="019EEBA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USES v atributu CasH jsou pouze povolené hodnoty </w:t>
      </w:r>
    </w:p>
    <w:p w14:paraId="48C3B90A" w14:textId="77777777" w:rsidR="00DE14BC" w:rsidRPr="00DE14BC" w:rsidRDefault="00DE14BC" w:rsidP="00DE14BC">
      <w:pPr>
        <w:spacing w:after="0" w:line="240" w:lineRule="auto"/>
        <w:rPr>
          <w:rFonts w:ascii="Calibri" w:hAnsi="Calibri" w:cs="Calibri"/>
        </w:rPr>
      </w:pPr>
    </w:p>
    <w:p w14:paraId="179E9E23"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USES v </w:t>
      </w:r>
      <w:proofErr w:type="gramStart"/>
      <w:r w:rsidRPr="00DE14BC">
        <w:rPr>
          <w:rFonts w:ascii="Calibri" w:hAnsi="Calibri" w:cs="Calibri"/>
        </w:rPr>
        <w:t>atributu  Typ</w:t>
      </w:r>
      <w:proofErr w:type="gramEnd"/>
      <w:r w:rsidRPr="00DE14BC">
        <w:rPr>
          <w:rFonts w:ascii="Calibri" w:hAnsi="Calibri" w:cs="Calibri"/>
        </w:rPr>
        <w:t xml:space="preserve"> jsou pouze povolené hodnoty </w:t>
      </w:r>
    </w:p>
    <w:p w14:paraId="3B255A10" w14:textId="77777777" w:rsidR="00DE14BC" w:rsidRPr="00DE14BC" w:rsidRDefault="00DE14BC" w:rsidP="00DE14BC">
      <w:pPr>
        <w:spacing w:after="0" w:line="240" w:lineRule="auto"/>
        <w:rPr>
          <w:rFonts w:ascii="Calibri" w:hAnsi="Calibri" w:cs="Calibri"/>
        </w:rPr>
      </w:pPr>
    </w:p>
    <w:p w14:paraId="22FCFE3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USES v </w:t>
      </w:r>
      <w:proofErr w:type="gramStart"/>
      <w:r w:rsidRPr="00DE14BC">
        <w:rPr>
          <w:rFonts w:ascii="Calibri" w:hAnsi="Calibri" w:cs="Calibri"/>
        </w:rPr>
        <w:t>atributu  Oznaceni</w:t>
      </w:r>
      <w:proofErr w:type="gramEnd"/>
      <w:r w:rsidRPr="00DE14BC">
        <w:rPr>
          <w:rFonts w:ascii="Calibri" w:hAnsi="Calibri" w:cs="Calibri"/>
        </w:rPr>
        <w:t xml:space="preserve"> jsou pouze povolené hodnoty </w:t>
      </w:r>
    </w:p>
    <w:p w14:paraId="5EB24F9D" w14:textId="77777777" w:rsidR="00DE14BC" w:rsidRPr="00DE14BC" w:rsidRDefault="00DE14BC" w:rsidP="00DE14BC">
      <w:pPr>
        <w:spacing w:after="0" w:line="240" w:lineRule="auto"/>
        <w:rPr>
          <w:rFonts w:ascii="Calibri" w:hAnsi="Calibri" w:cs="Calibri"/>
        </w:rPr>
      </w:pPr>
    </w:p>
    <w:p w14:paraId="79A511A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USES jsou v souladu atributy Typ a Oznaceni </w:t>
      </w:r>
    </w:p>
    <w:p w14:paraId="4CA20DED" w14:textId="77777777" w:rsidR="00DE14BC" w:rsidRPr="00DE14BC" w:rsidRDefault="00DE14BC" w:rsidP="00DE14BC">
      <w:pPr>
        <w:spacing w:after="0" w:line="240" w:lineRule="auto"/>
        <w:rPr>
          <w:rFonts w:ascii="Calibri" w:hAnsi="Calibri" w:cs="Calibri"/>
        </w:rPr>
      </w:pPr>
    </w:p>
    <w:p w14:paraId="7FFD1F06"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2C9C38E5" w14:textId="77777777" w:rsidR="00DE14BC" w:rsidRPr="00DE14BC" w:rsidRDefault="00DE14BC" w:rsidP="00DE14BC">
      <w:pPr>
        <w:spacing w:after="0" w:line="240" w:lineRule="auto"/>
        <w:rPr>
          <w:rFonts w:ascii="Calibri" w:hAnsi="Calibri" w:cs="Calibri"/>
        </w:rPr>
      </w:pPr>
    </w:p>
    <w:p w14:paraId="003F6BA8"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w:t>
      </w:r>
      <w:proofErr w:type="gramStart"/>
      <w:r w:rsidRPr="00DE14BC">
        <w:rPr>
          <w:rFonts w:ascii="Calibri" w:hAnsi="Calibri" w:cs="Calibri"/>
        </w:rPr>
        <w:t>SystemSidelniZelene  (</w:t>
      </w:r>
      <w:proofErr w:type="gramEnd"/>
      <w:r w:rsidRPr="00DE14BC">
        <w:rPr>
          <w:rFonts w:ascii="Calibri" w:hAnsi="Calibri" w:cs="Calibri"/>
        </w:rPr>
        <w:t>plochy</w:t>
      </w:r>
      <w:proofErr w:type="gramStart"/>
      <w:r w:rsidRPr="00DE14BC">
        <w:rPr>
          <w:rFonts w:ascii="Calibri" w:hAnsi="Calibri" w:cs="Calibri"/>
        </w:rPr>
        <w:t>)  ----------</w:t>
      </w:r>
      <w:proofErr w:type="gramEnd"/>
      <w:r w:rsidRPr="00DE14BC">
        <w:rPr>
          <w:rFonts w:ascii="Calibri" w:hAnsi="Calibri" w:cs="Calibri"/>
        </w:rPr>
        <w:t xml:space="preserve"> </w:t>
      </w:r>
    </w:p>
    <w:p w14:paraId="1C11C3E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70964844" w14:textId="77777777" w:rsidR="00DE14BC" w:rsidRPr="00DE14BC" w:rsidRDefault="00DE14BC" w:rsidP="00DE14BC">
      <w:pPr>
        <w:spacing w:after="0" w:line="240" w:lineRule="auto"/>
        <w:rPr>
          <w:rFonts w:ascii="Calibri" w:hAnsi="Calibri" w:cs="Calibri"/>
        </w:rPr>
      </w:pPr>
    </w:p>
    <w:p w14:paraId="505F59E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SystemSidelniZelene neexistují nevalidní geometrie </w:t>
      </w:r>
    </w:p>
    <w:p w14:paraId="7507EC45" w14:textId="77777777" w:rsidR="00DE14BC" w:rsidRPr="00DE14BC" w:rsidRDefault="00DE14BC" w:rsidP="00DE14BC">
      <w:pPr>
        <w:spacing w:after="0" w:line="240" w:lineRule="auto"/>
        <w:rPr>
          <w:rFonts w:ascii="Calibri" w:hAnsi="Calibri" w:cs="Calibri"/>
        </w:rPr>
      </w:pPr>
    </w:p>
    <w:p w14:paraId="4C00039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SystemSidelniZelene neexistují protínající se geometrie </w:t>
      </w:r>
    </w:p>
    <w:p w14:paraId="37974AEB" w14:textId="77777777" w:rsidR="00DE14BC" w:rsidRPr="00DE14BC" w:rsidRDefault="00DE14BC" w:rsidP="00DE14BC">
      <w:pPr>
        <w:spacing w:after="0" w:line="240" w:lineRule="auto"/>
        <w:rPr>
          <w:rFonts w:ascii="Calibri" w:hAnsi="Calibri" w:cs="Calibri"/>
        </w:rPr>
      </w:pPr>
    </w:p>
    <w:p w14:paraId="4221EBA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SystemSidelniZelene neexistují malé díry mezi prvky </w:t>
      </w:r>
    </w:p>
    <w:p w14:paraId="2A59DD5A" w14:textId="77777777" w:rsidR="00DE14BC" w:rsidRPr="00DE14BC" w:rsidRDefault="00DE14BC" w:rsidP="00DE14BC">
      <w:pPr>
        <w:spacing w:after="0" w:line="240" w:lineRule="auto"/>
        <w:rPr>
          <w:rFonts w:ascii="Calibri" w:hAnsi="Calibri" w:cs="Calibri"/>
        </w:rPr>
      </w:pPr>
    </w:p>
    <w:p w14:paraId="548D995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SystemSidelniZelene neexistují geometrie přesahující mimo řešené území </w:t>
      </w:r>
    </w:p>
    <w:p w14:paraId="573F872D" w14:textId="77777777" w:rsidR="00DE14BC" w:rsidRPr="00DE14BC" w:rsidRDefault="00DE14BC" w:rsidP="00DE14BC">
      <w:pPr>
        <w:spacing w:after="0" w:line="240" w:lineRule="auto"/>
        <w:rPr>
          <w:rFonts w:ascii="Calibri" w:hAnsi="Calibri" w:cs="Calibri"/>
        </w:rPr>
      </w:pPr>
    </w:p>
    <w:p w14:paraId="3B319F8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SystemSidelniZelene v atributu Obec_Kod jsou pouze povolené hodnoty </w:t>
      </w:r>
    </w:p>
    <w:p w14:paraId="79C16071" w14:textId="77777777" w:rsidR="00DE14BC" w:rsidRPr="00DE14BC" w:rsidRDefault="00DE14BC" w:rsidP="00DE14BC">
      <w:pPr>
        <w:spacing w:after="0" w:line="240" w:lineRule="auto"/>
        <w:rPr>
          <w:rFonts w:ascii="Calibri" w:hAnsi="Calibri" w:cs="Calibri"/>
        </w:rPr>
      </w:pPr>
    </w:p>
    <w:p w14:paraId="0A9DD8EC"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6497919A" w14:textId="77777777" w:rsidR="00DE14BC" w:rsidRPr="00DE14BC" w:rsidRDefault="00DE14BC" w:rsidP="00DE14BC">
      <w:pPr>
        <w:spacing w:after="0" w:line="240" w:lineRule="auto"/>
        <w:rPr>
          <w:rFonts w:ascii="Calibri" w:hAnsi="Calibri" w:cs="Calibri"/>
        </w:rPr>
      </w:pPr>
    </w:p>
    <w:p w14:paraId="25B99FC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 </w:t>
      </w:r>
      <w:proofErr w:type="gramStart"/>
      <w:r w:rsidRPr="00DE14BC">
        <w:rPr>
          <w:rFonts w:ascii="Calibri" w:hAnsi="Calibri" w:cs="Calibri"/>
        </w:rPr>
        <w:t>SystemVerProstr  (</w:t>
      </w:r>
      <w:proofErr w:type="gramEnd"/>
      <w:r w:rsidRPr="00DE14BC">
        <w:rPr>
          <w:rFonts w:ascii="Calibri" w:hAnsi="Calibri" w:cs="Calibri"/>
        </w:rPr>
        <w:t>plochy</w:t>
      </w:r>
      <w:proofErr w:type="gramStart"/>
      <w:r w:rsidRPr="00DE14BC">
        <w:rPr>
          <w:rFonts w:ascii="Calibri" w:hAnsi="Calibri" w:cs="Calibri"/>
        </w:rPr>
        <w:t>)  ----------</w:t>
      </w:r>
      <w:proofErr w:type="gramEnd"/>
      <w:r w:rsidRPr="00DE14BC">
        <w:rPr>
          <w:rFonts w:ascii="Calibri" w:hAnsi="Calibri" w:cs="Calibri"/>
        </w:rPr>
        <w:t xml:space="preserve"> </w:t>
      </w:r>
    </w:p>
    <w:p w14:paraId="5D347A06"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413A305D" w14:textId="77777777" w:rsidR="00DE14BC" w:rsidRPr="00DE14BC" w:rsidRDefault="00DE14BC" w:rsidP="00DE14BC">
      <w:pPr>
        <w:spacing w:after="0" w:line="240" w:lineRule="auto"/>
        <w:rPr>
          <w:rFonts w:ascii="Calibri" w:hAnsi="Calibri" w:cs="Calibri"/>
        </w:rPr>
      </w:pPr>
    </w:p>
    <w:p w14:paraId="705E471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SystemVerProstr neexistují nevalidní geometrie </w:t>
      </w:r>
    </w:p>
    <w:p w14:paraId="6BDAE984" w14:textId="77777777" w:rsidR="00DE14BC" w:rsidRPr="00DE14BC" w:rsidRDefault="00DE14BC" w:rsidP="00DE14BC">
      <w:pPr>
        <w:spacing w:after="0" w:line="240" w:lineRule="auto"/>
        <w:rPr>
          <w:rFonts w:ascii="Calibri" w:hAnsi="Calibri" w:cs="Calibri"/>
        </w:rPr>
      </w:pPr>
    </w:p>
    <w:p w14:paraId="483D5FF8"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SystemVerProstr neexistují protínající se geometrie </w:t>
      </w:r>
    </w:p>
    <w:p w14:paraId="75978009" w14:textId="77777777" w:rsidR="00DE14BC" w:rsidRPr="00DE14BC" w:rsidRDefault="00DE14BC" w:rsidP="00DE14BC">
      <w:pPr>
        <w:spacing w:after="0" w:line="240" w:lineRule="auto"/>
        <w:rPr>
          <w:rFonts w:ascii="Calibri" w:hAnsi="Calibri" w:cs="Calibri"/>
        </w:rPr>
      </w:pPr>
    </w:p>
    <w:p w14:paraId="5017DC65"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SystemVerProstr neexistují malé díry mezi prvky </w:t>
      </w:r>
    </w:p>
    <w:p w14:paraId="3E6EE3BC" w14:textId="77777777" w:rsidR="00DE14BC" w:rsidRPr="00DE14BC" w:rsidRDefault="00DE14BC" w:rsidP="00DE14BC">
      <w:pPr>
        <w:spacing w:after="0" w:line="240" w:lineRule="auto"/>
        <w:rPr>
          <w:rFonts w:ascii="Calibri" w:hAnsi="Calibri" w:cs="Calibri"/>
        </w:rPr>
      </w:pPr>
    </w:p>
    <w:p w14:paraId="3F23835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V tabulce SystemVerProstr neexistují geometrie přesahující mimo řešené území </w:t>
      </w:r>
    </w:p>
    <w:p w14:paraId="50730EA7" w14:textId="77777777" w:rsidR="00DE14BC" w:rsidRPr="00DE14BC" w:rsidRDefault="00DE14BC" w:rsidP="00DE14BC">
      <w:pPr>
        <w:spacing w:after="0" w:line="240" w:lineRule="auto"/>
        <w:rPr>
          <w:rFonts w:ascii="Calibri" w:hAnsi="Calibri" w:cs="Calibri"/>
        </w:rPr>
      </w:pPr>
    </w:p>
    <w:p w14:paraId="6905F947" w14:textId="77777777" w:rsidR="00DE14BC" w:rsidRPr="00DE14BC" w:rsidRDefault="00DE14BC" w:rsidP="00DE14BC">
      <w:pPr>
        <w:spacing w:after="0" w:line="240" w:lineRule="auto"/>
        <w:rPr>
          <w:rFonts w:ascii="Calibri" w:hAnsi="Calibri" w:cs="Calibri"/>
        </w:rPr>
      </w:pPr>
      <w:r w:rsidRPr="00DE14BC">
        <w:rPr>
          <w:rFonts w:ascii="Calibri" w:hAnsi="Calibri" w:cs="Calibri"/>
        </w:rPr>
        <w:lastRenderedPageBreak/>
        <w:t xml:space="preserve">Zkontrolováno: V tabulce SystemVerProstr v atributu Obec_Kod jsou pouze povolené hodnoty </w:t>
      </w:r>
    </w:p>
    <w:p w14:paraId="2539061E" w14:textId="77777777" w:rsidR="00DE14BC" w:rsidRPr="00DE14BC" w:rsidRDefault="00DE14BC" w:rsidP="00DE14BC">
      <w:pPr>
        <w:spacing w:after="0" w:line="240" w:lineRule="auto"/>
        <w:rPr>
          <w:rFonts w:ascii="Calibri" w:hAnsi="Calibri" w:cs="Calibri"/>
        </w:rPr>
      </w:pPr>
    </w:p>
    <w:p w14:paraId="17AC60E7"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4B0E33A4" w14:textId="77777777" w:rsidR="00DE14BC" w:rsidRPr="00DE14BC" w:rsidRDefault="00DE14BC" w:rsidP="00DE14BC">
      <w:pPr>
        <w:spacing w:after="0" w:line="240" w:lineRule="auto"/>
        <w:rPr>
          <w:rFonts w:ascii="Calibri" w:hAnsi="Calibri" w:cs="Calibri"/>
        </w:rPr>
      </w:pPr>
    </w:p>
    <w:p w14:paraId="7ADFFD7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roofErr w:type="gramStart"/>
      <w:r w:rsidRPr="00DE14BC">
        <w:rPr>
          <w:rFonts w:ascii="Calibri" w:hAnsi="Calibri" w:cs="Calibri"/>
        </w:rPr>
        <w:t>-------------------  KONTROLY</w:t>
      </w:r>
      <w:proofErr w:type="gramEnd"/>
      <w:r w:rsidRPr="00DE14BC">
        <w:rPr>
          <w:rFonts w:ascii="Calibri" w:hAnsi="Calibri" w:cs="Calibri"/>
        </w:rPr>
        <w:t xml:space="preserve"> VZTAHŮ MEZI </w:t>
      </w:r>
      <w:proofErr w:type="gramStart"/>
      <w:r w:rsidRPr="00DE14BC">
        <w:rPr>
          <w:rFonts w:ascii="Calibri" w:hAnsi="Calibri" w:cs="Calibri"/>
        </w:rPr>
        <w:t>VRSTVAMI  ------------------</w:t>
      </w:r>
      <w:proofErr w:type="gramEnd"/>
      <w:r w:rsidRPr="00DE14BC">
        <w:rPr>
          <w:rFonts w:ascii="Calibri" w:hAnsi="Calibri" w:cs="Calibri"/>
        </w:rPr>
        <w:t xml:space="preserve"> </w:t>
      </w:r>
    </w:p>
    <w:p w14:paraId="7E0C4EE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393B80BB" w14:textId="77777777" w:rsidR="00DE14BC" w:rsidRPr="00DE14BC" w:rsidRDefault="00DE14BC" w:rsidP="00DE14BC">
      <w:pPr>
        <w:spacing w:after="0" w:line="240" w:lineRule="auto"/>
        <w:rPr>
          <w:rFonts w:ascii="Calibri" w:hAnsi="Calibri" w:cs="Calibri"/>
        </w:rPr>
      </w:pPr>
    </w:p>
    <w:p w14:paraId="3AC6622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Neexistují protínající se geometrie mezi tabulkami PlochyRZV_p a KoridoryP_p </w:t>
      </w:r>
    </w:p>
    <w:p w14:paraId="67B0FC76" w14:textId="77777777" w:rsidR="00DE14BC" w:rsidRPr="00DE14BC" w:rsidRDefault="00DE14BC" w:rsidP="00DE14BC">
      <w:pPr>
        <w:spacing w:after="0" w:line="240" w:lineRule="auto"/>
        <w:rPr>
          <w:rFonts w:ascii="Calibri" w:hAnsi="Calibri" w:cs="Calibri"/>
        </w:rPr>
      </w:pPr>
    </w:p>
    <w:p w14:paraId="0BD229D7"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Neexistují díry mezi prvky PlochyRZV_p a KoridoryP_p </w:t>
      </w:r>
    </w:p>
    <w:p w14:paraId="189BD0F5" w14:textId="77777777" w:rsidR="00DE14BC" w:rsidRPr="00DE14BC" w:rsidRDefault="00DE14BC" w:rsidP="00DE14BC">
      <w:pPr>
        <w:spacing w:after="0" w:line="240" w:lineRule="auto"/>
        <w:rPr>
          <w:rFonts w:ascii="Calibri" w:hAnsi="Calibri" w:cs="Calibri"/>
        </w:rPr>
      </w:pPr>
    </w:p>
    <w:p w14:paraId="2CAC1528"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Zkontrolováno: Řešené území a kombinace vrstev PlochyRZV_p a KoridoryP_p jsou v souladu </w:t>
      </w:r>
    </w:p>
    <w:p w14:paraId="60B46450" w14:textId="77777777" w:rsidR="00DE14BC" w:rsidRPr="00DE14BC" w:rsidRDefault="00DE14BC" w:rsidP="00DE14BC">
      <w:pPr>
        <w:spacing w:after="0" w:line="240" w:lineRule="auto"/>
        <w:rPr>
          <w:rFonts w:ascii="Calibri" w:hAnsi="Calibri" w:cs="Calibri"/>
        </w:rPr>
      </w:pPr>
    </w:p>
    <w:p w14:paraId="03794787"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5EB9C030" w14:textId="77777777" w:rsidR="00DE14BC" w:rsidRPr="00DE14BC" w:rsidRDefault="00DE14BC" w:rsidP="00DE14BC">
      <w:pPr>
        <w:spacing w:after="0" w:line="240" w:lineRule="auto"/>
        <w:rPr>
          <w:rFonts w:ascii="Calibri" w:hAnsi="Calibri" w:cs="Calibri"/>
        </w:rPr>
      </w:pPr>
    </w:p>
    <w:p w14:paraId="170EC97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KONTROLA NESTANDARDIZOVANÝCH VRSTEV ----------------- </w:t>
      </w:r>
    </w:p>
    <w:p w14:paraId="2D543792"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12E4A53F" w14:textId="77777777" w:rsidR="00DE14BC" w:rsidRPr="00DE14BC" w:rsidRDefault="00DE14BC" w:rsidP="00DE14BC">
      <w:pPr>
        <w:spacing w:after="0" w:line="240" w:lineRule="auto"/>
        <w:rPr>
          <w:rFonts w:ascii="Calibri" w:hAnsi="Calibri" w:cs="Calibri"/>
        </w:rPr>
      </w:pPr>
      <w:r w:rsidRPr="00DE14BC">
        <w:rPr>
          <w:rFonts w:ascii="Calibri" w:hAnsi="Calibri" w:cs="Calibri"/>
        </w:rPr>
        <w:t>OK: nalezen nestandartní soubor x_navrh_l.shp</w:t>
      </w:r>
    </w:p>
    <w:p w14:paraId="68A4271E" w14:textId="77777777" w:rsidR="00DE14BC" w:rsidRPr="00DE14BC" w:rsidRDefault="00DE14BC" w:rsidP="00DE14BC">
      <w:pPr>
        <w:spacing w:after="0" w:line="240" w:lineRule="auto"/>
        <w:rPr>
          <w:rFonts w:ascii="Calibri" w:hAnsi="Calibri" w:cs="Calibri"/>
        </w:rPr>
      </w:pPr>
      <w:r w:rsidRPr="00DE14BC">
        <w:rPr>
          <w:rFonts w:ascii="Calibri" w:hAnsi="Calibri" w:cs="Calibri"/>
        </w:rPr>
        <w:t>OK: Nalezen soubor s metadaty k vrstvě x_navrh_l.shp.xml</w:t>
      </w:r>
    </w:p>
    <w:p w14:paraId="7C7DA3CE" w14:textId="77777777" w:rsidR="00DE14BC" w:rsidRPr="00DE14BC" w:rsidRDefault="00DE14BC" w:rsidP="00DE14BC">
      <w:pPr>
        <w:spacing w:after="0" w:line="240" w:lineRule="auto"/>
        <w:rPr>
          <w:rFonts w:ascii="Calibri" w:hAnsi="Calibri" w:cs="Calibri"/>
        </w:rPr>
      </w:pPr>
      <w:r w:rsidRPr="00DE14BC">
        <w:rPr>
          <w:rFonts w:ascii="Calibri" w:hAnsi="Calibri" w:cs="Calibri"/>
        </w:rPr>
        <w:t>OK: Zpracovávám soubor x_navrh_l.shp</w:t>
      </w:r>
    </w:p>
    <w:p w14:paraId="7B0203FA" w14:textId="77777777" w:rsidR="00DE14BC" w:rsidRPr="00DE14BC" w:rsidRDefault="00DE14BC" w:rsidP="00DE14BC">
      <w:pPr>
        <w:spacing w:after="0" w:line="240" w:lineRule="auto"/>
        <w:rPr>
          <w:rFonts w:ascii="Calibri" w:hAnsi="Calibri" w:cs="Calibri"/>
        </w:rPr>
      </w:pPr>
    </w:p>
    <w:p w14:paraId="175F8EA0"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roofErr w:type="gramStart"/>
      <w:r w:rsidRPr="00DE14BC">
        <w:rPr>
          <w:rFonts w:ascii="Calibri" w:hAnsi="Calibri" w:cs="Calibri"/>
        </w:rPr>
        <w:t>------------------------------  KONTROLA</w:t>
      </w:r>
      <w:proofErr w:type="gramEnd"/>
      <w:r w:rsidRPr="00DE14BC">
        <w:rPr>
          <w:rFonts w:ascii="Calibri" w:hAnsi="Calibri" w:cs="Calibri"/>
        </w:rPr>
        <w:t xml:space="preserve"> RASTRŮ --------------------------- </w:t>
      </w:r>
    </w:p>
    <w:p w14:paraId="47EF4CE4"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4265AC95" w14:textId="77777777" w:rsidR="00DE14BC" w:rsidRPr="00DE14BC" w:rsidRDefault="00DE14BC" w:rsidP="00DE14BC">
      <w:pPr>
        <w:spacing w:after="0" w:line="240" w:lineRule="auto"/>
        <w:rPr>
          <w:rFonts w:ascii="Calibri" w:hAnsi="Calibri" w:cs="Calibri"/>
        </w:rPr>
      </w:pPr>
    </w:p>
    <w:p w14:paraId="519A9D3B"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textů --------------------------</w:t>
      </w:r>
    </w:p>
    <w:p w14:paraId="338EB6C1" w14:textId="77777777" w:rsidR="00DE14BC" w:rsidRPr="00DE14BC" w:rsidRDefault="00DE14BC" w:rsidP="00DE14BC">
      <w:pPr>
        <w:spacing w:after="0" w:line="240" w:lineRule="auto"/>
        <w:rPr>
          <w:rFonts w:ascii="Calibri" w:hAnsi="Calibri" w:cs="Calibri"/>
        </w:rPr>
      </w:pPr>
    </w:p>
    <w:p w14:paraId="0505C72F"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vykresy.xml -----------------------</w:t>
      </w:r>
    </w:p>
    <w:p w14:paraId="49B70AF9"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vykresy.xml je validní a v souladu s požadavky viz.  https://etl-up-new.uur.cz/etl-v2/help.</w:t>
      </w:r>
    </w:p>
    <w:p w14:paraId="0E2CD571" w14:textId="77777777" w:rsidR="00DE14BC" w:rsidRPr="00DE14BC" w:rsidRDefault="00DE14BC" w:rsidP="00DE14BC">
      <w:pPr>
        <w:spacing w:after="0" w:line="240" w:lineRule="auto"/>
        <w:rPr>
          <w:rFonts w:ascii="Calibri" w:hAnsi="Calibri" w:cs="Calibri"/>
        </w:rPr>
      </w:pPr>
    </w:p>
    <w:p w14:paraId="69050180"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souborů -------------------------</w:t>
      </w:r>
    </w:p>
    <w:p w14:paraId="00178736"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537331_1_ZCU.png uvedený v seznamu vykresy.xml je mezi předanými výkresy.</w:t>
      </w:r>
    </w:p>
    <w:p w14:paraId="21AAD1D3"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537331_2_HLV.png uvedený v seznamu vykresy.xml je mezi předanými výkresy.</w:t>
      </w:r>
    </w:p>
    <w:p w14:paraId="31404FC4"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537331_3_VPS.png uvedený v seznamu vykresy.xml je mezi předanými výkresy.</w:t>
      </w:r>
    </w:p>
    <w:p w14:paraId="0B40D797"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537331_4_KOV.png uvedený v seznamu vykresy.xml je mezi předanými výkresy.</w:t>
      </w:r>
    </w:p>
    <w:p w14:paraId="519B76F9"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537331_5_SV.png uvedený v seznamu vykresy.xml je mezi předanými výkresy.</w:t>
      </w:r>
    </w:p>
    <w:p w14:paraId="5430145C"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537331_6_ZPF.png uvedený v seznamu vykresy.xml je mezi předanými výkresy.</w:t>
      </w:r>
    </w:p>
    <w:p w14:paraId="5389E875" w14:textId="77777777" w:rsidR="00DE14BC" w:rsidRPr="00DE14BC" w:rsidRDefault="00DE14BC" w:rsidP="00DE14BC">
      <w:pPr>
        <w:spacing w:after="0" w:line="240" w:lineRule="auto"/>
        <w:rPr>
          <w:rFonts w:ascii="Calibri" w:hAnsi="Calibri" w:cs="Calibri"/>
        </w:rPr>
      </w:pPr>
    </w:p>
    <w:p w14:paraId="6CA7C4F1"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pdf ---------------------------</w:t>
      </w:r>
    </w:p>
    <w:p w14:paraId="7B3B35BA"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537331_1_ZCU.pdf je validní PDF/A</w:t>
      </w:r>
    </w:p>
    <w:p w14:paraId="29891B3B"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537331_2_HLV.pdf je validní PDF/A</w:t>
      </w:r>
    </w:p>
    <w:p w14:paraId="0BE66740"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537331_3_VPS.pdf je validní PDF/A</w:t>
      </w:r>
    </w:p>
    <w:p w14:paraId="2113BA4C"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537331_4_KOV.pdf je validní PDF/A</w:t>
      </w:r>
    </w:p>
    <w:p w14:paraId="0CDECA5B"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537331_5_SV.pdf je validní PDF/A</w:t>
      </w:r>
    </w:p>
    <w:p w14:paraId="5A05C93E"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537331_6_ZPF.pdf je validní PDF/A</w:t>
      </w:r>
    </w:p>
    <w:p w14:paraId="2B06349A" w14:textId="77777777" w:rsidR="00DE14BC" w:rsidRPr="00DE14BC" w:rsidRDefault="00DE14BC" w:rsidP="00DE14BC">
      <w:pPr>
        <w:spacing w:after="0" w:line="240" w:lineRule="auto"/>
        <w:rPr>
          <w:rFonts w:ascii="Calibri" w:hAnsi="Calibri" w:cs="Calibri"/>
        </w:rPr>
      </w:pPr>
    </w:p>
    <w:p w14:paraId="281CD30F"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prostorové reference -------------------</w:t>
      </w:r>
    </w:p>
    <w:p w14:paraId="74D9BB7D" w14:textId="77777777" w:rsidR="00DE14BC" w:rsidRPr="00DE14BC" w:rsidRDefault="00DE14BC" w:rsidP="00DE14BC">
      <w:pPr>
        <w:spacing w:after="0" w:line="240" w:lineRule="auto"/>
        <w:rPr>
          <w:rFonts w:ascii="Calibri" w:hAnsi="Calibri" w:cs="Calibri"/>
        </w:rPr>
      </w:pPr>
    </w:p>
    <w:p w14:paraId="5FFAB0D4"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metadat -------------------------</w:t>
      </w:r>
    </w:p>
    <w:p w14:paraId="2F5EB020"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Všechny výkresy jsou opatřeny popisem ve vykresy.xml</w:t>
      </w:r>
    </w:p>
    <w:p w14:paraId="5E977FCF" w14:textId="77777777" w:rsidR="00DE14BC" w:rsidRPr="00DE14BC" w:rsidRDefault="00DE14BC" w:rsidP="00DE14BC">
      <w:pPr>
        <w:spacing w:after="0" w:line="240" w:lineRule="auto"/>
        <w:rPr>
          <w:rFonts w:ascii="Calibri" w:hAnsi="Calibri" w:cs="Calibri"/>
        </w:rPr>
      </w:pPr>
    </w:p>
    <w:p w14:paraId="750F0D46"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rozlišení ------------------------</w:t>
      </w:r>
    </w:p>
    <w:p w14:paraId="5D7D37E8"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537331_1_ZCU.png má rozlišení 299.89</w:t>
      </w:r>
    </w:p>
    <w:p w14:paraId="27D69454"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537331_2_HLV.png má rozlišení 299.95</w:t>
      </w:r>
    </w:p>
    <w:p w14:paraId="6E051435"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537331_3_VPS.png má rozlišení 300.04</w:t>
      </w:r>
    </w:p>
    <w:p w14:paraId="53E53036"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537331_4_KOV.png má rozlišení 300.07</w:t>
      </w:r>
    </w:p>
    <w:p w14:paraId="1A77644E"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537331_5_SV.png má rozlišení 297.07</w:t>
      </w:r>
    </w:p>
    <w:p w14:paraId="714FD242"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537331_6_ZPF.png má rozlišení 299.93</w:t>
      </w:r>
    </w:p>
    <w:p w14:paraId="1E422A96" w14:textId="77777777" w:rsidR="00DE14BC" w:rsidRPr="00DE14BC" w:rsidRDefault="00DE14BC" w:rsidP="00DE14BC">
      <w:pPr>
        <w:spacing w:after="0" w:line="240" w:lineRule="auto"/>
        <w:rPr>
          <w:rFonts w:ascii="Calibri" w:hAnsi="Calibri" w:cs="Calibri"/>
        </w:rPr>
      </w:pPr>
    </w:p>
    <w:p w14:paraId="6B6872AA"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barevné hloubky ---------------------</w:t>
      </w:r>
    </w:p>
    <w:p w14:paraId="2103CA1D"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537331_1_ZCU.png má bitovou hloubku 24 bitu</w:t>
      </w:r>
    </w:p>
    <w:p w14:paraId="296D72CF"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537331_2_HLV.png má bitovou hloubku 24 bitu</w:t>
      </w:r>
    </w:p>
    <w:p w14:paraId="66DA327C"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537331_3_VPS.png má bitovou hloubku 24 bitu</w:t>
      </w:r>
    </w:p>
    <w:p w14:paraId="5BCF9D3B"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537331_4_KOV.png má bitovou hloubku 24 bitu</w:t>
      </w:r>
    </w:p>
    <w:p w14:paraId="46CFC6A3"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537331_5_SV.png má bitovou hloubku 24 bitu</w:t>
      </w:r>
    </w:p>
    <w:p w14:paraId="2C042BC4"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soubor 537331_6_ZPF.png má bitovou hloubku 24 bitu</w:t>
      </w:r>
    </w:p>
    <w:p w14:paraId="370FBBCC" w14:textId="77777777" w:rsidR="00DE14BC" w:rsidRPr="00DE14BC" w:rsidRDefault="00DE14BC" w:rsidP="00DE14BC">
      <w:pPr>
        <w:spacing w:after="0" w:line="240" w:lineRule="auto"/>
        <w:rPr>
          <w:rFonts w:ascii="Calibri" w:hAnsi="Calibri" w:cs="Calibri"/>
        </w:rPr>
      </w:pPr>
    </w:p>
    <w:p w14:paraId="71A4406C" w14:textId="77777777" w:rsidR="00DE14BC" w:rsidRPr="00DE14BC" w:rsidRDefault="00DE14BC" w:rsidP="00DE14BC">
      <w:pPr>
        <w:spacing w:after="0" w:line="240" w:lineRule="auto"/>
        <w:rPr>
          <w:rFonts w:ascii="Calibri" w:hAnsi="Calibri" w:cs="Calibri"/>
        </w:rPr>
      </w:pPr>
      <w:r w:rsidRPr="00DE14BC">
        <w:rPr>
          <w:rFonts w:ascii="Calibri" w:hAnsi="Calibri" w:cs="Calibri"/>
        </w:rPr>
        <w:t>------------------------ Kontrola umístění -------------------------</w:t>
      </w:r>
    </w:p>
    <w:p w14:paraId="45485BBB"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537331_1_ZCU.png je osazený v rámci řešeného území.</w:t>
      </w:r>
    </w:p>
    <w:p w14:paraId="03F3EF60"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537331_2_HLV.png je osazený v rámci řešeného území.</w:t>
      </w:r>
    </w:p>
    <w:p w14:paraId="4032F291"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537331_3_VPS.png je osazený v rámci řešeného území.</w:t>
      </w:r>
    </w:p>
    <w:p w14:paraId="7D908375"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537331_4_KOV.png je osazený v rámci řešeného území.</w:t>
      </w:r>
    </w:p>
    <w:p w14:paraId="2C101717"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537331_5_SV.png je osazený v rámci řešeného území.</w:t>
      </w:r>
    </w:p>
    <w:p w14:paraId="0052A34D" w14:textId="77777777" w:rsidR="00DE14BC" w:rsidRPr="00DE14BC" w:rsidRDefault="00DE14BC" w:rsidP="00DE14BC">
      <w:pPr>
        <w:spacing w:after="0" w:line="240" w:lineRule="auto"/>
        <w:rPr>
          <w:rFonts w:ascii="Calibri" w:hAnsi="Calibri" w:cs="Calibri"/>
        </w:rPr>
      </w:pPr>
      <w:r w:rsidRPr="00DE14BC">
        <w:rPr>
          <w:rFonts w:ascii="Calibri" w:hAnsi="Calibri" w:cs="Calibri"/>
        </w:rPr>
        <w:t>Zkontrolováno: Výkres 537331_6_ZPF.png je osazený v rámci řešeného území.</w:t>
      </w:r>
    </w:p>
    <w:p w14:paraId="7D4F818F" w14:textId="77777777" w:rsidR="00DE14BC" w:rsidRPr="00DE14BC" w:rsidRDefault="00DE14BC" w:rsidP="00DE14BC">
      <w:pPr>
        <w:spacing w:after="0" w:line="240" w:lineRule="auto"/>
        <w:rPr>
          <w:rFonts w:ascii="Calibri" w:hAnsi="Calibri" w:cs="Calibri"/>
        </w:rPr>
      </w:pPr>
    </w:p>
    <w:p w14:paraId="6E2A3AD1"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roofErr w:type="gramStart"/>
      <w:r w:rsidRPr="00DE14BC">
        <w:rPr>
          <w:rFonts w:ascii="Calibri" w:hAnsi="Calibri" w:cs="Calibri"/>
        </w:rPr>
        <w:t>------------------------------  KONTROLA</w:t>
      </w:r>
      <w:proofErr w:type="gramEnd"/>
      <w:r w:rsidRPr="00DE14BC">
        <w:rPr>
          <w:rFonts w:ascii="Calibri" w:hAnsi="Calibri" w:cs="Calibri"/>
        </w:rPr>
        <w:t xml:space="preserve"> </w:t>
      </w:r>
      <w:proofErr w:type="gramStart"/>
      <w:r w:rsidRPr="00DE14BC">
        <w:rPr>
          <w:rFonts w:ascii="Calibri" w:hAnsi="Calibri" w:cs="Calibri"/>
        </w:rPr>
        <w:t>TEXTŮ  ---------------------------</w:t>
      </w:r>
      <w:proofErr w:type="gramEnd"/>
      <w:r w:rsidRPr="00DE14BC">
        <w:rPr>
          <w:rFonts w:ascii="Calibri" w:hAnsi="Calibri" w:cs="Calibri"/>
        </w:rPr>
        <w:t xml:space="preserve"> </w:t>
      </w:r>
    </w:p>
    <w:p w14:paraId="651F537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7DD2F471" w14:textId="77777777" w:rsidR="00DE14BC" w:rsidRPr="00DE14BC" w:rsidRDefault="00DE14BC" w:rsidP="00DE14BC">
      <w:pPr>
        <w:spacing w:after="0" w:line="240" w:lineRule="auto"/>
        <w:rPr>
          <w:rFonts w:ascii="Calibri" w:hAnsi="Calibri" w:cs="Calibri"/>
        </w:rPr>
      </w:pPr>
      <w:r w:rsidRPr="00DE14BC">
        <w:rPr>
          <w:rFonts w:ascii="Calibri" w:hAnsi="Calibri" w:cs="Calibri"/>
        </w:rPr>
        <w:t>OK 537331_oduvodneni.pdf je ve formátu pdf/a</w:t>
      </w:r>
    </w:p>
    <w:p w14:paraId="20F893EE" w14:textId="77777777" w:rsidR="00DE14BC" w:rsidRPr="00DE14BC" w:rsidRDefault="00DE14BC" w:rsidP="00DE14BC">
      <w:pPr>
        <w:spacing w:after="0" w:line="240" w:lineRule="auto"/>
        <w:rPr>
          <w:rFonts w:ascii="Calibri" w:hAnsi="Calibri" w:cs="Calibri"/>
        </w:rPr>
      </w:pPr>
      <w:r w:rsidRPr="00DE14BC">
        <w:rPr>
          <w:rFonts w:ascii="Calibri" w:hAnsi="Calibri" w:cs="Calibri"/>
        </w:rPr>
        <w:t>OK 537331_text.pdf je ve formátu pdf/a</w:t>
      </w:r>
    </w:p>
    <w:p w14:paraId="7B4FD51E" w14:textId="77777777" w:rsidR="00DE14BC" w:rsidRPr="00DE14BC" w:rsidRDefault="00DE14BC" w:rsidP="00DE14BC">
      <w:pPr>
        <w:spacing w:after="0" w:line="240" w:lineRule="auto"/>
        <w:rPr>
          <w:rFonts w:ascii="Calibri" w:hAnsi="Calibri" w:cs="Calibri"/>
        </w:rPr>
      </w:pPr>
    </w:p>
    <w:p w14:paraId="40AFE0ED" w14:textId="77777777" w:rsidR="00DE14BC" w:rsidRPr="00DE14BC" w:rsidRDefault="00DE14BC" w:rsidP="00DE14BC">
      <w:pPr>
        <w:spacing w:after="0" w:line="240" w:lineRule="auto"/>
        <w:rPr>
          <w:rFonts w:ascii="Calibri" w:hAnsi="Calibri" w:cs="Calibri"/>
        </w:rPr>
      </w:pPr>
      <w:r w:rsidRPr="00DE14BC">
        <w:rPr>
          <w:rFonts w:ascii="Calibri" w:hAnsi="Calibri" w:cs="Calibri"/>
        </w:rPr>
        <w:t>Status: OK</w:t>
      </w:r>
    </w:p>
    <w:p w14:paraId="3654B5D8" w14:textId="77777777" w:rsidR="00DE14BC" w:rsidRPr="00DE14BC" w:rsidRDefault="00DE14BC" w:rsidP="00DE14BC">
      <w:pPr>
        <w:spacing w:after="0" w:line="240" w:lineRule="auto"/>
        <w:rPr>
          <w:rFonts w:ascii="Calibri" w:hAnsi="Calibri" w:cs="Calibri"/>
        </w:rPr>
      </w:pPr>
    </w:p>
    <w:p w14:paraId="6AD0FFD3"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 </w:t>
      </w:r>
    </w:p>
    <w:p w14:paraId="6EF3321E"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02D69B78" w14:textId="77777777" w:rsidR="00DE14BC" w:rsidRPr="00DE14BC" w:rsidRDefault="00DE14BC" w:rsidP="00DE14BC">
      <w:pPr>
        <w:spacing w:after="0" w:line="240" w:lineRule="auto"/>
        <w:rPr>
          <w:rFonts w:ascii="Calibri" w:hAnsi="Calibri" w:cs="Calibri"/>
        </w:rPr>
      </w:pPr>
    </w:p>
    <w:p w14:paraId="7E16F3BA" w14:textId="77777777" w:rsidR="00DE14BC" w:rsidRPr="00DE14BC" w:rsidRDefault="00DE14BC" w:rsidP="00DE14BC">
      <w:pPr>
        <w:spacing w:after="0" w:line="240" w:lineRule="auto"/>
        <w:rPr>
          <w:rFonts w:ascii="Calibri" w:hAnsi="Calibri" w:cs="Calibri"/>
        </w:rPr>
      </w:pPr>
      <w:r w:rsidRPr="00DE14BC">
        <w:rPr>
          <w:rFonts w:ascii="Calibri" w:hAnsi="Calibri" w:cs="Calibri"/>
        </w:rPr>
        <w:t>Finální shp vytvořeny a zazipovány.</w:t>
      </w:r>
    </w:p>
    <w:p w14:paraId="51911C0F" w14:textId="77777777" w:rsidR="00DE14BC" w:rsidRPr="00DE14BC" w:rsidRDefault="00DE14BC" w:rsidP="00DE14BC">
      <w:pPr>
        <w:spacing w:after="0" w:line="240" w:lineRule="auto"/>
        <w:rPr>
          <w:rFonts w:ascii="Calibri" w:hAnsi="Calibri" w:cs="Calibri"/>
        </w:rPr>
      </w:pPr>
    </w:p>
    <w:p w14:paraId="46EE552C"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roofErr w:type="gramStart"/>
      <w:r w:rsidRPr="00DE14BC">
        <w:rPr>
          <w:rFonts w:ascii="Calibri" w:hAnsi="Calibri" w:cs="Calibri"/>
        </w:rPr>
        <w:t>------------------------------  KONEC</w:t>
      </w:r>
      <w:proofErr w:type="gramEnd"/>
      <w:r w:rsidRPr="00DE14BC">
        <w:rPr>
          <w:rFonts w:ascii="Calibri" w:hAnsi="Calibri" w:cs="Calibri"/>
        </w:rPr>
        <w:t xml:space="preserve"> </w:t>
      </w:r>
      <w:proofErr w:type="gramStart"/>
      <w:r w:rsidRPr="00DE14BC">
        <w:rPr>
          <w:rFonts w:ascii="Calibri" w:hAnsi="Calibri" w:cs="Calibri"/>
        </w:rPr>
        <w:t>IMPORTU  ------------------------------</w:t>
      </w:r>
      <w:proofErr w:type="gramEnd"/>
      <w:r w:rsidRPr="00DE14BC">
        <w:rPr>
          <w:rFonts w:ascii="Calibri" w:hAnsi="Calibri" w:cs="Calibri"/>
        </w:rPr>
        <w:t xml:space="preserve"> </w:t>
      </w:r>
    </w:p>
    <w:p w14:paraId="40465E23"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669646CB"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IMPORT ÚZEMNÍHO PLÁNU OBCE 537331 ukončen v 2025-07-29 15:18:59 </w:t>
      </w:r>
    </w:p>
    <w:p w14:paraId="2E26D109" w14:textId="77777777" w:rsidR="00DE14BC" w:rsidRPr="00DE14BC" w:rsidRDefault="00DE14BC" w:rsidP="00DE14BC">
      <w:pPr>
        <w:spacing w:after="0" w:line="240" w:lineRule="auto"/>
        <w:rPr>
          <w:rFonts w:ascii="Calibri" w:hAnsi="Calibri" w:cs="Calibri"/>
        </w:rPr>
      </w:pPr>
      <w:r w:rsidRPr="00DE14BC">
        <w:rPr>
          <w:rFonts w:ascii="Calibri" w:hAnsi="Calibri" w:cs="Calibri"/>
        </w:rPr>
        <w:t xml:space="preserve"> </w:t>
      </w:r>
    </w:p>
    <w:p w14:paraId="222E0057" w14:textId="77777777" w:rsidR="00DE14BC" w:rsidRPr="00DE14BC" w:rsidRDefault="00DE14BC" w:rsidP="00DE14BC">
      <w:pPr>
        <w:spacing w:after="0" w:line="240" w:lineRule="auto"/>
        <w:rPr>
          <w:rFonts w:ascii="Calibri" w:hAnsi="Calibri" w:cs="Calibri"/>
        </w:rPr>
      </w:pPr>
    </w:p>
    <w:p w14:paraId="2F07B183" w14:textId="59CFDAAD" w:rsidR="00AC3D3F" w:rsidRPr="00DE14BC" w:rsidRDefault="00DE14BC" w:rsidP="00DE14BC">
      <w:pPr>
        <w:spacing w:after="0" w:line="240" w:lineRule="auto"/>
        <w:rPr>
          <w:rFonts w:ascii="Calibri" w:hAnsi="Calibri" w:cs="Calibri"/>
        </w:rPr>
      </w:pPr>
      <w:r w:rsidRPr="00DE14BC">
        <w:rPr>
          <w:rFonts w:ascii="Calibri" w:hAnsi="Calibri" w:cs="Calibri"/>
        </w:rPr>
        <w:t>Status: Varování</w:t>
      </w:r>
    </w:p>
    <w:sectPr w:rsidR="00AC3D3F" w:rsidRPr="00DE14BC" w:rsidSect="00AC3D3F">
      <w:headerReference w:type="default" r:id="rId71"/>
      <w:footerReference w:type="default" r:id="rId72"/>
      <w:pgSz w:w="11906" w:h="16838"/>
      <w:pgMar w:top="1418"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F8ACF8" w14:textId="77777777" w:rsidR="00383669" w:rsidRDefault="00383669" w:rsidP="00002556">
      <w:pPr>
        <w:spacing w:after="0" w:line="240" w:lineRule="auto"/>
      </w:pPr>
      <w:r>
        <w:separator/>
      </w:r>
    </w:p>
  </w:endnote>
  <w:endnote w:type="continuationSeparator" w:id="0">
    <w:p w14:paraId="1DC44B22" w14:textId="77777777" w:rsidR="00383669" w:rsidRDefault="00383669" w:rsidP="0000255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EE"/>
    <w:family w:val="modern"/>
    <w:pitch w:val="fixed"/>
    <w:sig w:usb0="E0002EFF" w:usb1="C0007843" w:usb2="00000009" w:usb3="00000000" w:csb0="000001FF" w:csb1="00000000"/>
  </w:font>
  <w:font w:name="Times New Roman">
    <w:panose1 w:val="02020603050405020304"/>
    <w:charset w:val="EE"/>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Calibri Light">
    <w:panose1 w:val="020F0302020204030204"/>
    <w:charset w:val="EE"/>
    <w:family w:val="swiss"/>
    <w:pitch w:val="variable"/>
    <w:sig w:usb0="E4002EFF" w:usb1="C000247B" w:usb2="00000009" w:usb3="00000000" w:csb0="000001FF" w:csb1="00000000"/>
  </w:font>
  <w:font w:name="Verdana">
    <w:panose1 w:val="020B0604030504040204"/>
    <w:charset w:val="EE"/>
    <w:family w:val="swiss"/>
    <w:pitch w:val="variable"/>
    <w:sig w:usb0="A00006FF" w:usb1="4000205B" w:usb2="0000001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EE"/>
    <w:family w:val="swiss"/>
    <w:pitch w:val="variable"/>
    <w:sig w:usb0="E1002EFF" w:usb1="C000605B" w:usb2="00000029" w:usb3="00000000" w:csb0="000101FF" w:csb1="00000000"/>
  </w:font>
  <w:font w:name="Cambria Math">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205BBF" w14:textId="77777777" w:rsidR="00B158F2" w:rsidRPr="00666349" w:rsidRDefault="00B158F2" w:rsidP="00F346BD">
    <w:pPr>
      <w:pStyle w:val="Zpat"/>
      <w:pBdr>
        <w:top w:val="single" w:sz="4" w:space="1" w:color="auto"/>
      </w:pBdr>
      <w:rPr>
        <w:i/>
        <w:color w:val="808080" w:themeColor="background1" w:themeShade="80"/>
        <w:sz w:val="18"/>
        <w:szCs w:val="18"/>
      </w:rPr>
    </w:pPr>
    <w:r w:rsidRPr="00666349">
      <w:rPr>
        <w:b/>
        <w:color w:val="808080" w:themeColor="background1" w:themeShade="80"/>
        <w:spacing w:val="30"/>
        <w:sz w:val="18"/>
        <w:szCs w:val="18"/>
      </w:rPr>
      <w:t>ŽALUDA</w:t>
    </w:r>
    <w:r w:rsidRPr="00666349">
      <w:rPr>
        <w:color w:val="808080" w:themeColor="background1" w:themeShade="80"/>
        <w:sz w:val="18"/>
        <w:szCs w:val="18"/>
      </w:rPr>
      <w:t>, projektová kancelář</w:t>
    </w:r>
    <w:r w:rsidRPr="00666349">
      <w:rPr>
        <w:i/>
        <w:color w:val="808080" w:themeColor="background1" w:themeShade="80"/>
        <w:sz w:val="18"/>
        <w:szCs w:val="18"/>
      </w:rPr>
      <w:tab/>
    </w:r>
    <w:r w:rsidRPr="00666349">
      <w:rPr>
        <w:i/>
        <w:color w:val="808080" w:themeColor="background1" w:themeShade="80"/>
        <w:sz w:val="18"/>
        <w:szCs w:val="18"/>
      </w:rPr>
      <w:tab/>
    </w:r>
    <w:sdt>
      <w:sdtPr>
        <w:rPr>
          <w:i/>
          <w:color w:val="808080" w:themeColor="background1" w:themeShade="80"/>
          <w:sz w:val="18"/>
          <w:szCs w:val="18"/>
        </w:rPr>
        <w:id w:val="95250035"/>
        <w:docPartObj>
          <w:docPartGallery w:val="Page Numbers (Bottom of Page)"/>
          <w:docPartUnique/>
        </w:docPartObj>
      </w:sdtPr>
      <w:sdtEndPr/>
      <w:sdtContent>
        <w:r w:rsidRPr="00666349">
          <w:rPr>
            <w:sz w:val="18"/>
            <w:szCs w:val="18"/>
          </w:rPr>
          <w:fldChar w:fldCharType="begin"/>
        </w:r>
        <w:r w:rsidRPr="00666349">
          <w:rPr>
            <w:sz w:val="18"/>
            <w:szCs w:val="18"/>
          </w:rPr>
          <w:instrText>PAGE   \* MERGEFORMAT</w:instrText>
        </w:r>
        <w:r w:rsidRPr="00666349">
          <w:rPr>
            <w:sz w:val="18"/>
            <w:szCs w:val="18"/>
          </w:rPr>
          <w:fldChar w:fldCharType="separate"/>
        </w:r>
        <w:r w:rsidRPr="00666349">
          <w:rPr>
            <w:noProof/>
            <w:sz w:val="18"/>
            <w:szCs w:val="18"/>
          </w:rPr>
          <w:t>120</w:t>
        </w:r>
        <w:r w:rsidRPr="00666349">
          <w:rPr>
            <w:sz w:val="18"/>
            <w:szCs w:val="18"/>
          </w:rPr>
          <w:fldChar w:fldCharType="end"/>
        </w:r>
      </w:sdtContent>
    </w:sdt>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ACA4C5E" w14:textId="77777777" w:rsidR="00B158F2" w:rsidRPr="00EB0B68" w:rsidRDefault="00B158F2" w:rsidP="009B4B44">
    <w:pPr>
      <w:pStyle w:val="Zpat"/>
      <w:pBdr>
        <w:top w:val="single" w:sz="4" w:space="1" w:color="auto"/>
      </w:pBdr>
      <w:tabs>
        <w:tab w:val="clear" w:pos="9072"/>
        <w:tab w:val="right" w:pos="15168"/>
      </w:tabs>
      <w:rPr>
        <w:i/>
        <w:color w:val="808080" w:themeColor="background1" w:themeShade="80"/>
        <w:sz w:val="20"/>
      </w:rPr>
    </w:pPr>
    <w:r w:rsidRPr="005847DD">
      <w:rPr>
        <w:b/>
        <w:color w:val="808080" w:themeColor="background1" w:themeShade="80"/>
        <w:spacing w:val="30"/>
        <w:sz w:val="18"/>
      </w:rPr>
      <w:t>ŽALUDA</w:t>
    </w:r>
    <w:r w:rsidRPr="005847DD">
      <w:rPr>
        <w:color w:val="808080" w:themeColor="background1" w:themeShade="80"/>
        <w:sz w:val="18"/>
      </w:rPr>
      <w:t>, projektová kancelář</w:t>
    </w:r>
    <w:r w:rsidRPr="005847DD">
      <w:rPr>
        <w:i/>
        <w:color w:val="808080" w:themeColor="background1" w:themeShade="80"/>
        <w:sz w:val="20"/>
      </w:rPr>
      <w:tab/>
    </w:r>
    <w:r w:rsidRPr="005847DD">
      <w:rPr>
        <w:i/>
        <w:color w:val="808080" w:themeColor="background1" w:themeShade="80"/>
        <w:sz w:val="20"/>
      </w:rPr>
      <w:tab/>
    </w:r>
    <w:sdt>
      <w:sdtPr>
        <w:rPr>
          <w:i/>
          <w:color w:val="808080" w:themeColor="background1" w:themeShade="80"/>
          <w:sz w:val="20"/>
        </w:rPr>
        <w:id w:val="95250036"/>
        <w:docPartObj>
          <w:docPartGallery w:val="Page Numbers (Bottom of Page)"/>
          <w:docPartUnique/>
        </w:docPartObj>
      </w:sdtPr>
      <w:sdtEndPr/>
      <w:sdtContent>
        <w:r w:rsidRPr="005847DD">
          <w:rPr>
            <w:sz w:val="20"/>
          </w:rPr>
          <w:fldChar w:fldCharType="begin"/>
        </w:r>
        <w:r w:rsidRPr="005847DD">
          <w:rPr>
            <w:sz w:val="20"/>
          </w:rPr>
          <w:instrText>PAGE   \* MERGEFORMAT</w:instrText>
        </w:r>
        <w:r w:rsidRPr="005847DD">
          <w:rPr>
            <w:sz w:val="20"/>
          </w:rPr>
          <w:fldChar w:fldCharType="separate"/>
        </w:r>
        <w:r>
          <w:rPr>
            <w:noProof/>
            <w:sz w:val="20"/>
          </w:rPr>
          <w:t>130</w:t>
        </w:r>
        <w:r w:rsidRPr="005847DD">
          <w:rPr>
            <w:sz w:val="20"/>
          </w:rPr>
          <w:fldChar w:fldCharType="end"/>
        </w:r>
      </w:sdtContent>
    </w:sdt>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629414" w14:textId="77777777" w:rsidR="00AC3D3F" w:rsidRPr="00EB0B68" w:rsidRDefault="00AC3D3F" w:rsidP="009B4B44">
    <w:pPr>
      <w:pStyle w:val="Zpat"/>
      <w:pBdr>
        <w:top w:val="single" w:sz="4" w:space="1" w:color="auto"/>
      </w:pBdr>
      <w:tabs>
        <w:tab w:val="clear" w:pos="9072"/>
        <w:tab w:val="right" w:pos="15168"/>
      </w:tabs>
      <w:rPr>
        <w:i/>
        <w:color w:val="808080" w:themeColor="background1" w:themeShade="80"/>
        <w:sz w:val="20"/>
      </w:rPr>
    </w:pPr>
    <w:r w:rsidRPr="005847DD">
      <w:rPr>
        <w:b/>
        <w:color w:val="808080" w:themeColor="background1" w:themeShade="80"/>
        <w:spacing w:val="30"/>
        <w:sz w:val="18"/>
      </w:rPr>
      <w:t>ŽALUDA</w:t>
    </w:r>
    <w:r w:rsidRPr="005847DD">
      <w:rPr>
        <w:color w:val="808080" w:themeColor="background1" w:themeShade="80"/>
        <w:sz w:val="18"/>
      </w:rPr>
      <w:t>, projektová kancelář</w:t>
    </w:r>
    <w:r w:rsidRPr="005847DD">
      <w:rPr>
        <w:i/>
        <w:color w:val="808080" w:themeColor="background1" w:themeShade="80"/>
        <w:sz w:val="20"/>
      </w:rPr>
      <w:tab/>
    </w:r>
    <w:r w:rsidRPr="005847DD">
      <w:rPr>
        <w:i/>
        <w:color w:val="808080" w:themeColor="background1" w:themeShade="80"/>
        <w:sz w:val="20"/>
      </w:rPr>
      <w:tab/>
    </w:r>
    <w:sdt>
      <w:sdtPr>
        <w:rPr>
          <w:i/>
          <w:color w:val="808080" w:themeColor="background1" w:themeShade="80"/>
          <w:sz w:val="20"/>
        </w:rPr>
        <w:id w:val="-1105644650"/>
        <w:docPartObj>
          <w:docPartGallery w:val="Page Numbers (Bottom of Page)"/>
          <w:docPartUnique/>
        </w:docPartObj>
      </w:sdtPr>
      <w:sdtEndPr/>
      <w:sdtContent>
        <w:r w:rsidRPr="005847DD">
          <w:rPr>
            <w:sz w:val="20"/>
          </w:rPr>
          <w:fldChar w:fldCharType="begin"/>
        </w:r>
        <w:r w:rsidRPr="005847DD">
          <w:rPr>
            <w:sz w:val="20"/>
          </w:rPr>
          <w:instrText>PAGE   \* MERGEFORMAT</w:instrText>
        </w:r>
        <w:r w:rsidRPr="005847DD">
          <w:rPr>
            <w:sz w:val="20"/>
          </w:rPr>
          <w:fldChar w:fldCharType="separate"/>
        </w:r>
        <w:r>
          <w:rPr>
            <w:noProof/>
            <w:sz w:val="20"/>
          </w:rPr>
          <w:t>130</w:t>
        </w:r>
        <w:r w:rsidRPr="005847DD">
          <w:rPr>
            <w:sz w:val="20"/>
          </w:rPr>
          <w:fldChar w:fldCharType="end"/>
        </w:r>
      </w:sdtContent>
    </w:sdt>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DE33067" w14:textId="77777777" w:rsidR="00383669" w:rsidRDefault="00383669" w:rsidP="00002556">
      <w:pPr>
        <w:spacing w:after="0" w:line="240" w:lineRule="auto"/>
      </w:pPr>
      <w:r>
        <w:separator/>
      </w:r>
    </w:p>
  </w:footnote>
  <w:footnote w:type="continuationSeparator" w:id="0">
    <w:p w14:paraId="11362488" w14:textId="77777777" w:rsidR="00383669" w:rsidRDefault="00383669" w:rsidP="0000255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B771D5D" w14:textId="64596E11" w:rsidR="00B158F2" w:rsidRPr="00734352" w:rsidRDefault="00734352" w:rsidP="00734352">
    <w:pPr>
      <w:pStyle w:val="Zhlav"/>
      <w:pBdr>
        <w:bottom w:val="single" w:sz="8" w:space="1" w:color="auto"/>
      </w:pBdr>
      <w:tabs>
        <w:tab w:val="clear" w:pos="4536"/>
      </w:tabs>
      <w:rPr>
        <w:rFonts w:asciiTheme="majorHAnsi" w:hAnsiTheme="majorHAnsi" w:cstheme="majorHAnsi"/>
        <w:i/>
        <w:sz w:val="18"/>
      </w:rPr>
    </w:pPr>
    <w:r>
      <w:rPr>
        <w:rFonts w:asciiTheme="majorHAnsi" w:hAnsiTheme="majorHAnsi" w:cstheme="majorHAnsi"/>
        <w:i/>
        <w:sz w:val="18"/>
      </w:rPr>
      <w:t>Odůvodnění ú</w:t>
    </w:r>
    <w:r w:rsidRPr="00482116">
      <w:rPr>
        <w:rFonts w:asciiTheme="majorHAnsi" w:hAnsiTheme="majorHAnsi" w:cstheme="majorHAnsi"/>
        <w:i/>
        <w:sz w:val="18"/>
      </w:rPr>
      <w:t>zemní</w:t>
    </w:r>
    <w:r>
      <w:rPr>
        <w:rFonts w:asciiTheme="majorHAnsi" w:hAnsiTheme="majorHAnsi" w:cstheme="majorHAnsi"/>
        <w:i/>
        <w:sz w:val="18"/>
      </w:rPr>
      <w:t>ho</w:t>
    </w:r>
    <w:r w:rsidRPr="00482116">
      <w:rPr>
        <w:rFonts w:asciiTheme="majorHAnsi" w:hAnsiTheme="majorHAnsi" w:cstheme="majorHAnsi"/>
        <w:i/>
        <w:sz w:val="18"/>
      </w:rPr>
      <w:t xml:space="preserve"> plán</w:t>
    </w:r>
    <w:r>
      <w:rPr>
        <w:rFonts w:asciiTheme="majorHAnsi" w:hAnsiTheme="majorHAnsi" w:cstheme="majorHAnsi"/>
        <w:i/>
        <w:sz w:val="18"/>
      </w:rPr>
      <w:t>u</w:t>
    </w:r>
    <w:r w:rsidRPr="00482116">
      <w:rPr>
        <w:rFonts w:asciiTheme="majorHAnsi" w:hAnsiTheme="majorHAnsi" w:cstheme="majorHAnsi"/>
        <w:i/>
        <w:sz w:val="18"/>
      </w:rPr>
      <w:t xml:space="preserve"> </w:t>
    </w:r>
    <w:r>
      <w:rPr>
        <w:rFonts w:asciiTheme="majorHAnsi" w:hAnsiTheme="majorHAnsi" w:cstheme="majorHAnsi"/>
        <w:i/>
        <w:sz w:val="18"/>
      </w:rPr>
      <w:t>Kostomlaty nad Labem</w:t>
    </w:r>
    <w:r w:rsidRPr="00482116">
      <w:rPr>
        <w:rFonts w:asciiTheme="majorHAnsi" w:hAnsiTheme="majorHAnsi" w:cstheme="majorHAnsi"/>
        <w:i/>
        <w:sz w:val="18"/>
      </w:rPr>
      <w:t xml:space="preserve"> </w:t>
    </w:r>
    <w:r>
      <w:rPr>
        <w:rFonts w:asciiTheme="majorHAnsi" w:hAnsiTheme="majorHAnsi" w:cstheme="majorHAnsi"/>
        <w:i/>
        <w:sz w:val="18"/>
      </w:rPr>
      <w:tab/>
    </w:r>
    <w:r w:rsidRPr="00482116">
      <w:rPr>
        <w:rFonts w:asciiTheme="majorHAnsi" w:hAnsiTheme="majorHAnsi" w:cstheme="majorHAnsi"/>
        <w:i/>
        <w:sz w:val="18"/>
      </w:rPr>
      <w:t>textová část</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3F4949" w14:textId="4587674A" w:rsidR="00937B2D" w:rsidRPr="00734352" w:rsidRDefault="00937B2D" w:rsidP="00937B2D">
    <w:pPr>
      <w:pStyle w:val="Zhlav"/>
      <w:pBdr>
        <w:bottom w:val="single" w:sz="8" w:space="1" w:color="auto"/>
      </w:pBdr>
      <w:tabs>
        <w:tab w:val="clear" w:pos="4536"/>
      </w:tabs>
      <w:rPr>
        <w:rFonts w:asciiTheme="majorHAnsi" w:hAnsiTheme="majorHAnsi" w:cstheme="majorHAnsi"/>
        <w:i/>
        <w:sz w:val="18"/>
      </w:rPr>
    </w:pPr>
    <w:r>
      <w:rPr>
        <w:rFonts w:asciiTheme="majorHAnsi" w:hAnsiTheme="majorHAnsi" w:cstheme="majorHAnsi"/>
        <w:i/>
        <w:sz w:val="18"/>
      </w:rPr>
      <w:t>Odůvodnění ú</w:t>
    </w:r>
    <w:r w:rsidRPr="00482116">
      <w:rPr>
        <w:rFonts w:asciiTheme="majorHAnsi" w:hAnsiTheme="majorHAnsi" w:cstheme="majorHAnsi"/>
        <w:i/>
        <w:sz w:val="18"/>
      </w:rPr>
      <w:t>zemní</w:t>
    </w:r>
    <w:r>
      <w:rPr>
        <w:rFonts w:asciiTheme="majorHAnsi" w:hAnsiTheme="majorHAnsi" w:cstheme="majorHAnsi"/>
        <w:i/>
        <w:sz w:val="18"/>
      </w:rPr>
      <w:t>ho</w:t>
    </w:r>
    <w:r w:rsidRPr="00482116">
      <w:rPr>
        <w:rFonts w:asciiTheme="majorHAnsi" w:hAnsiTheme="majorHAnsi" w:cstheme="majorHAnsi"/>
        <w:i/>
        <w:sz w:val="18"/>
      </w:rPr>
      <w:t xml:space="preserve"> plán</w:t>
    </w:r>
    <w:r>
      <w:rPr>
        <w:rFonts w:asciiTheme="majorHAnsi" w:hAnsiTheme="majorHAnsi" w:cstheme="majorHAnsi"/>
        <w:i/>
        <w:sz w:val="18"/>
      </w:rPr>
      <w:t>u</w:t>
    </w:r>
    <w:r w:rsidRPr="00482116">
      <w:rPr>
        <w:rFonts w:asciiTheme="majorHAnsi" w:hAnsiTheme="majorHAnsi" w:cstheme="majorHAnsi"/>
        <w:i/>
        <w:sz w:val="18"/>
      </w:rPr>
      <w:t xml:space="preserve"> </w:t>
    </w:r>
    <w:r>
      <w:rPr>
        <w:rFonts w:asciiTheme="majorHAnsi" w:hAnsiTheme="majorHAnsi" w:cstheme="majorHAnsi"/>
        <w:i/>
        <w:sz w:val="18"/>
      </w:rPr>
      <w:t>Kostomlaty nad Labem</w:t>
    </w:r>
    <w:r w:rsidRPr="00482116">
      <w:rPr>
        <w:rFonts w:asciiTheme="majorHAnsi" w:hAnsiTheme="majorHAnsi" w:cstheme="majorHAnsi"/>
        <w:i/>
        <w:sz w:val="18"/>
      </w:rPr>
      <w:t xml:space="preserve"> </w:t>
    </w:r>
    <w:r>
      <w:rPr>
        <w:rFonts w:asciiTheme="majorHAnsi" w:hAnsiTheme="majorHAnsi" w:cstheme="majorHAnsi"/>
        <w:i/>
        <w:sz w:val="18"/>
      </w:rPr>
      <w:tab/>
    </w:r>
    <w:r w:rsidRPr="00482116">
      <w:rPr>
        <w:rFonts w:asciiTheme="majorHAnsi" w:hAnsiTheme="majorHAnsi" w:cstheme="majorHAnsi"/>
        <w:i/>
        <w:sz w:val="18"/>
      </w:rPr>
      <w:t>textová část</w:t>
    </w:r>
  </w:p>
  <w:p w14:paraId="6B4B6F65" w14:textId="553102A5" w:rsidR="00B158F2" w:rsidRPr="00937B2D" w:rsidRDefault="00B158F2" w:rsidP="00937B2D">
    <w:pPr>
      <w:pStyle w:val="Zhlav"/>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0D1AD3F" w14:textId="4FB909A1" w:rsidR="00B158F2" w:rsidRPr="00A76411" w:rsidRDefault="00B158F2" w:rsidP="0009152E">
    <w:pPr>
      <w:pStyle w:val="Zhlav"/>
      <w:pBdr>
        <w:bottom w:val="single" w:sz="8" w:space="1" w:color="auto"/>
      </w:pBdr>
      <w:tabs>
        <w:tab w:val="clear" w:pos="4536"/>
        <w:tab w:val="clear" w:pos="9072"/>
        <w:tab w:val="right" w:pos="15136"/>
      </w:tabs>
      <w:rPr>
        <w:rFonts w:asciiTheme="majorHAnsi" w:hAnsiTheme="majorHAnsi" w:cstheme="majorHAnsi"/>
        <w:i/>
        <w:sz w:val="18"/>
        <w:szCs w:val="20"/>
      </w:rPr>
    </w:pPr>
    <w:r w:rsidRPr="00A76411">
      <w:rPr>
        <w:rFonts w:asciiTheme="majorHAnsi" w:hAnsiTheme="majorHAnsi" w:cstheme="majorHAnsi"/>
        <w:i/>
        <w:sz w:val="18"/>
        <w:szCs w:val="20"/>
      </w:rPr>
      <w:t xml:space="preserve">Odůvodnění územního plánu </w:t>
    </w:r>
    <w:r w:rsidR="007B2588" w:rsidRPr="00A76411">
      <w:rPr>
        <w:rFonts w:asciiTheme="majorHAnsi" w:hAnsiTheme="majorHAnsi" w:cstheme="majorHAnsi"/>
        <w:i/>
        <w:sz w:val="18"/>
        <w:szCs w:val="20"/>
      </w:rPr>
      <w:t>Kostomlaty nad Labem</w:t>
    </w:r>
    <w:r w:rsidRPr="00A76411">
      <w:rPr>
        <w:rFonts w:asciiTheme="majorHAnsi" w:hAnsiTheme="majorHAnsi" w:cstheme="majorHAnsi"/>
        <w:i/>
        <w:sz w:val="18"/>
        <w:szCs w:val="20"/>
      </w:rPr>
      <w:tab/>
      <w:t xml:space="preserve">textová část: Příloha č. 2 </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499A52" w14:textId="7DD5EACB" w:rsidR="00AC3D3F" w:rsidRPr="00A76411" w:rsidRDefault="00AC3D3F" w:rsidP="0009152E">
    <w:pPr>
      <w:pStyle w:val="Zhlav"/>
      <w:pBdr>
        <w:bottom w:val="single" w:sz="8" w:space="1" w:color="auto"/>
      </w:pBdr>
      <w:tabs>
        <w:tab w:val="clear" w:pos="4536"/>
        <w:tab w:val="clear" w:pos="9072"/>
        <w:tab w:val="right" w:pos="15136"/>
      </w:tabs>
      <w:rPr>
        <w:rFonts w:asciiTheme="majorHAnsi" w:hAnsiTheme="majorHAnsi" w:cstheme="majorHAnsi"/>
        <w:i/>
        <w:sz w:val="18"/>
        <w:szCs w:val="20"/>
      </w:rPr>
    </w:pPr>
    <w:r w:rsidRPr="00A76411">
      <w:rPr>
        <w:rFonts w:asciiTheme="majorHAnsi" w:hAnsiTheme="majorHAnsi" w:cstheme="majorHAnsi"/>
        <w:i/>
        <w:sz w:val="18"/>
        <w:szCs w:val="20"/>
      </w:rPr>
      <w:t>Odůvodnění územního plánu Kostomlaty nad Labem</w:t>
    </w:r>
    <w:r w:rsidRPr="00A76411">
      <w:rPr>
        <w:rFonts w:asciiTheme="majorHAnsi" w:hAnsiTheme="majorHAnsi" w:cstheme="majorHAnsi"/>
        <w:i/>
        <w:sz w:val="18"/>
        <w:szCs w:val="20"/>
      </w:rPr>
      <w:tab/>
      <w:t xml:space="preserve">textová část: Příloha č. </w:t>
    </w:r>
    <w:r>
      <w:rPr>
        <w:rFonts w:asciiTheme="majorHAnsi" w:hAnsiTheme="majorHAnsi" w:cstheme="majorHAnsi"/>
        <w:i/>
        <w:sz w:val="18"/>
        <w:szCs w:val="20"/>
      </w:rPr>
      <w:t>3</w:t>
    </w:r>
    <w:r w:rsidRPr="00A76411">
      <w:rPr>
        <w:rFonts w:asciiTheme="majorHAnsi" w:hAnsiTheme="majorHAnsi" w:cstheme="majorHAnsi"/>
        <w:i/>
        <w:sz w:val="18"/>
        <w:szCs w:val="20"/>
      </w:rP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8"/>
    <w:multiLevelType w:val="singleLevel"/>
    <w:tmpl w:val="00000008"/>
    <w:name w:val="WW8Num9"/>
    <w:lvl w:ilvl="0">
      <w:start w:val="1"/>
      <w:numFmt w:val="bullet"/>
      <w:lvlText w:val="o"/>
      <w:lvlJc w:val="left"/>
      <w:pPr>
        <w:tabs>
          <w:tab w:val="num" w:pos="0"/>
        </w:tabs>
        <w:ind w:left="720" w:hanging="360"/>
      </w:pPr>
      <w:rPr>
        <w:rFonts w:ascii="Courier New" w:hAnsi="Courier New" w:cs="Symbol" w:hint="default"/>
        <w:color w:val="auto"/>
      </w:rPr>
    </w:lvl>
  </w:abstractNum>
  <w:abstractNum w:abstractNumId="1" w15:restartNumberingAfterBreak="0">
    <w:nsid w:val="0000000D"/>
    <w:multiLevelType w:val="singleLevel"/>
    <w:tmpl w:val="0000000D"/>
    <w:name w:val="WW8Num15"/>
    <w:lvl w:ilvl="0">
      <w:start w:val="1"/>
      <w:numFmt w:val="bullet"/>
      <w:lvlText w:val="o"/>
      <w:lvlJc w:val="left"/>
      <w:pPr>
        <w:tabs>
          <w:tab w:val="num" w:pos="510"/>
        </w:tabs>
        <w:ind w:left="510" w:hanging="510"/>
      </w:pPr>
      <w:rPr>
        <w:rFonts w:ascii="Courier New" w:hAnsi="Courier New"/>
        <w:b/>
      </w:rPr>
    </w:lvl>
  </w:abstractNum>
  <w:abstractNum w:abstractNumId="2" w15:restartNumberingAfterBreak="0">
    <w:nsid w:val="0000000F"/>
    <w:multiLevelType w:val="multilevel"/>
    <w:tmpl w:val="0000000F"/>
    <w:name w:val="WW8Num17"/>
    <w:lvl w:ilvl="0">
      <w:start w:val="1"/>
      <w:numFmt w:val="bullet"/>
      <w:lvlText w:val=""/>
      <w:lvlJc w:val="left"/>
      <w:pPr>
        <w:tabs>
          <w:tab w:val="num" w:pos="720"/>
        </w:tabs>
        <w:ind w:left="720" w:hanging="360"/>
      </w:pPr>
      <w:rPr>
        <w:rFonts w:ascii="Symbol" w:hAnsi="Symbol" w:cs="Arial"/>
        <w:color w:val="C5000B"/>
        <w:sz w:val="24"/>
        <w:szCs w:val="24"/>
      </w:rPr>
    </w:lvl>
    <w:lvl w:ilvl="1">
      <w:start w:val="1"/>
      <w:numFmt w:val="lowerLetter"/>
      <w:lvlText w:val="%2."/>
      <w:lvlJc w:val="left"/>
      <w:pPr>
        <w:tabs>
          <w:tab w:val="num" w:pos="1440"/>
        </w:tabs>
        <w:ind w:left="1440" w:hanging="360"/>
      </w:pPr>
      <w:rPr>
        <w:rFonts w:ascii="Courier New" w:hAnsi="Courier New" w:cs="Courier New"/>
      </w:rPr>
    </w:lvl>
    <w:lvl w:ilvl="2">
      <w:start w:val="1"/>
      <w:numFmt w:val="lowerLetter"/>
      <w:lvlText w:val="%3)"/>
      <w:lvlJc w:val="left"/>
      <w:pPr>
        <w:tabs>
          <w:tab w:val="num" w:pos="2340"/>
        </w:tabs>
        <w:ind w:left="2340" w:hanging="360"/>
      </w:pPr>
      <w:rPr>
        <w:rFonts w:ascii="Times New Roman" w:hAnsi="Times New Roman" w:cs="Wingdings"/>
      </w:rPr>
    </w:lvl>
    <w:lvl w:ilvl="3">
      <w:start w:val="3"/>
      <w:numFmt w:val="bullet"/>
      <w:lvlText w:val="-"/>
      <w:lvlJc w:val="left"/>
      <w:pPr>
        <w:tabs>
          <w:tab w:val="num" w:pos="0"/>
        </w:tabs>
        <w:ind w:left="2880" w:hanging="360"/>
      </w:pPr>
      <w:rPr>
        <w:rFonts w:ascii="Times New Roman" w:hAnsi="Times New Roman" w:cs="Symbol"/>
      </w:r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 w15:restartNumberingAfterBreak="0">
    <w:nsid w:val="05F409B0"/>
    <w:multiLevelType w:val="multilevel"/>
    <w:tmpl w:val="B6DA5082"/>
    <w:lvl w:ilvl="0">
      <w:start w:val="10"/>
      <w:numFmt w:val="decimal"/>
      <w:lvlText w:val="%1"/>
      <w:lvlJc w:val="left"/>
      <w:pPr>
        <w:ind w:left="567" w:hanging="567"/>
      </w:pPr>
      <w:rPr>
        <w:rFonts w:hint="default"/>
      </w:rPr>
    </w:lvl>
    <w:lvl w:ilvl="1">
      <w:start w:val="1"/>
      <w:numFmt w:val="decimal"/>
      <w:lvlText w:val="10.%2"/>
      <w:lvlJc w:val="left"/>
      <w:pPr>
        <w:ind w:left="567" w:hanging="567"/>
      </w:pPr>
      <w:rPr>
        <w:rFonts w:hint="default"/>
      </w:rPr>
    </w:lvl>
    <w:lvl w:ilvl="2">
      <w:start w:val="1"/>
      <w:numFmt w:val="decimal"/>
      <w:isLgl/>
      <w:lvlText w:val="%1.%2.%3"/>
      <w:lvlJc w:val="left"/>
      <w:pPr>
        <w:ind w:left="567" w:hanging="567"/>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 w15:restartNumberingAfterBreak="0">
    <w:nsid w:val="087528DE"/>
    <w:multiLevelType w:val="multilevel"/>
    <w:tmpl w:val="76F40550"/>
    <w:styleLink w:val="StylP1"/>
    <w:lvl w:ilvl="0">
      <w:start w:val="1"/>
      <w:numFmt w:val="decimal"/>
      <w:lvlText w:val="%1"/>
      <w:lvlJc w:val="left"/>
      <w:pPr>
        <w:ind w:left="432" w:hanging="432"/>
      </w:pPr>
      <w:rPr>
        <w:rFonts w:hint="default"/>
      </w:rPr>
    </w:lvl>
    <w:lvl w:ilvl="1">
      <w:start w:val="1"/>
      <w:numFmt w:val="decimal"/>
      <w:lvlText w:val="%1. %2"/>
      <w:lvlJc w:val="left"/>
      <w:pPr>
        <w:ind w:left="714" w:hanging="714"/>
      </w:pPr>
      <w:rPr>
        <w:rFonts w:hint="default"/>
      </w:rPr>
    </w:lvl>
    <w:lvl w:ilvl="2">
      <w:start w:val="1"/>
      <w:numFmt w:val="decimal"/>
      <w:lvlText w:val="%1. %2. %3"/>
      <w:lvlJc w:val="left"/>
      <w:pPr>
        <w:ind w:left="714" w:hanging="714"/>
      </w:pPr>
      <w:rPr>
        <w:rFonts w:hint="default"/>
      </w:rPr>
    </w:lvl>
    <w:lvl w:ilvl="3">
      <w:start w:val="1"/>
      <w:numFmt w:val="decimal"/>
      <w:lvlText w:val="%1. %2. %3. %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0AAB74EA"/>
    <w:multiLevelType w:val="hybridMultilevel"/>
    <w:tmpl w:val="038693CE"/>
    <w:lvl w:ilvl="0" w:tplc="04050001">
      <w:numFmt w:val="bullet"/>
      <w:lvlText w:val="-"/>
      <w:lvlJc w:val="left"/>
      <w:pPr>
        <w:ind w:left="1429" w:hanging="360"/>
      </w:pPr>
    </w:lvl>
    <w:lvl w:ilvl="1" w:tplc="04050003">
      <w:start w:val="1"/>
      <w:numFmt w:val="bullet"/>
      <w:lvlText w:val="o"/>
      <w:lvlJc w:val="left"/>
      <w:pPr>
        <w:ind w:left="2149" w:hanging="360"/>
      </w:pPr>
      <w:rPr>
        <w:rFonts w:ascii="Courier New" w:hAnsi="Courier New" w:cs="Courier New" w:hint="default"/>
      </w:rPr>
    </w:lvl>
    <w:lvl w:ilvl="2" w:tplc="04050005">
      <w:start w:val="1"/>
      <w:numFmt w:val="bullet"/>
      <w:lvlText w:val=""/>
      <w:lvlJc w:val="left"/>
      <w:pPr>
        <w:ind w:left="2869" w:hanging="360"/>
      </w:pPr>
      <w:rPr>
        <w:rFonts w:ascii="Wingdings" w:hAnsi="Wingdings" w:hint="default"/>
      </w:rPr>
    </w:lvl>
    <w:lvl w:ilvl="3" w:tplc="04050001">
      <w:start w:val="1"/>
      <w:numFmt w:val="bullet"/>
      <w:lvlText w:val=""/>
      <w:lvlJc w:val="left"/>
      <w:pPr>
        <w:ind w:left="3589" w:hanging="360"/>
      </w:pPr>
      <w:rPr>
        <w:rFonts w:ascii="Symbol" w:hAnsi="Symbol" w:hint="default"/>
      </w:rPr>
    </w:lvl>
    <w:lvl w:ilvl="4" w:tplc="04050003">
      <w:start w:val="1"/>
      <w:numFmt w:val="bullet"/>
      <w:lvlText w:val="o"/>
      <w:lvlJc w:val="left"/>
      <w:pPr>
        <w:ind w:left="4309" w:hanging="360"/>
      </w:pPr>
      <w:rPr>
        <w:rFonts w:ascii="Courier New" w:hAnsi="Courier New" w:cs="Courier New" w:hint="default"/>
      </w:rPr>
    </w:lvl>
    <w:lvl w:ilvl="5" w:tplc="04050005">
      <w:start w:val="1"/>
      <w:numFmt w:val="bullet"/>
      <w:lvlText w:val=""/>
      <w:lvlJc w:val="left"/>
      <w:pPr>
        <w:ind w:left="5029" w:hanging="360"/>
      </w:pPr>
      <w:rPr>
        <w:rFonts w:ascii="Wingdings" w:hAnsi="Wingdings" w:hint="default"/>
      </w:rPr>
    </w:lvl>
    <w:lvl w:ilvl="6" w:tplc="04050001">
      <w:start w:val="1"/>
      <w:numFmt w:val="bullet"/>
      <w:lvlText w:val=""/>
      <w:lvlJc w:val="left"/>
      <w:pPr>
        <w:ind w:left="5749" w:hanging="360"/>
      </w:pPr>
      <w:rPr>
        <w:rFonts w:ascii="Symbol" w:hAnsi="Symbol" w:hint="default"/>
      </w:rPr>
    </w:lvl>
    <w:lvl w:ilvl="7" w:tplc="04050003">
      <w:start w:val="1"/>
      <w:numFmt w:val="bullet"/>
      <w:lvlText w:val="o"/>
      <w:lvlJc w:val="left"/>
      <w:pPr>
        <w:ind w:left="6469" w:hanging="360"/>
      </w:pPr>
      <w:rPr>
        <w:rFonts w:ascii="Courier New" w:hAnsi="Courier New" w:cs="Courier New" w:hint="default"/>
      </w:rPr>
    </w:lvl>
    <w:lvl w:ilvl="8" w:tplc="04050005">
      <w:start w:val="1"/>
      <w:numFmt w:val="bullet"/>
      <w:lvlText w:val=""/>
      <w:lvlJc w:val="left"/>
      <w:pPr>
        <w:ind w:left="7189" w:hanging="360"/>
      </w:pPr>
      <w:rPr>
        <w:rFonts w:ascii="Wingdings" w:hAnsi="Wingdings" w:hint="default"/>
      </w:rPr>
    </w:lvl>
  </w:abstractNum>
  <w:abstractNum w:abstractNumId="6" w15:restartNumberingAfterBreak="0">
    <w:nsid w:val="0C3C1344"/>
    <w:multiLevelType w:val="multilevel"/>
    <w:tmpl w:val="30F47174"/>
    <w:lvl w:ilvl="0">
      <w:start w:val="5"/>
      <w:numFmt w:val="decimal"/>
      <w:lvlText w:val="%1"/>
      <w:lvlJc w:val="left"/>
      <w:pPr>
        <w:ind w:left="567" w:hanging="567"/>
      </w:pPr>
      <w:rPr>
        <w:rFonts w:hint="default"/>
      </w:rPr>
    </w:lvl>
    <w:lvl w:ilvl="1">
      <w:start w:val="1"/>
      <w:numFmt w:val="decimal"/>
      <w:lvlText w:val="2.%2"/>
      <w:lvlJc w:val="left"/>
      <w:pPr>
        <w:ind w:left="567" w:hanging="567"/>
      </w:pPr>
      <w:rPr>
        <w:rFonts w:hint="default"/>
      </w:rPr>
    </w:lvl>
    <w:lvl w:ilvl="2">
      <w:start w:val="1"/>
      <w:numFmt w:val="decimal"/>
      <w:isLgl/>
      <w:lvlText w:val="%1.%2.%3"/>
      <w:lvlJc w:val="left"/>
      <w:pPr>
        <w:ind w:left="567" w:hanging="567"/>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7" w15:restartNumberingAfterBreak="0">
    <w:nsid w:val="0C58445B"/>
    <w:multiLevelType w:val="hybridMultilevel"/>
    <w:tmpl w:val="BB0A09F0"/>
    <w:lvl w:ilvl="0" w:tplc="8D8A669C">
      <w:start w:val="1"/>
      <w:numFmt w:val="decimal"/>
      <w:pStyle w:val="podminkye"/>
      <w:lvlText w:val="e%1"/>
      <w:lvlJc w:val="left"/>
      <w:pPr>
        <w:ind w:left="1134" w:hanging="414"/>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0E895F1F"/>
    <w:multiLevelType w:val="hybridMultilevel"/>
    <w:tmpl w:val="0F4E8CA6"/>
    <w:lvl w:ilvl="0" w:tplc="04050001">
      <w:start w:val="1"/>
      <w:numFmt w:val="bullet"/>
      <w:lvlText w:val=""/>
      <w:lvlJc w:val="left"/>
      <w:pPr>
        <w:ind w:left="1069" w:hanging="360"/>
      </w:pPr>
      <w:rPr>
        <w:rFonts w:ascii="Symbol" w:hAnsi="Symbol" w:hint="default"/>
      </w:rPr>
    </w:lvl>
    <w:lvl w:ilvl="1" w:tplc="04050003">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9" w15:restartNumberingAfterBreak="0">
    <w:nsid w:val="0EA74BB1"/>
    <w:multiLevelType w:val="hybridMultilevel"/>
    <w:tmpl w:val="5B541B70"/>
    <w:lvl w:ilvl="0" w:tplc="A04888D8">
      <w:start w:val="1"/>
      <w:numFmt w:val="upperLetter"/>
      <w:lvlText w:val="%1."/>
      <w:lvlJc w:val="left"/>
      <w:pPr>
        <w:ind w:left="2880" w:hanging="360"/>
      </w:pPr>
      <w:rPr>
        <w:rFonts w:hint="default"/>
      </w:rPr>
    </w:lvl>
    <w:lvl w:ilvl="1" w:tplc="04050019" w:tentative="1">
      <w:start w:val="1"/>
      <w:numFmt w:val="lowerLetter"/>
      <w:lvlText w:val="%2."/>
      <w:lvlJc w:val="left"/>
      <w:pPr>
        <w:ind w:left="3600" w:hanging="360"/>
      </w:pPr>
    </w:lvl>
    <w:lvl w:ilvl="2" w:tplc="0405001B" w:tentative="1">
      <w:start w:val="1"/>
      <w:numFmt w:val="lowerRoman"/>
      <w:lvlText w:val="%3."/>
      <w:lvlJc w:val="right"/>
      <w:pPr>
        <w:ind w:left="4320" w:hanging="180"/>
      </w:pPr>
    </w:lvl>
    <w:lvl w:ilvl="3" w:tplc="0405000F" w:tentative="1">
      <w:start w:val="1"/>
      <w:numFmt w:val="decimal"/>
      <w:lvlText w:val="%4."/>
      <w:lvlJc w:val="left"/>
      <w:pPr>
        <w:ind w:left="5040" w:hanging="360"/>
      </w:pPr>
    </w:lvl>
    <w:lvl w:ilvl="4" w:tplc="04050019" w:tentative="1">
      <w:start w:val="1"/>
      <w:numFmt w:val="lowerLetter"/>
      <w:lvlText w:val="%5."/>
      <w:lvlJc w:val="left"/>
      <w:pPr>
        <w:ind w:left="5760" w:hanging="360"/>
      </w:pPr>
    </w:lvl>
    <w:lvl w:ilvl="5" w:tplc="0405001B" w:tentative="1">
      <w:start w:val="1"/>
      <w:numFmt w:val="lowerRoman"/>
      <w:lvlText w:val="%6."/>
      <w:lvlJc w:val="right"/>
      <w:pPr>
        <w:ind w:left="6480" w:hanging="180"/>
      </w:pPr>
    </w:lvl>
    <w:lvl w:ilvl="6" w:tplc="0405000F" w:tentative="1">
      <w:start w:val="1"/>
      <w:numFmt w:val="decimal"/>
      <w:lvlText w:val="%7."/>
      <w:lvlJc w:val="left"/>
      <w:pPr>
        <w:ind w:left="7200" w:hanging="360"/>
      </w:pPr>
    </w:lvl>
    <w:lvl w:ilvl="7" w:tplc="04050019" w:tentative="1">
      <w:start w:val="1"/>
      <w:numFmt w:val="lowerLetter"/>
      <w:lvlText w:val="%8."/>
      <w:lvlJc w:val="left"/>
      <w:pPr>
        <w:ind w:left="7920" w:hanging="360"/>
      </w:pPr>
    </w:lvl>
    <w:lvl w:ilvl="8" w:tplc="0405001B" w:tentative="1">
      <w:start w:val="1"/>
      <w:numFmt w:val="lowerRoman"/>
      <w:lvlText w:val="%9."/>
      <w:lvlJc w:val="right"/>
      <w:pPr>
        <w:ind w:left="8640" w:hanging="180"/>
      </w:pPr>
    </w:lvl>
  </w:abstractNum>
  <w:abstractNum w:abstractNumId="10" w15:restartNumberingAfterBreak="0">
    <w:nsid w:val="143146F2"/>
    <w:multiLevelType w:val="hybridMultilevel"/>
    <w:tmpl w:val="25FA2DAA"/>
    <w:lvl w:ilvl="0" w:tplc="410E1EA0">
      <w:start w:val="1"/>
      <w:numFmt w:val="lowerLetter"/>
      <w:pStyle w:val="vrokpododstavec"/>
      <w:lvlText w:val="%1"/>
      <w:lvlJc w:val="left"/>
      <w:pPr>
        <w:ind w:left="1146" w:hanging="360"/>
      </w:pPr>
      <w:rPr>
        <w:rFonts w:cs="Times New Roman" w:hint="default"/>
        <w:b/>
        <w:bCs w:val="0"/>
        <w:i w:val="0"/>
        <w:iCs w:val="0"/>
        <w:caps w:val="0"/>
        <w:smallCaps w:val="0"/>
        <w:strike w:val="0"/>
        <w:dstrike w:val="0"/>
        <w:noProof w:val="0"/>
        <w:vanish w:val="0"/>
        <w:color w:val="auto"/>
        <w:spacing w:val="0"/>
        <w:kern w:val="0"/>
        <w:position w:val="0"/>
        <w:u w:val="none"/>
        <w:effect w:val="none"/>
        <w:vertAlign w:val="baseline"/>
        <w:em w:val="none"/>
      </w:rPr>
    </w:lvl>
    <w:lvl w:ilvl="1" w:tplc="04050019">
      <w:start w:val="1"/>
      <w:numFmt w:val="lowerLetter"/>
      <w:lvlText w:val="%2."/>
      <w:lvlJc w:val="left"/>
      <w:pPr>
        <w:ind w:left="1866" w:hanging="360"/>
      </w:pPr>
    </w:lvl>
    <w:lvl w:ilvl="2" w:tplc="0405001B">
      <w:start w:val="1"/>
      <w:numFmt w:val="lowerRoman"/>
      <w:lvlText w:val="%3."/>
      <w:lvlJc w:val="right"/>
      <w:pPr>
        <w:ind w:left="2586" w:hanging="180"/>
      </w:pPr>
    </w:lvl>
    <w:lvl w:ilvl="3" w:tplc="0405000F" w:tentative="1">
      <w:start w:val="1"/>
      <w:numFmt w:val="decimal"/>
      <w:lvlText w:val="%4."/>
      <w:lvlJc w:val="left"/>
      <w:pPr>
        <w:ind w:left="3306" w:hanging="360"/>
      </w:pPr>
    </w:lvl>
    <w:lvl w:ilvl="4" w:tplc="04050019" w:tentative="1">
      <w:start w:val="1"/>
      <w:numFmt w:val="lowerLetter"/>
      <w:lvlText w:val="%5."/>
      <w:lvlJc w:val="left"/>
      <w:pPr>
        <w:ind w:left="4026" w:hanging="360"/>
      </w:pPr>
    </w:lvl>
    <w:lvl w:ilvl="5" w:tplc="0405001B" w:tentative="1">
      <w:start w:val="1"/>
      <w:numFmt w:val="lowerRoman"/>
      <w:lvlText w:val="%6."/>
      <w:lvlJc w:val="right"/>
      <w:pPr>
        <w:ind w:left="4746" w:hanging="180"/>
      </w:pPr>
    </w:lvl>
    <w:lvl w:ilvl="6" w:tplc="0405000F" w:tentative="1">
      <w:start w:val="1"/>
      <w:numFmt w:val="decimal"/>
      <w:lvlText w:val="%7."/>
      <w:lvlJc w:val="left"/>
      <w:pPr>
        <w:ind w:left="5466" w:hanging="360"/>
      </w:pPr>
    </w:lvl>
    <w:lvl w:ilvl="7" w:tplc="04050019" w:tentative="1">
      <w:start w:val="1"/>
      <w:numFmt w:val="lowerLetter"/>
      <w:lvlText w:val="%8."/>
      <w:lvlJc w:val="left"/>
      <w:pPr>
        <w:ind w:left="6186" w:hanging="360"/>
      </w:pPr>
    </w:lvl>
    <w:lvl w:ilvl="8" w:tplc="0405001B" w:tentative="1">
      <w:start w:val="1"/>
      <w:numFmt w:val="lowerRoman"/>
      <w:lvlText w:val="%9."/>
      <w:lvlJc w:val="right"/>
      <w:pPr>
        <w:ind w:left="6906" w:hanging="180"/>
      </w:pPr>
    </w:lvl>
  </w:abstractNum>
  <w:abstractNum w:abstractNumId="11" w15:restartNumberingAfterBreak="0">
    <w:nsid w:val="15F80600"/>
    <w:multiLevelType w:val="hybridMultilevel"/>
    <w:tmpl w:val="2EEECEA0"/>
    <w:lvl w:ilvl="0" w:tplc="AF283464">
      <w:start w:val="1"/>
      <w:numFmt w:val="bullet"/>
      <w:lvlText w:val="-"/>
      <w:lvlJc w:val="left"/>
      <w:pPr>
        <w:ind w:left="1069" w:hanging="360"/>
      </w:pPr>
      <w:rPr>
        <w:rFonts w:ascii="Calibri Light" w:eastAsiaTheme="minorHAnsi" w:hAnsi="Calibri Light" w:cs="Calibri Light" w:hint="default"/>
      </w:rPr>
    </w:lvl>
    <w:lvl w:ilvl="1" w:tplc="04050003">
      <w:start w:val="1"/>
      <w:numFmt w:val="bullet"/>
      <w:lvlText w:val="o"/>
      <w:lvlJc w:val="left"/>
      <w:pPr>
        <w:ind w:left="1789" w:hanging="360"/>
      </w:pPr>
      <w:rPr>
        <w:rFonts w:ascii="Courier New" w:hAnsi="Courier New" w:cs="Courier New" w:hint="default"/>
      </w:rPr>
    </w:lvl>
    <w:lvl w:ilvl="2" w:tplc="04050005" w:tentative="1">
      <w:start w:val="1"/>
      <w:numFmt w:val="bullet"/>
      <w:lvlText w:val=""/>
      <w:lvlJc w:val="left"/>
      <w:pPr>
        <w:ind w:left="2509" w:hanging="360"/>
      </w:pPr>
      <w:rPr>
        <w:rFonts w:ascii="Wingdings" w:hAnsi="Wingdings" w:hint="default"/>
      </w:rPr>
    </w:lvl>
    <w:lvl w:ilvl="3" w:tplc="04050001" w:tentative="1">
      <w:start w:val="1"/>
      <w:numFmt w:val="bullet"/>
      <w:lvlText w:val=""/>
      <w:lvlJc w:val="left"/>
      <w:pPr>
        <w:ind w:left="3229" w:hanging="360"/>
      </w:pPr>
      <w:rPr>
        <w:rFonts w:ascii="Symbol" w:hAnsi="Symbol" w:hint="default"/>
      </w:rPr>
    </w:lvl>
    <w:lvl w:ilvl="4" w:tplc="04050003" w:tentative="1">
      <w:start w:val="1"/>
      <w:numFmt w:val="bullet"/>
      <w:lvlText w:val="o"/>
      <w:lvlJc w:val="left"/>
      <w:pPr>
        <w:ind w:left="3949" w:hanging="360"/>
      </w:pPr>
      <w:rPr>
        <w:rFonts w:ascii="Courier New" w:hAnsi="Courier New" w:cs="Courier New" w:hint="default"/>
      </w:rPr>
    </w:lvl>
    <w:lvl w:ilvl="5" w:tplc="04050005" w:tentative="1">
      <w:start w:val="1"/>
      <w:numFmt w:val="bullet"/>
      <w:lvlText w:val=""/>
      <w:lvlJc w:val="left"/>
      <w:pPr>
        <w:ind w:left="4669" w:hanging="360"/>
      </w:pPr>
      <w:rPr>
        <w:rFonts w:ascii="Wingdings" w:hAnsi="Wingdings" w:hint="default"/>
      </w:rPr>
    </w:lvl>
    <w:lvl w:ilvl="6" w:tplc="04050001" w:tentative="1">
      <w:start w:val="1"/>
      <w:numFmt w:val="bullet"/>
      <w:lvlText w:val=""/>
      <w:lvlJc w:val="left"/>
      <w:pPr>
        <w:ind w:left="5389" w:hanging="360"/>
      </w:pPr>
      <w:rPr>
        <w:rFonts w:ascii="Symbol" w:hAnsi="Symbol" w:hint="default"/>
      </w:rPr>
    </w:lvl>
    <w:lvl w:ilvl="7" w:tplc="04050003" w:tentative="1">
      <w:start w:val="1"/>
      <w:numFmt w:val="bullet"/>
      <w:lvlText w:val="o"/>
      <w:lvlJc w:val="left"/>
      <w:pPr>
        <w:ind w:left="6109" w:hanging="360"/>
      </w:pPr>
      <w:rPr>
        <w:rFonts w:ascii="Courier New" w:hAnsi="Courier New" w:cs="Courier New" w:hint="default"/>
      </w:rPr>
    </w:lvl>
    <w:lvl w:ilvl="8" w:tplc="04050005" w:tentative="1">
      <w:start w:val="1"/>
      <w:numFmt w:val="bullet"/>
      <w:lvlText w:val=""/>
      <w:lvlJc w:val="left"/>
      <w:pPr>
        <w:ind w:left="6829" w:hanging="360"/>
      </w:pPr>
      <w:rPr>
        <w:rFonts w:ascii="Wingdings" w:hAnsi="Wingdings" w:hint="default"/>
      </w:rPr>
    </w:lvl>
  </w:abstractNum>
  <w:abstractNum w:abstractNumId="12" w15:restartNumberingAfterBreak="0">
    <w:nsid w:val="16642CE7"/>
    <w:multiLevelType w:val="hybridMultilevel"/>
    <w:tmpl w:val="09A2112C"/>
    <w:lvl w:ilvl="0" w:tplc="3B7EA920">
      <w:start w:val="1"/>
      <w:numFmt w:val="decimal"/>
      <w:pStyle w:val="podminkyd"/>
      <w:lvlText w:val="d%1"/>
      <w:lvlJc w:val="left"/>
      <w:pPr>
        <w:ind w:left="1134" w:hanging="414"/>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17D325C8"/>
    <w:multiLevelType w:val="multilevel"/>
    <w:tmpl w:val="67AA5DBA"/>
    <w:lvl w:ilvl="0">
      <w:start w:val="10"/>
      <w:numFmt w:val="decimal"/>
      <w:lvlText w:val="%1"/>
      <w:lvlJc w:val="left"/>
      <w:pPr>
        <w:ind w:left="567" w:hanging="567"/>
      </w:pPr>
      <w:rPr>
        <w:rFonts w:hint="default"/>
      </w:rPr>
    </w:lvl>
    <w:lvl w:ilvl="1">
      <w:start w:val="1"/>
      <w:numFmt w:val="decimal"/>
      <w:lvlText w:val="11.%2"/>
      <w:lvlJc w:val="left"/>
      <w:pPr>
        <w:ind w:left="567" w:hanging="567"/>
      </w:pPr>
      <w:rPr>
        <w:rFonts w:hint="default"/>
      </w:rPr>
    </w:lvl>
    <w:lvl w:ilvl="2">
      <w:start w:val="1"/>
      <w:numFmt w:val="decimal"/>
      <w:isLgl/>
      <w:lvlText w:val="11.%2.%3"/>
      <w:lvlJc w:val="left"/>
      <w:pPr>
        <w:ind w:left="567" w:hanging="567"/>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14" w15:restartNumberingAfterBreak="0">
    <w:nsid w:val="1AB12585"/>
    <w:multiLevelType w:val="hybridMultilevel"/>
    <w:tmpl w:val="4182A274"/>
    <w:lvl w:ilvl="0" w:tplc="E7984C68">
      <w:start w:val="4"/>
      <w:numFmt w:val="decimal"/>
      <w:lvlText w:val="(%1)"/>
      <w:lvlJc w:val="left"/>
      <w:pPr>
        <w:ind w:left="720" w:hanging="360"/>
      </w:pPr>
      <w:rPr>
        <w:rFonts w:hint="default"/>
        <w:i w:val="0"/>
      </w:rPr>
    </w:lvl>
    <w:lvl w:ilvl="1" w:tplc="491C3330">
      <w:start w:val="1"/>
      <w:numFmt w:val="lowerLetter"/>
      <w:lvlText w:val="%2)"/>
      <w:lvlJc w:val="left"/>
      <w:pPr>
        <w:ind w:left="1785" w:hanging="705"/>
      </w:pPr>
      <w:rPr>
        <w:rFonts w:hint="default"/>
      </w:rPr>
    </w:lvl>
    <w:lvl w:ilvl="2" w:tplc="A59E2FC2">
      <w:start w:val="1"/>
      <w:numFmt w:val="decimal"/>
      <w:lvlText w:val="%3."/>
      <w:lvlJc w:val="left"/>
      <w:pPr>
        <w:ind w:left="2340" w:hanging="360"/>
      </w:pPr>
      <w:rPr>
        <w:rFonts w:hint="default"/>
      </w:r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15:restartNumberingAfterBreak="0">
    <w:nsid w:val="1AF25CF2"/>
    <w:multiLevelType w:val="hybridMultilevel"/>
    <w:tmpl w:val="8162224A"/>
    <w:lvl w:ilvl="0" w:tplc="04050011">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16" w15:restartNumberingAfterBreak="0">
    <w:nsid w:val="1BB06A48"/>
    <w:multiLevelType w:val="hybridMultilevel"/>
    <w:tmpl w:val="12A0E282"/>
    <w:lvl w:ilvl="0" w:tplc="4640973C">
      <w:numFmt w:val="bullet"/>
      <w:lvlText w:val="-"/>
      <w:lvlJc w:val="left"/>
      <w:pPr>
        <w:ind w:left="1429" w:hanging="360"/>
      </w:pPr>
      <w:rPr>
        <w:rFonts w:ascii="Calibri" w:eastAsia="Times New Roman" w:hAnsi="Calibri" w:cs="Arial" w:hint="default"/>
      </w:rPr>
    </w:lvl>
    <w:lvl w:ilvl="1" w:tplc="04050003">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17" w15:restartNumberingAfterBreak="0">
    <w:nsid w:val="20146154"/>
    <w:multiLevelType w:val="hybridMultilevel"/>
    <w:tmpl w:val="D97E4838"/>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8" w15:restartNumberingAfterBreak="0">
    <w:nsid w:val="20CB32C9"/>
    <w:multiLevelType w:val="hybridMultilevel"/>
    <w:tmpl w:val="84D8E8DC"/>
    <w:lvl w:ilvl="0" w:tplc="801C2376">
      <w:start w:val="1"/>
      <w:numFmt w:val="lowerLetter"/>
      <w:lvlText w:val="%1)"/>
      <w:lvlJc w:val="left"/>
      <w:pPr>
        <w:ind w:left="720" w:hanging="360"/>
      </w:pPr>
      <w:rPr>
        <w:rFonts w:hint="default"/>
        <w:i w:val="0"/>
      </w:rPr>
    </w:lvl>
    <w:lvl w:ilvl="1" w:tplc="E36EA670">
      <w:start w:val="1"/>
      <w:numFmt w:val="lowerLetter"/>
      <w:lvlText w:val="%2."/>
      <w:lvlJc w:val="left"/>
      <w:pPr>
        <w:ind w:left="1440" w:hanging="360"/>
      </w:pPr>
      <w:rPr>
        <w:i w:val="0"/>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22EE4ECA"/>
    <w:multiLevelType w:val="hybridMultilevel"/>
    <w:tmpl w:val="569C39E2"/>
    <w:lvl w:ilvl="0" w:tplc="8F984644">
      <w:start w:val="1"/>
      <w:numFmt w:val="decimal"/>
      <w:lvlText w:val="(%1)"/>
      <w:lvlJc w:val="left"/>
      <w:pPr>
        <w:ind w:left="567" w:hanging="567"/>
      </w:pPr>
      <w:rPr>
        <w:rFonts w:hint="default"/>
        <w:b/>
        <w:sz w:val="20"/>
        <w:szCs w:val="20"/>
      </w:r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15:restartNumberingAfterBreak="0">
    <w:nsid w:val="288533C9"/>
    <w:multiLevelType w:val="hybridMultilevel"/>
    <w:tmpl w:val="BC9C3D20"/>
    <w:lvl w:ilvl="0" w:tplc="F14A3174">
      <w:start w:val="4"/>
      <w:numFmt w:val="bullet"/>
      <w:lvlText w:val="-"/>
      <w:lvlJc w:val="left"/>
      <w:pPr>
        <w:ind w:left="1429" w:hanging="360"/>
      </w:pPr>
      <w:rPr>
        <w:rFonts w:ascii="Arial" w:eastAsia="Times New Roman" w:hAnsi="Arial" w:cs="Arial" w:hint="default"/>
        <w:b w:val="0"/>
        <w:i w:val="0"/>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1" w15:restartNumberingAfterBreak="0">
    <w:nsid w:val="29914EF0"/>
    <w:multiLevelType w:val="hybridMultilevel"/>
    <w:tmpl w:val="2194800C"/>
    <w:lvl w:ilvl="0" w:tplc="FF4EDA38">
      <w:start w:val="2"/>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2" w15:restartNumberingAfterBreak="0">
    <w:nsid w:val="2A7466C9"/>
    <w:multiLevelType w:val="hybridMultilevel"/>
    <w:tmpl w:val="6A5CAE04"/>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23" w15:restartNumberingAfterBreak="0">
    <w:nsid w:val="2FB3133A"/>
    <w:multiLevelType w:val="hybridMultilevel"/>
    <w:tmpl w:val="A6905710"/>
    <w:lvl w:ilvl="0" w:tplc="4640973C">
      <w:numFmt w:val="bullet"/>
      <w:lvlText w:val="-"/>
      <w:lvlJc w:val="left"/>
      <w:pPr>
        <w:ind w:left="720" w:hanging="360"/>
      </w:pPr>
      <w:rPr>
        <w:rFonts w:ascii="Calibri" w:eastAsia="Times New Roman" w:hAnsi="Calibri" w:cs="Aria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4" w15:restartNumberingAfterBreak="0">
    <w:nsid w:val="304A3129"/>
    <w:multiLevelType w:val="hybridMultilevel"/>
    <w:tmpl w:val="6F522078"/>
    <w:lvl w:ilvl="0" w:tplc="04050001">
      <w:start w:val="1"/>
      <w:numFmt w:val="bullet"/>
      <w:lvlText w:val=""/>
      <w:lvlJc w:val="left"/>
      <w:pPr>
        <w:ind w:left="720" w:hanging="360"/>
      </w:pPr>
      <w:rPr>
        <w:rFonts w:ascii="Symbol" w:hAnsi="Symbol"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25" w15:restartNumberingAfterBreak="0">
    <w:nsid w:val="324655F5"/>
    <w:multiLevelType w:val="multilevel"/>
    <w:tmpl w:val="D06424AC"/>
    <w:lvl w:ilvl="0">
      <w:start w:val="9"/>
      <w:numFmt w:val="decimal"/>
      <w:lvlText w:val="%1"/>
      <w:lvlJc w:val="left"/>
      <w:pPr>
        <w:ind w:left="567" w:hanging="567"/>
      </w:pPr>
      <w:rPr>
        <w:rFonts w:hint="default"/>
      </w:rPr>
    </w:lvl>
    <w:lvl w:ilvl="1">
      <w:start w:val="1"/>
      <w:numFmt w:val="decimal"/>
      <w:lvlText w:val="12.%2"/>
      <w:lvlJc w:val="left"/>
      <w:pPr>
        <w:ind w:left="567" w:hanging="567"/>
      </w:pPr>
      <w:rPr>
        <w:rFonts w:hint="default"/>
      </w:rPr>
    </w:lvl>
    <w:lvl w:ilvl="2">
      <w:start w:val="1"/>
      <w:numFmt w:val="decimal"/>
      <w:isLgl/>
      <w:lvlText w:val="12.%2.%3"/>
      <w:lvlJc w:val="left"/>
      <w:pPr>
        <w:ind w:left="567" w:hanging="567"/>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26" w15:restartNumberingAfterBreak="0">
    <w:nsid w:val="35E67F8F"/>
    <w:multiLevelType w:val="hybridMultilevel"/>
    <w:tmpl w:val="C7708996"/>
    <w:lvl w:ilvl="0" w:tplc="F14A3174">
      <w:start w:val="4"/>
      <w:numFmt w:val="bullet"/>
      <w:lvlText w:val="-"/>
      <w:lvlJc w:val="left"/>
      <w:pPr>
        <w:ind w:left="1429" w:hanging="360"/>
      </w:pPr>
      <w:rPr>
        <w:rFonts w:ascii="Arial" w:eastAsia="Times New Roman" w:hAnsi="Arial" w:cs="Arial" w:hint="default"/>
        <w:b w:val="0"/>
        <w:i w:val="0"/>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7" w15:restartNumberingAfterBreak="0">
    <w:nsid w:val="3B5B61CE"/>
    <w:multiLevelType w:val="hybridMultilevel"/>
    <w:tmpl w:val="561CD708"/>
    <w:lvl w:ilvl="0" w:tplc="5ED6A97A">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8" w15:restartNumberingAfterBreak="0">
    <w:nsid w:val="3D215A79"/>
    <w:multiLevelType w:val="hybridMultilevel"/>
    <w:tmpl w:val="1BD28FBC"/>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29" w15:restartNumberingAfterBreak="0">
    <w:nsid w:val="3F6A7997"/>
    <w:multiLevelType w:val="multilevel"/>
    <w:tmpl w:val="BFEA0DEE"/>
    <w:lvl w:ilvl="0">
      <w:start w:val="1"/>
      <w:numFmt w:val="decimal"/>
      <w:pStyle w:val="Styl4"/>
      <w:lvlText w:val="(%1)"/>
      <w:lvlJc w:val="left"/>
      <w:pPr>
        <w:ind w:left="714" w:hanging="714"/>
      </w:pPr>
      <w:rPr>
        <w:rFonts w:ascii="Calibri" w:hAnsi="Calibri" w:hint="default"/>
        <w:b/>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30" w15:restartNumberingAfterBreak="0">
    <w:nsid w:val="4022089A"/>
    <w:multiLevelType w:val="hybridMultilevel"/>
    <w:tmpl w:val="CA5A614C"/>
    <w:lvl w:ilvl="0" w:tplc="DD84B1F8">
      <w:start w:val="1"/>
      <w:numFmt w:val="bullet"/>
      <w:lvlText w:val="-"/>
      <w:lvlJc w:val="left"/>
      <w:pPr>
        <w:ind w:left="720" w:hanging="360"/>
      </w:pPr>
      <w:rPr>
        <w:rFonts w:ascii="Verdana" w:hAnsi="Verdana" w:hint="default"/>
      </w:rPr>
    </w:lvl>
    <w:lvl w:ilvl="1" w:tplc="04050003">
      <w:start w:val="1"/>
      <w:numFmt w:val="bullet"/>
      <w:lvlText w:val="o"/>
      <w:lvlJc w:val="left"/>
      <w:pPr>
        <w:ind w:left="1440" w:hanging="360"/>
      </w:pPr>
      <w:rPr>
        <w:rFonts w:ascii="Courier New" w:hAnsi="Courier New" w:cs="Courier New" w:hint="default"/>
      </w:rPr>
    </w:lvl>
    <w:lvl w:ilvl="2" w:tplc="F91A21C6">
      <w:numFmt w:val="bullet"/>
      <w:lvlText w:val="•"/>
      <w:lvlJc w:val="left"/>
      <w:pPr>
        <w:ind w:left="2160" w:hanging="360"/>
      </w:pPr>
      <w:rPr>
        <w:rFonts w:ascii="Calibri Light" w:eastAsiaTheme="minorHAnsi" w:hAnsi="Calibri Light" w:cs="Calibri Light"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1" w15:restartNumberingAfterBreak="0">
    <w:nsid w:val="406E786F"/>
    <w:multiLevelType w:val="hybridMultilevel"/>
    <w:tmpl w:val="ED486072"/>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32" w15:restartNumberingAfterBreak="0">
    <w:nsid w:val="484E2B34"/>
    <w:multiLevelType w:val="multilevel"/>
    <w:tmpl w:val="566CE9F8"/>
    <w:lvl w:ilvl="0">
      <w:start w:val="1"/>
      <w:numFmt w:val="decimal"/>
      <w:lvlText w:val="%1"/>
      <w:lvlJc w:val="left"/>
      <w:pPr>
        <w:ind w:left="567" w:hanging="567"/>
      </w:pPr>
      <w:rPr>
        <w:rFonts w:hint="default"/>
      </w:rPr>
    </w:lvl>
    <w:lvl w:ilvl="1">
      <w:start w:val="2"/>
      <w:numFmt w:val="decimal"/>
      <w:isLgl/>
      <w:lvlText w:val="%1.%2"/>
      <w:lvlJc w:val="left"/>
      <w:pPr>
        <w:ind w:left="567" w:hanging="567"/>
      </w:pPr>
      <w:rPr>
        <w:rFonts w:hint="default"/>
      </w:rPr>
    </w:lvl>
    <w:lvl w:ilvl="2">
      <w:start w:val="1"/>
      <w:numFmt w:val="decimal"/>
      <w:isLgl/>
      <w:lvlText w:val="%1.%2.%3"/>
      <w:lvlJc w:val="left"/>
      <w:pPr>
        <w:ind w:left="567" w:hanging="567"/>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33" w15:restartNumberingAfterBreak="0">
    <w:nsid w:val="48EF34C8"/>
    <w:multiLevelType w:val="hybridMultilevel"/>
    <w:tmpl w:val="A8D6B8C2"/>
    <w:lvl w:ilvl="0" w:tplc="D6504334">
      <w:start w:val="1"/>
      <w:numFmt w:val="bullet"/>
      <w:lvlText w:val="-"/>
      <w:lvlJc w:val="left"/>
      <w:pPr>
        <w:ind w:left="1440" w:hanging="360"/>
      </w:pPr>
      <w:rPr>
        <w:rFonts w:ascii="Calibri" w:eastAsiaTheme="minorHAnsi" w:hAnsi="Calibri" w:cs="Calibri" w:hint="default"/>
      </w:rPr>
    </w:lvl>
    <w:lvl w:ilvl="1" w:tplc="04050003" w:tentative="1">
      <w:start w:val="1"/>
      <w:numFmt w:val="bullet"/>
      <w:lvlText w:val="o"/>
      <w:lvlJc w:val="left"/>
      <w:pPr>
        <w:ind w:left="2160" w:hanging="360"/>
      </w:pPr>
      <w:rPr>
        <w:rFonts w:ascii="Courier New" w:hAnsi="Courier New" w:cs="Courier New" w:hint="default"/>
      </w:rPr>
    </w:lvl>
    <w:lvl w:ilvl="2" w:tplc="04050005" w:tentative="1">
      <w:start w:val="1"/>
      <w:numFmt w:val="bullet"/>
      <w:lvlText w:val=""/>
      <w:lvlJc w:val="left"/>
      <w:pPr>
        <w:ind w:left="2880" w:hanging="360"/>
      </w:pPr>
      <w:rPr>
        <w:rFonts w:ascii="Wingdings" w:hAnsi="Wingdings" w:hint="default"/>
      </w:rPr>
    </w:lvl>
    <w:lvl w:ilvl="3" w:tplc="04050001" w:tentative="1">
      <w:start w:val="1"/>
      <w:numFmt w:val="bullet"/>
      <w:lvlText w:val=""/>
      <w:lvlJc w:val="left"/>
      <w:pPr>
        <w:ind w:left="3600" w:hanging="360"/>
      </w:pPr>
      <w:rPr>
        <w:rFonts w:ascii="Symbol" w:hAnsi="Symbol" w:hint="default"/>
      </w:rPr>
    </w:lvl>
    <w:lvl w:ilvl="4" w:tplc="04050003" w:tentative="1">
      <w:start w:val="1"/>
      <w:numFmt w:val="bullet"/>
      <w:lvlText w:val="o"/>
      <w:lvlJc w:val="left"/>
      <w:pPr>
        <w:ind w:left="4320" w:hanging="360"/>
      </w:pPr>
      <w:rPr>
        <w:rFonts w:ascii="Courier New" w:hAnsi="Courier New" w:cs="Courier New" w:hint="default"/>
      </w:rPr>
    </w:lvl>
    <w:lvl w:ilvl="5" w:tplc="04050005" w:tentative="1">
      <w:start w:val="1"/>
      <w:numFmt w:val="bullet"/>
      <w:lvlText w:val=""/>
      <w:lvlJc w:val="left"/>
      <w:pPr>
        <w:ind w:left="5040" w:hanging="360"/>
      </w:pPr>
      <w:rPr>
        <w:rFonts w:ascii="Wingdings" w:hAnsi="Wingdings" w:hint="default"/>
      </w:rPr>
    </w:lvl>
    <w:lvl w:ilvl="6" w:tplc="04050001" w:tentative="1">
      <w:start w:val="1"/>
      <w:numFmt w:val="bullet"/>
      <w:lvlText w:val=""/>
      <w:lvlJc w:val="left"/>
      <w:pPr>
        <w:ind w:left="5760" w:hanging="360"/>
      </w:pPr>
      <w:rPr>
        <w:rFonts w:ascii="Symbol" w:hAnsi="Symbol" w:hint="default"/>
      </w:rPr>
    </w:lvl>
    <w:lvl w:ilvl="7" w:tplc="04050003" w:tentative="1">
      <w:start w:val="1"/>
      <w:numFmt w:val="bullet"/>
      <w:lvlText w:val="o"/>
      <w:lvlJc w:val="left"/>
      <w:pPr>
        <w:ind w:left="6480" w:hanging="360"/>
      </w:pPr>
      <w:rPr>
        <w:rFonts w:ascii="Courier New" w:hAnsi="Courier New" w:cs="Courier New" w:hint="default"/>
      </w:rPr>
    </w:lvl>
    <w:lvl w:ilvl="8" w:tplc="04050005" w:tentative="1">
      <w:start w:val="1"/>
      <w:numFmt w:val="bullet"/>
      <w:lvlText w:val=""/>
      <w:lvlJc w:val="left"/>
      <w:pPr>
        <w:ind w:left="7200" w:hanging="360"/>
      </w:pPr>
      <w:rPr>
        <w:rFonts w:ascii="Wingdings" w:hAnsi="Wingdings" w:hint="default"/>
      </w:rPr>
    </w:lvl>
  </w:abstractNum>
  <w:abstractNum w:abstractNumId="34" w15:restartNumberingAfterBreak="0">
    <w:nsid w:val="49906F38"/>
    <w:multiLevelType w:val="hybridMultilevel"/>
    <w:tmpl w:val="04C66D32"/>
    <w:lvl w:ilvl="0" w:tplc="84788104">
      <w:numFmt w:val="bullet"/>
      <w:lvlText w:val="-"/>
      <w:lvlJc w:val="left"/>
      <w:pPr>
        <w:ind w:left="1429" w:hanging="360"/>
      </w:pPr>
      <w:rPr>
        <w:rFonts w:ascii="Arial" w:eastAsia="SimSun" w:hAnsi="Arial" w:cs="Aria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35" w15:restartNumberingAfterBreak="0">
    <w:nsid w:val="4CF805CB"/>
    <w:multiLevelType w:val="hybridMultilevel"/>
    <w:tmpl w:val="31F84B38"/>
    <w:lvl w:ilvl="0" w:tplc="5F469808">
      <w:numFmt w:val="bullet"/>
      <w:lvlText w:val="-"/>
      <w:lvlJc w:val="left"/>
      <w:pPr>
        <w:ind w:left="720" w:hanging="360"/>
      </w:pPr>
      <w:rPr>
        <w:rFonts w:ascii="Calibri" w:eastAsiaTheme="minorHAnsi"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15:restartNumberingAfterBreak="0">
    <w:nsid w:val="4D1C78D9"/>
    <w:multiLevelType w:val="hybridMultilevel"/>
    <w:tmpl w:val="EC644516"/>
    <w:lvl w:ilvl="0" w:tplc="99BC41FA">
      <w:start w:val="1"/>
      <w:numFmt w:val="lowerLetter"/>
      <w:lvlText w:val="%1"/>
      <w:lvlJc w:val="left"/>
      <w:pPr>
        <w:ind w:left="851" w:hanging="284"/>
      </w:pPr>
      <w:rPr>
        <w:rFonts w:hint="default"/>
        <w:b/>
      </w:rPr>
    </w:lvl>
    <w:lvl w:ilvl="1" w:tplc="CFB02016">
      <w:start w:val="1"/>
      <w:numFmt w:val="lowerRoman"/>
      <w:lvlText w:val="%2."/>
      <w:lvlJc w:val="right"/>
      <w:pPr>
        <w:ind w:left="1440" w:hanging="360"/>
      </w:pPr>
      <w:rPr>
        <w:b w:val="0"/>
      </w:r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7" w15:restartNumberingAfterBreak="0">
    <w:nsid w:val="552E108E"/>
    <w:multiLevelType w:val="hybridMultilevel"/>
    <w:tmpl w:val="249E03CA"/>
    <w:lvl w:ilvl="0" w:tplc="04050017">
      <w:start w:val="1"/>
      <w:numFmt w:val="low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8" w15:restartNumberingAfterBreak="0">
    <w:nsid w:val="580053A5"/>
    <w:multiLevelType w:val="hybridMultilevel"/>
    <w:tmpl w:val="5E4639AC"/>
    <w:lvl w:ilvl="0" w:tplc="04050001">
      <w:numFmt w:val="bullet"/>
      <w:lvlText w:val="-"/>
      <w:lvlJc w:val="left"/>
      <w:pPr>
        <w:ind w:left="720" w:hanging="360"/>
      </w:p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start w:val="1"/>
      <w:numFmt w:val="bullet"/>
      <w:lvlText w:val="o"/>
      <w:lvlJc w:val="left"/>
      <w:pPr>
        <w:ind w:left="3600" w:hanging="360"/>
      </w:pPr>
      <w:rPr>
        <w:rFonts w:ascii="Courier New" w:hAnsi="Courier New" w:cs="Courier New" w:hint="default"/>
      </w:rPr>
    </w:lvl>
    <w:lvl w:ilvl="5" w:tplc="04050005">
      <w:start w:val="1"/>
      <w:numFmt w:val="bullet"/>
      <w:lvlText w:val=""/>
      <w:lvlJc w:val="left"/>
      <w:pPr>
        <w:ind w:left="4320" w:hanging="360"/>
      </w:pPr>
      <w:rPr>
        <w:rFonts w:ascii="Wingdings" w:hAnsi="Wingdings" w:hint="default"/>
      </w:rPr>
    </w:lvl>
    <w:lvl w:ilvl="6" w:tplc="04050001">
      <w:start w:val="1"/>
      <w:numFmt w:val="bullet"/>
      <w:lvlText w:val=""/>
      <w:lvlJc w:val="left"/>
      <w:pPr>
        <w:ind w:left="5040" w:hanging="360"/>
      </w:pPr>
      <w:rPr>
        <w:rFonts w:ascii="Symbol" w:hAnsi="Symbol" w:hint="default"/>
      </w:rPr>
    </w:lvl>
    <w:lvl w:ilvl="7" w:tplc="04050003">
      <w:start w:val="1"/>
      <w:numFmt w:val="bullet"/>
      <w:lvlText w:val="o"/>
      <w:lvlJc w:val="left"/>
      <w:pPr>
        <w:ind w:left="5760" w:hanging="360"/>
      </w:pPr>
      <w:rPr>
        <w:rFonts w:ascii="Courier New" w:hAnsi="Courier New" w:cs="Courier New" w:hint="default"/>
      </w:rPr>
    </w:lvl>
    <w:lvl w:ilvl="8" w:tplc="04050005">
      <w:start w:val="1"/>
      <w:numFmt w:val="bullet"/>
      <w:lvlText w:val=""/>
      <w:lvlJc w:val="left"/>
      <w:pPr>
        <w:ind w:left="6480" w:hanging="360"/>
      </w:pPr>
      <w:rPr>
        <w:rFonts w:ascii="Wingdings" w:hAnsi="Wingdings" w:hint="default"/>
      </w:rPr>
    </w:lvl>
  </w:abstractNum>
  <w:abstractNum w:abstractNumId="39" w15:restartNumberingAfterBreak="0">
    <w:nsid w:val="5934713D"/>
    <w:multiLevelType w:val="hybridMultilevel"/>
    <w:tmpl w:val="027A7346"/>
    <w:lvl w:ilvl="0" w:tplc="04050017">
      <w:start w:val="1"/>
      <w:numFmt w:val="lowerLetter"/>
      <w:lvlText w:val="%1)"/>
      <w:lvlJc w:val="left"/>
      <w:pPr>
        <w:ind w:left="1069" w:hanging="360"/>
      </w:pPr>
      <w:rPr>
        <w:rFonts w:hint="default"/>
        <w:b w:val="0"/>
        <w:i w:val="0"/>
      </w:rPr>
    </w:lvl>
    <w:lvl w:ilvl="1" w:tplc="04050003">
      <w:start w:val="1"/>
      <w:numFmt w:val="bullet"/>
      <w:lvlText w:val="o"/>
      <w:lvlJc w:val="left"/>
      <w:pPr>
        <w:ind w:left="2007" w:hanging="360"/>
      </w:pPr>
      <w:rPr>
        <w:rFonts w:ascii="Courier New" w:hAnsi="Courier New" w:cs="Courier New" w:hint="default"/>
      </w:rPr>
    </w:lvl>
    <w:lvl w:ilvl="2" w:tplc="9A72964C">
      <w:start w:val="1"/>
      <w:numFmt w:val="decimal"/>
      <w:lvlText w:val="%3."/>
      <w:lvlJc w:val="left"/>
      <w:pPr>
        <w:ind w:left="2907" w:hanging="360"/>
      </w:pPr>
      <w:rPr>
        <w:rFonts w:hint="default"/>
        <w:i w:val="0"/>
      </w:rPr>
    </w:lvl>
    <w:lvl w:ilvl="3" w:tplc="0405000F">
      <w:start w:val="1"/>
      <w:numFmt w:val="decimal"/>
      <w:lvlText w:val="%4."/>
      <w:lvlJc w:val="left"/>
      <w:pPr>
        <w:ind w:left="3447" w:hanging="360"/>
      </w:pPr>
    </w:lvl>
    <w:lvl w:ilvl="4" w:tplc="04050019">
      <w:start w:val="1"/>
      <w:numFmt w:val="lowerLetter"/>
      <w:lvlText w:val="%5."/>
      <w:lvlJc w:val="left"/>
      <w:pPr>
        <w:ind w:left="4167" w:hanging="360"/>
      </w:pPr>
    </w:lvl>
    <w:lvl w:ilvl="5" w:tplc="0405001B">
      <w:start w:val="1"/>
      <w:numFmt w:val="lowerRoman"/>
      <w:lvlText w:val="%6."/>
      <w:lvlJc w:val="right"/>
      <w:pPr>
        <w:ind w:left="4887" w:hanging="180"/>
      </w:pPr>
    </w:lvl>
    <w:lvl w:ilvl="6" w:tplc="0405000F">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40" w15:restartNumberingAfterBreak="0">
    <w:nsid w:val="5C877D36"/>
    <w:multiLevelType w:val="hybridMultilevel"/>
    <w:tmpl w:val="40EADC12"/>
    <w:lvl w:ilvl="0" w:tplc="4712073A">
      <w:start w:val="1"/>
      <w:numFmt w:val="decimal"/>
      <w:pStyle w:val="podminkyb"/>
      <w:lvlText w:val="b%1"/>
      <w:lvlJc w:val="left"/>
      <w:pPr>
        <w:ind w:left="1134" w:hanging="414"/>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1" w15:restartNumberingAfterBreak="0">
    <w:nsid w:val="618B59C3"/>
    <w:multiLevelType w:val="hybridMultilevel"/>
    <w:tmpl w:val="2ACAECCA"/>
    <w:lvl w:ilvl="0" w:tplc="04050011">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42" w15:restartNumberingAfterBreak="0">
    <w:nsid w:val="64794E37"/>
    <w:multiLevelType w:val="hybridMultilevel"/>
    <w:tmpl w:val="3B0C8B12"/>
    <w:lvl w:ilvl="0" w:tplc="F14A3174">
      <w:start w:val="4"/>
      <w:numFmt w:val="bullet"/>
      <w:lvlText w:val="-"/>
      <w:lvlJc w:val="left"/>
      <w:pPr>
        <w:ind w:left="1069" w:hanging="360"/>
      </w:pPr>
      <w:rPr>
        <w:rFonts w:ascii="Arial" w:eastAsia="Times New Roman" w:hAnsi="Arial" w:cs="Arial" w:hint="default"/>
        <w:b w:val="0"/>
        <w:i w:val="0"/>
      </w:rPr>
    </w:lvl>
    <w:lvl w:ilvl="1" w:tplc="04050003">
      <w:start w:val="1"/>
      <w:numFmt w:val="bullet"/>
      <w:lvlText w:val="o"/>
      <w:lvlJc w:val="left"/>
      <w:pPr>
        <w:ind w:left="2007" w:hanging="360"/>
      </w:pPr>
      <w:rPr>
        <w:rFonts w:ascii="Courier New" w:hAnsi="Courier New" w:cs="Courier New" w:hint="default"/>
      </w:rPr>
    </w:lvl>
    <w:lvl w:ilvl="2" w:tplc="9A72964C">
      <w:start w:val="1"/>
      <w:numFmt w:val="decimal"/>
      <w:lvlText w:val="%3."/>
      <w:lvlJc w:val="left"/>
      <w:pPr>
        <w:ind w:left="2907" w:hanging="360"/>
      </w:pPr>
      <w:rPr>
        <w:rFonts w:hint="default"/>
        <w:i w:val="0"/>
      </w:rPr>
    </w:lvl>
    <w:lvl w:ilvl="3" w:tplc="0405000F">
      <w:start w:val="1"/>
      <w:numFmt w:val="decimal"/>
      <w:lvlText w:val="%4."/>
      <w:lvlJc w:val="left"/>
      <w:pPr>
        <w:ind w:left="3447" w:hanging="360"/>
      </w:pPr>
    </w:lvl>
    <w:lvl w:ilvl="4" w:tplc="04050019">
      <w:start w:val="1"/>
      <w:numFmt w:val="lowerLetter"/>
      <w:lvlText w:val="%5."/>
      <w:lvlJc w:val="left"/>
      <w:pPr>
        <w:ind w:left="4167" w:hanging="360"/>
      </w:pPr>
    </w:lvl>
    <w:lvl w:ilvl="5" w:tplc="0405001B">
      <w:start w:val="1"/>
      <w:numFmt w:val="lowerRoman"/>
      <w:lvlText w:val="%6."/>
      <w:lvlJc w:val="right"/>
      <w:pPr>
        <w:ind w:left="4887" w:hanging="180"/>
      </w:pPr>
    </w:lvl>
    <w:lvl w:ilvl="6" w:tplc="0405000F">
      <w:start w:val="1"/>
      <w:numFmt w:val="decimal"/>
      <w:lvlText w:val="%7."/>
      <w:lvlJc w:val="left"/>
      <w:pPr>
        <w:ind w:left="5607" w:hanging="360"/>
      </w:pPr>
    </w:lvl>
    <w:lvl w:ilvl="7" w:tplc="04050019" w:tentative="1">
      <w:start w:val="1"/>
      <w:numFmt w:val="lowerLetter"/>
      <w:lvlText w:val="%8."/>
      <w:lvlJc w:val="left"/>
      <w:pPr>
        <w:ind w:left="6327" w:hanging="360"/>
      </w:pPr>
    </w:lvl>
    <w:lvl w:ilvl="8" w:tplc="0405001B" w:tentative="1">
      <w:start w:val="1"/>
      <w:numFmt w:val="lowerRoman"/>
      <w:lvlText w:val="%9."/>
      <w:lvlJc w:val="right"/>
      <w:pPr>
        <w:ind w:left="7047" w:hanging="180"/>
      </w:pPr>
    </w:lvl>
  </w:abstractNum>
  <w:abstractNum w:abstractNumId="43" w15:restartNumberingAfterBreak="0">
    <w:nsid w:val="65E53C3B"/>
    <w:multiLevelType w:val="multilevel"/>
    <w:tmpl w:val="CD3AC296"/>
    <w:lvl w:ilvl="0">
      <w:start w:val="5"/>
      <w:numFmt w:val="decimal"/>
      <w:lvlText w:val="%1"/>
      <w:lvlJc w:val="left"/>
      <w:pPr>
        <w:ind w:left="567" w:hanging="567"/>
      </w:pPr>
      <w:rPr>
        <w:rFonts w:hint="default"/>
      </w:rPr>
    </w:lvl>
    <w:lvl w:ilvl="1">
      <w:start w:val="1"/>
      <w:numFmt w:val="decimal"/>
      <w:lvlText w:val="5.%2"/>
      <w:lvlJc w:val="left"/>
      <w:pPr>
        <w:ind w:left="567" w:hanging="567"/>
      </w:pPr>
      <w:rPr>
        <w:rFonts w:hint="default"/>
      </w:rPr>
    </w:lvl>
    <w:lvl w:ilvl="2">
      <w:start w:val="1"/>
      <w:numFmt w:val="decimal"/>
      <w:isLgl/>
      <w:lvlText w:val="%1.%2.%3"/>
      <w:lvlJc w:val="left"/>
      <w:pPr>
        <w:ind w:left="567" w:hanging="567"/>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44" w15:restartNumberingAfterBreak="0">
    <w:nsid w:val="6D040D63"/>
    <w:multiLevelType w:val="hybridMultilevel"/>
    <w:tmpl w:val="A6DCBFE0"/>
    <w:lvl w:ilvl="0" w:tplc="A866DE48">
      <w:start w:val="1"/>
      <w:numFmt w:val="upperLetter"/>
      <w:pStyle w:val="nazvyvyuziti"/>
      <w:lvlText w:val="[%1]"/>
      <w:lvlJc w:val="left"/>
      <w:pPr>
        <w:ind w:left="709" w:hanging="425"/>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5" w15:restartNumberingAfterBreak="0">
    <w:nsid w:val="6E0623C6"/>
    <w:multiLevelType w:val="hybridMultilevel"/>
    <w:tmpl w:val="43AEE182"/>
    <w:lvl w:ilvl="0" w:tplc="04050001">
      <w:numFmt w:val="bullet"/>
      <w:lvlText w:val="-"/>
      <w:lvlJc w:val="left"/>
      <w:pPr>
        <w:ind w:left="1429" w:hanging="360"/>
      </w:pPr>
      <w:rPr>
        <w:rFonts w:ascii="Arial" w:eastAsia="SimSun" w:hAnsi="Arial" w:cs="Arial" w:hint="default"/>
      </w:rPr>
    </w:lvl>
    <w:lvl w:ilvl="1" w:tplc="04050003">
      <w:start w:val="1"/>
      <w:numFmt w:val="bullet"/>
      <w:lvlText w:val="o"/>
      <w:lvlJc w:val="left"/>
      <w:pPr>
        <w:ind w:left="2149" w:hanging="360"/>
      </w:pPr>
      <w:rPr>
        <w:rFonts w:ascii="Courier New" w:hAnsi="Courier New" w:cs="Courier New" w:hint="default"/>
      </w:rPr>
    </w:lvl>
    <w:lvl w:ilvl="2" w:tplc="04050005">
      <w:start w:val="1"/>
      <w:numFmt w:val="bullet"/>
      <w:lvlText w:val=""/>
      <w:lvlJc w:val="left"/>
      <w:pPr>
        <w:ind w:left="2869" w:hanging="360"/>
      </w:pPr>
      <w:rPr>
        <w:rFonts w:ascii="Wingdings" w:hAnsi="Wingdings" w:hint="default"/>
      </w:rPr>
    </w:lvl>
    <w:lvl w:ilvl="3" w:tplc="04050001">
      <w:start w:val="1"/>
      <w:numFmt w:val="bullet"/>
      <w:lvlText w:val=""/>
      <w:lvlJc w:val="left"/>
      <w:pPr>
        <w:ind w:left="3589" w:hanging="360"/>
      </w:pPr>
      <w:rPr>
        <w:rFonts w:ascii="Symbol" w:hAnsi="Symbol" w:hint="default"/>
      </w:rPr>
    </w:lvl>
    <w:lvl w:ilvl="4" w:tplc="04050003">
      <w:start w:val="1"/>
      <w:numFmt w:val="bullet"/>
      <w:lvlText w:val="o"/>
      <w:lvlJc w:val="left"/>
      <w:pPr>
        <w:ind w:left="4309" w:hanging="360"/>
      </w:pPr>
      <w:rPr>
        <w:rFonts w:ascii="Courier New" w:hAnsi="Courier New" w:cs="Courier New" w:hint="default"/>
      </w:rPr>
    </w:lvl>
    <w:lvl w:ilvl="5" w:tplc="04050005">
      <w:start w:val="1"/>
      <w:numFmt w:val="bullet"/>
      <w:lvlText w:val=""/>
      <w:lvlJc w:val="left"/>
      <w:pPr>
        <w:ind w:left="5029" w:hanging="360"/>
      </w:pPr>
      <w:rPr>
        <w:rFonts w:ascii="Wingdings" w:hAnsi="Wingdings" w:hint="default"/>
      </w:rPr>
    </w:lvl>
    <w:lvl w:ilvl="6" w:tplc="04050001">
      <w:start w:val="1"/>
      <w:numFmt w:val="bullet"/>
      <w:lvlText w:val=""/>
      <w:lvlJc w:val="left"/>
      <w:pPr>
        <w:ind w:left="5749" w:hanging="360"/>
      </w:pPr>
      <w:rPr>
        <w:rFonts w:ascii="Symbol" w:hAnsi="Symbol" w:hint="default"/>
      </w:rPr>
    </w:lvl>
    <w:lvl w:ilvl="7" w:tplc="04050003">
      <w:start w:val="1"/>
      <w:numFmt w:val="bullet"/>
      <w:lvlText w:val="o"/>
      <w:lvlJc w:val="left"/>
      <w:pPr>
        <w:ind w:left="6469" w:hanging="360"/>
      </w:pPr>
      <w:rPr>
        <w:rFonts w:ascii="Courier New" w:hAnsi="Courier New" w:cs="Courier New" w:hint="default"/>
      </w:rPr>
    </w:lvl>
    <w:lvl w:ilvl="8" w:tplc="04050005">
      <w:start w:val="1"/>
      <w:numFmt w:val="bullet"/>
      <w:lvlText w:val=""/>
      <w:lvlJc w:val="left"/>
      <w:pPr>
        <w:ind w:left="7189" w:hanging="360"/>
      </w:pPr>
      <w:rPr>
        <w:rFonts w:ascii="Wingdings" w:hAnsi="Wingdings" w:hint="default"/>
      </w:rPr>
    </w:lvl>
  </w:abstractNum>
  <w:abstractNum w:abstractNumId="46" w15:restartNumberingAfterBreak="0">
    <w:nsid w:val="6F7D5560"/>
    <w:multiLevelType w:val="hybridMultilevel"/>
    <w:tmpl w:val="6E22A2B4"/>
    <w:lvl w:ilvl="0" w:tplc="D60897D0">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7" w15:restartNumberingAfterBreak="0">
    <w:nsid w:val="6FB23D1A"/>
    <w:multiLevelType w:val="hybridMultilevel"/>
    <w:tmpl w:val="C34E25BE"/>
    <w:lvl w:ilvl="0" w:tplc="321E144A">
      <w:start w:val="1"/>
      <w:numFmt w:val="decimal"/>
      <w:pStyle w:val="podminkyvyuziti"/>
      <w:lvlText w:val="a%1"/>
      <w:lvlJc w:val="left"/>
      <w:pPr>
        <w:ind w:left="1134" w:hanging="414"/>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8" w15:restartNumberingAfterBreak="0">
    <w:nsid w:val="707C0E70"/>
    <w:multiLevelType w:val="hybridMultilevel"/>
    <w:tmpl w:val="061C9CE2"/>
    <w:lvl w:ilvl="0" w:tplc="F14A3174">
      <w:start w:val="4"/>
      <w:numFmt w:val="bullet"/>
      <w:lvlText w:val="-"/>
      <w:lvlJc w:val="left"/>
      <w:pPr>
        <w:ind w:left="720" w:hanging="360"/>
      </w:pPr>
      <w:rPr>
        <w:rFonts w:ascii="Arial" w:eastAsia="Times New Roman" w:hAnsi="Arial" w:cs="Arial" w:hint="default"/>
        <w:b w:val="0"/>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49" w15:restartNumberingAfterBreak="0">
    <w:nsid w:val="71A811B2"/>
    <w:multiLevelType w:val="hybridMultilevel"/>
    <w:tmpl w:val="9F00345E"/>
    <w:lvl w:ilvl="0" w:tplc="4D9A9D58">
      <w:start w:val="1"/>
      <w:numFmt w:val="decimal"/>
      <w:lvlText w:val="(%1)"/>
      <w:lvlJc w:val="left"/>
      <w:pPr>
        <w:ind w:left="720" w:hanging="360"/>
      </w:pPr>
      <w:rPr>
        <w:rFonts w:hint="default"/>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0" w15:restartNumberingAfterBreak="0">
    <w:nsid w:val="7333345D"/>
    <w:multiLevelType w:val="hybridMultilevel"/>
    <w:tmpl w:val="EDA8C52C"/>
    <w:lvl w:ilvl="0" w:tplc="BA0C1014">
      <w:start w:val="1"/>
      <w:numFmt w:val="decimal"/>
      <w:pStyle w:val="podminkyc"/>
      <w:lvlText w:val="c%1"/>
      <w:lvlJc w:val="left"/>
      <w:pPr>
        <w:ind w:left="1134" w:hanging="414"/>
      </w:pPr>
      <w:rPr>
        <w:rFonts w:ascii="Calibri" w:hAnsi="Calibri" w:hint="default"/>
        <w:b/>
        <w:i w:val="0"/>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1" w15:restartNumberingAfterBreak="0">
    <w:nsid w:val="73D2190F"/>
    <w:multiLevelType w:val="hybridMultilevel"/>
    <w:tmpl w:val="6B7A83FE"/>
    <w:lvl w:ilvl="0" w:tplc="F14A3174">
      <w:start w:val="4"/>
      <w:numFmt w:val="bullet"/>
      <w:lvlText w:val="-"/>
      <w:lvlJc w:val="left"/>
      <w:pPr>
        <w:ind w:left="1069" w:hanging="360"/>
      </w:pPr>
      <w:rPr>
        <w:rFonts w:ascii="Arial" w:eastAsia="Times New Roman" w:hAnsi="Arial" w:cs="Arial" w:hint="default"/>
        <w:b w:val="0"/>
        <w:i w:val="0"/>
      </w:rPr>
    </w:lvl>
    <w:lvl w:ilvl="1" w:tplc="04050003">
      <w:start w:val="1"/>
      <w:numFmt w:val="bullet"/>
      <w:lvlText w:val="o"/>
      <w:lvlJc w:val="left"/>
      <w:pPr>
        <w:ind w:left="2007" w:hanging="360"/>
      </w:pPr>
      <w:rPr>
        <w:rFonts w:ascii="Courier New" w:hAnsi="Courier New" w:cs="Courier New" w:hint="default"/>
      </w:rPr>
    </w:lvl>
    <w:lvl w:ilvl="2" w:tplc="36409C0C">
      <w:start w:val="1"/>
      <w:numFmt w:val="lowerLetter"/>
      <w:lvlText w:val="%3)"/>
      <w:lvlJc w:val="left"/>
      <w:pPr>
        <w:ind w:left="2907" w:hanging="360"/>
      </w:pPr>
    </w:lvl>
    <w:lvl w:ilvl="3" w:tplc="0405000F">
      <w:start w:val="1"/>
      <w:numFmt w:val="decimal"/>
      <w:lvlText w:val="%4."/>
      <w:lvlJc w:val="left"/>
      <w:pPr>
        <w:ind w:left="3447" w:hanging="360"/>
      </w:pPr>
    </w:lvl>
    <w:lvl w:ilvl="4" w:tplc="04050019">
      <w:start w:val="1"/>
      <w:numFmt w:val="lowerLetter"/>
      <w:lvlText w:val="%5."/>
      <w:lvlJc w:val="left"/>
      <w:pPr>
        <w:ind w:left="4167" w:hanging="360"/>
      </w:pPr>
    </w:lvl>
    <w:lvl w:ilvl="5" w:tplc="0405001B">
      <w:start w:val="1"/>
      <w:numFmt w:val="lowerRoman"/>
      <w:lvlText w:val="%6."/>
      <w:lvlJc w:val="right"/>
      <w:pPr>
        <w:ind w:left="4887" w:hanging="180"/>
      </w:pPr>
    </w:lvl>
    <w:lvl w:ilvl="6" w:tplc="0405000F">
      <w:start w:val="1"/>
      <w:numFmt w:val="decimal"/>
      <w:lvlText w:val="%7."/>
      <w:lvlJc w:val="left"/>
      <w:pPr>
        <w:ind w:left="5607" w:hanging="360"/>
      </w:pPr>
    </w:lvl>
    <w:lvl w:ilvl="7" w:tplc="04050019">
      <w:start w:val="1"/>
      <w:numFmt w:val="lowerLetter"/>
      <w:lvlText w:val="%8."/>
      <w:lvlJc w:val="left"/>
      <w:pPr>
        <w:ind w:left="6327" w:hanging="360"/>
      </w:pPr>
    </w:lvl>
    <w:lvl w:ilvl="8" w:tplc="0405001B">
      <w:start w:val="1"/>
      <w:numFmt w:val="lowerRoman"/>
      <w:lvlText w:val="%9."/>
      <w:lvlJc w:val="right"/>
      <w:pPr>
        <w:ind w:left="7047" w:hanging="180"/>
      </w:pPr>
    </w:lvl>
  </w:abstractNum>
  <w:abstractNum w:abstractNumId="52" w15:restartNumberingAfterBreak="0">
    <w:nsid w:val="73E557F0"/>
    <w:multiLevelType w:val="hybridMultilevel"/>
    <w:tmpl w:val="2DC66D48"/>
    <w:lvl w:ilvl="0" w:tplc="0405000F">
      <w:start w:val="1"/>
      <w:numFmt w:val="decimal"/>
      <w:lvlText w:val="%1."/>
      <w:lvlJc w:val="left"/>
      <w:pPr>
        <w:ind w:left="360" w:hanging="360"/>
      </w:pPr>
      <w:rPr>
        <w:rFonts w:hint="default"/>
      </w:rPr>
    </w:lvl>
    <w:lvl w:ilvl="1" w:tplc="04050019" w:tentative="1">
      <w:start w:val="1"/>
      <w:numFmt w:val="lowerLetter"/>
      <w:lvlText w:val="%2."/>
      <w:lvlJc w:val="left"/>
      <w:pPr>
        <w:ind w:left="1080" w:hanging="360"/>
      </w:pPr>
    </w:lvl>
    <w:lvl w:ilvl="2" w:tplc="0405001B" w:tentative="1">
      <w:start w:val="1"/>
      <w:numFmt w:val="lowerRoman"/>
      <w:lvlText w:val="%3."/>
      <w:lvlJc w:val="right"/>
      <w:pPr>
        <w:ind w:left="1800" w:hanging="180"/>
      </w:pPr>
    </w:lvl>
    <w:lvl w:ilvl="3" w:tplc="0405000F" w:tentative="1">
      <w:start w:val="1"/>
      <w:numFmt w:val="decimal"/>
      <w:lvlText w:val="%4."/>
      <w:lvlJc w:val="left"/>
      <w:pPr>
        <w:ind w:left="2520" w:hanging="360"/>
      </w:pPr>
    </w:lvl>
    <w:lvl w:ilvl="4" w:tplc="04050019" w:tentative="1">
      <w:start w:val="1"/>
      <w:numFmt w:val="lowerLetter"/>
      <w:lvlText w:val="%5."/>
      <w:lvlJc w:val="left"/>
      <w:pPr>
        <w:ind w:left="3240" w:hanging="360"/>
      </w:pPr>
    </w:lvl>
    <w:lvl w:ilvl="5" w:tplc="0405001B" w:tentative="1">
      <w:start w:val="1"/>
      <w:numFmt w:val="lowerRoman"/>
      <w:lvlText w:val="%6."/>
      <w:lvlJc w:val="right"/>
      <w:pPr>
        <w:ind w:left="3960" w:hanging="180"/>
      </w:pPr>
    </w:lvl>
    <w:lvl w:ilvl="6" w:tplc="0405000F" w:tentative="1">
      <w:start w:val="1"/>
      <w:numFmt w:val="decimal"/>
      <w:lvlText w:val="%7."/>
      <w:lvlJc w:val="left"/>
      <w:pPr>
        <w:ind w:left="4680" w:hanging="360"/>
      </w:pPr>
    </w:lvl>
    <w:lvl w:ilvl="7" w:tplc="04050019" w:tentative="1">
      <w:start w:val="1"/>
      <w:numFmt w:val="lowerLetter"/>
      <w:lvlText w:val="%8."/>
      <w:lvlJc w:val="left"/>
      <w:pPr>
        <w:ind w:left="5400" w:hanging="360"/>
      </w:pPr>
    </w:lvl>
    <w:lvl w:ilvl="8" w:tplc="0405001B" w:tentative="1">
      <w:start w:val="1"/>
      <w:numFmt w:val="lowerRoman"/>
      <w:lvlText w:val="%9."/>
      <w:lvlJc w:val="right"/>
      <w:pPr>
        <w:ind w:left="6120" w:hanging="180"/>
      </w:pPr>
    </w:lvl>
  </w:abstractNum>
  <w:abstractNum w:abstractNumId="53" w15:restartNumberingAfterBreak="0">
    <w:nsid w:val="771C47AF"/>
    <w:multiLevelType w:val="hybridMultilevel"/>
    <w:tmpl w:val="B45EE69A"/>
    <w:lvl w:ilvl="0" w:tplc="FFFFFFFF">
      <w:start w:val="1"/>
      <w:numFmt w:val="bullet"/>
      <w:lvlText w:val="-"/>
      <w:lvlJc w:val="left"/>
      <w:pPr>
        <w:ind w:left="720" w:hanging="360"/>
      </w:pPr>
      <w:rPr>
        <w:rFonts w:ascii="Verdana" w:hAnsi="Verdana" w:hint="default"/>
      </w:rPr>
    </w:lvl>
    <w:lvl w:ilvl="1" w:tplc="FFFFFFFF">
      <w:start w:val="1"/>
      <w:numFmt w:val="bullet"/>
      <w:lvlText w:val="o"/>
      <w:lvlJc w:val="left"/>
      <w:pPr>
        <w:ind w:left="1440" w:hanging="360"/>
      </w:pPr>
      <w:rPr>
        <w:rFonts w:ascii="Courier New" w:hAnsi="Courier New" w:cs="Courier New" w:hint="default"/>
      </w:rPr>
    </w:lvl>
    <w:lvl w:ilvl="2" w:tplc="FFFFFFFF">
      <w:numFmt w:val="bullet"/>
      <w:lvlText w:val="•"/>
      <w:lvlJc w:val="left"/>
      <w:pPr>
        <w:ind w:left="2160" w:hanging="360"/>
      </w:pPr>
      <w:rPr>
        <w:rFonts w:ascii="Calibri Light" w:eastAsiaTheme="minorHAnsi" w:hAnsi="Calibri Light" w:cs="Calibri Light" w:hint="default"/>
      </w:rPr>
    </w:lvl>
    <w:lvl w:ilvl="3" w:tplc="04050003">
      <w:start w:val="1"/>
      <w:numFmt w:val="bullet"/>
      <w:lvlText w:val="o"/>
      <w:lvlJc w:val="left"/>
      <w:pPr>
        <w:ind w:left="2880" w:hanging="360"/>
      </w:pPr>
      <w:rPr>
        <w:rFonts w:ascii="Courier New" w:hAnsi="Courier New" w:cs="Courier New"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54" w15:restartNumberingAfterBreak="0">
    <w:nsid w:val="78C02B04"/>
    <w:multiLevelType w:val="hybridMultilevel"/>
    <w:tmpl w:val="EA487986"/>
    <w:lvl w:ilvl="0" w:tplc="04050001">
      <w:numFmt w:val="bullet"/>
      <w:lvlText w:val="-"/>
      <w:lvlJc w:val="left"/>
      <w:pPr>
        <w:ind w:left="720" w:hanging="360"/>
      </w:pPr>
      <w:rPr>
        <w:rFonts w:ascii="Arial" w:eastAsia="SimSun" w:hAnsi="Arial" w:cs="Arial"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5" w15:restartNumberingAfterBreak="0">
    <w:nsid w:val="791A2175"/>
    <w:multiLevelType w:val="hybridMultilevel"/>
    <w:tmpl w:val="A3DE18AE"/>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6" w15:restartNumberingAfterBreak="0">
    <w:nsid w:val="7A8358B3"/>
    <w:multiLevelType w:val="hybridMultilevel"/>
    <w:tmpl w:val="B5FAE144"/>
    <w:lvl w:ilvl="0" w:tplc="B4F6EA32">
      <w:start w:val="1"/>
      <w:numFmt w:val="decimal"/>
      <w:pStyle w:val="vrok"/>
      <w:lvlText w:val="(%1)"/>
      <w:lvlJc w:val="left"/>
      <w:pPr>
        <w:ind w:left="644" w:hanging="360"/>
      </w:pPr>
      <w:rPr>
        <w:b/>
        <w:bCs w:val="0"/>
        <w:i w:val="0"/>
        <w:iCs w:val="0"/>
        <w:caps w:val="0"/>
        <w:smallCaps w:val="0"/>
        <w:strike w:val="0"/>
        <w:dstrike w:val="0"/>
        <w:noProof w:val="0"/>
        <w:vanish w:val="0"/>
        <w:color w:val="auto"/>
        <w:spacing w:val="0"/>
        <w:kern w:val="0"/>
        <w:position w:val="0"/>
        <w:u w:val="none"/>
        <w:effect w:val="none"/>
        <w:vertAlign w:val="baseline"/>
        <w:em w:val="none"/>
        <w:specVanish w:val="0"/>
      </w:rPr>
    </w:lvl>
    <w:lvl w:ilvl="1" w:tplc="8D64CCAE">
      <w:start w:val="1"/>
      <w:numFmt w:val="lowerLetter"/>
      <w:lvlText w:val="%2)"/>
      <w:lvlJc w:val="left"/>
      <w:pPr>
        <w:ind w:left="1440" w:hanging="360"/>
      </w:pPr>
      <w:rPr>
        <w:rFonts w:hint="default"/>
      </w:r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57" w15:restartNumberingAfterBreak="0">
    <w:nsid w:val="7AF84310"/>
    <w:multiLevelType w:val="multilevel"/>
    <w:tmpl w:val="A4A8477C"/>
    <w:lvl w:ilvl="0">
      <w:start w:val="5"/>
      <w:numFmt w:val="decimal"/>
      <w:lvlText w:val="%1"/>
      <w:lvlJc w:val="left"/>
      <w:pPr>
        <w:ind w:left="567" w:hanging="567"/>
      </w:pPr>
      <w:rPr>
        <w:rFonts w:hint="default"/>
      </w:rPr>
    </w:lvl>
    <w:lvl w:ilvl="1">
      <w:start w:val="1"/>
      <w:numFmt w:val="decimal"/>
      <w:lvlText w:val="3.%2"/>
      <w:lvlJc w:val="left"/>
      <w:pPr>
        <w:ind w:left="567" w:hanging="567"/>
      </w:pPr>
      <w:rPr>
        <w:rFonts w:hint="default"/>
      </w:rPr>
    </w:lvl>
    <w:lvl w:ilvl="2">
      <w:start w:val="1"/>
      <w:numFmt w:val="decimal"/>
      <w:isLgl/>
      <w:lvlText w:val="%1.%2.%3"/>
      <w:lvlJc w:val="left"/>
      <w:pPr>
        <w:ind w:left="567" w:hanging="567"/>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800" w:hanging="1800"/>
      </w:pPr>
      <w:rPr>
        <w:rFonts w:hint="default"/>
      </w:rPr>
    </w:lvl>
  </w:abstractNum>
  <w:abstractNum w:abstractNumId="58" w15:restartNumberingAfterBreak="0">
    <w:nsid w:val="7B286E6E"/>
    <w:multiLevelType w:val="hybridMultilevel"/>
    <w:tmpl w:val="985C65BE"/>
    <w:lvl w:ilvl="0" w:tplc="04050001">
      <w:start w:val="1"/>
      <w:numFmt w:val="bullet"/>
      <w:lvlText w:val=""/>
      <w:lvlJc w:val="left"/>
      <w:pPr>
        <w:ind w:left="1429" w:hanging="360"/>
      </w:pPr>
      <w:rPr>
        <w:rFonts w:ascii="Symbol" w:hAnsi="Symbol" w:hint="default"/>
      </w:rPr>
    </w:lvl>
    <w:lvl w:ilvl="1" w:tplc="04050003" w:tentative="1">
      <w:start w:val="1"/>
      <w:numFmt w:val="bullet"/>
      <w:lvlText w:val="o"/>
      <w:lvlJc w:val="left"/>
      <w:pPr>
        <w:ind w:left="2149" w:hanging="360"/>
      </w:pPr>
      <w:rPr>
        <w:rFonts w:ascii="Courier New" w:hAnsi="Courier New" w:cs="Courier New" w:hint="default"/>
      </w:rPr>
    </w:lvl>
    <w:lvl w:ilvl="2" w:tplc="04050005" w:tentative="1">
      <w:start w:val="1"/>
      <w:numFmt w:val="bullet"/>
      <w:lvlText w:val=""/>
      <w:lvlJc w:val="left"/>
      <w:pPr>
        <w:ind w:left="2869" w:hanging="360"/>
      </w:pPr>
      <w:rPr>
        <w:rFonts w:ascii="Wingdings" w:hAnsi="Wingdings" w:hint="default"/>
      </w:rPr>
    </w:lvl>
    <w:lvl w:ilvl="3" w:tplc="04050001" w:tentative="1">
      <w:start w:val="1"/>
      <w:numFmt w:val="bullet"/>
      <w:lvlText w:val=""/>
      <w:lvlJc w:val="left"/>
      <w:pPr>
        <w:ind w:left="3589" w:hanging="360"/>
      </w:pPr>
      <w:rPr>
        <w:rFonts w:ascii="Symbol" w:hAnsi="Symbol" w:hint="default"/>
      </w:rPr>
    </w:lvl>
    <w:lvl w:ilvl="4" w:tplc="04050003" w:tentative="1">
      <w:start w:val="1"/>
      <w:numFmt w:val="bullet"/>
      <w:lvlText w:val="o"/>
      <w:lvlJc w:val="left"/>
      <w:pPr>
        <w:ind w:left="4309" w:hanging="360"/>
      </w:pPr>
      <w:rPr>
        <w:rFonts w:ascii="Courier New" w:hAnsi="Courier New" w:cs="Courier New" w:hint="default"/>
      </w:rPr>
    </w:lvl>
    <w:lvl w:ilvl="5" w:tplc="04050005" w:tentative="1">
      <w:start w:val="1"/>
      <w:numFmt w:val="bullet"/>
      <w:lvlText w:val=""/>
      <w:lvlJc w:val="left"/>
      <w:pPr>
        <w:ind w:left="5029" w:hanging="360"/>
      </w:pPr>
      <w:rPr>
        <w:rFonts w:ascii="Wingdings" w:hAnsi="Wingdings" w:hint="default"/>
      </w:rPr>
    </w:lvl>
    <w:lvl w:ilvl="6" w:tplc="04050001" w:tentative="1">
      <w:start w:val="1"/>
      <w:numFmt w:val="bullet"/>
      <w:lvlText w:val=""/>
      <w:lvlJc w:val="left"/>
      <w:pPr>
        <w:ind w:left="5749" w:hanging="360"/>
      </w:pPr>
      <w:rPr>
        <w:rFonts w:ascii="Symbol" w:hAnsi="Symbol" w:hint="default"/>
      </w:rPr>
    </w:lvl>
    <w:lvl w:ilvl="7" w:tplc="04050003" w:tentative="1">
      <w:start w:val="1"/>
      <w:numFmt w:val="bullet"/>
      <w:lvlText w:val="o"/>
      <w:lvlJc w:val="left"/>
      <w:pPr>
        <w:ind w:left="6469" w:hanging="360"/>
      </w:pPr>
      <w:rPr>
        <w:rFonts w:ascii="Courier New" w:hAnsi="Courier New" w:cs="Courier New" w:hint="default"/>
      </w:rPr>
    </w:lvl>
    <w:lvl w:ilvl="8" w:tplc="04050005" w:tentative="1">
      <w:start w:val="1"/>
      <w:numFmt w:val="bullet"/>
      <w:lvlText w:val=""/>
      <w:lvlJc w:val="left"/>
      <w:pPr>
        <w:ind w:left="7189" w:hanging="360"/>
      </w:pPr>
      <w:rPr>
        <w:rFonts w:ascii="Wingdings" w:hAnsi="Wingdings" w:hint="default"/>
      </w:rPr>
    </w:lvl>
  </w:abstractNum>
  <w:abstractNum w:abstractNumId="59" w15:restartNumberingAfterBreak="0">
    <w:nsid w:val="7D102AE6"/>
    <w:multiLevelType w:val="hybridMultilevel"/>
    <w:tmpl w:val="CF7A26DE"/>
    <w:lvl w:ilvl="0" w:tplc="84788104">
      <w:start w:val="1"/>
      <w:numFmt w:val="bullet"/>
      <w:lvlText w:val="-"/>
      <w:lvlJc w:val="left"/>
      <w:pPr>
        <w:ind w:left="2289" w:hanging="360"/>
      </w:pPr>
      <w:rPr>
        <w:rFonts w:ascii="Courier New" w:hAnsi="Courier New" w:cs="Times New Roman" w:hint="default"/>
      </w:rPr>
    </w:lvl>
    <w:lvl w:ilvl="1" w:tplc="04050003">
      <w:start w:val="1"/>
      <w:numFmt w:val="bullet"/>
      <w:lvlText w:val="o"/>
      <w:lvlJc w:val="left"/>
      <w:pPr>
        <w:ind w:left="3009" w:hanging="360"/>
      </w:pPr>
      <w:rPr>
        <w:rFonts w:ascii="Courier New" w:hAnsi="Courier New" w:cs="Courier New" w:hint="default"/>
      </w:rPr>
    </w:lvl>
    <w:lvl w:ilvl="2" w:tplc="04050005">
      <w:start w:val="1"/>
      <w:numFmt w:val="bullet"/>
      <w:lvlText w:val=""/>
      <w:lvlJc w:val="left"/>
      <w:pPr>
        <w:ind w:left="3729" w:hanging="360"/>
      </w:pPr>
      <w:rPr>
        <w:rFonts w:ascii="Wingdings" w:hAnsi="Wingdings" w:hint="default"/>
      </w:rPr>
    </w:lvl>
    <w:lvl w:ilvl="3" w:tplc="04050001">
      <w:start w:val="1"/>
      <w:numFmt w:val="bullet"/>
      <w:lvlText w:val=""/>
      <w:lvlJc w:val="left"/>
      <w:pPr>
        <w:ind w:left="4449" w:hanging="360"/>
      </w:pPr>
      <w:rPr>
        <w:rFonts w:ascii="Symbol" w:hAnsi="Symbol" w:hint="default"/>
      </w:rPr>
    </w:lvl>
    <w:lvl w:ilvl="4" w:tplc="04050003">
      <w:start w:val="1"/>
      <w:numFmt w:val="bullet"/>
      <w:lvlText w:val="o"/>
      <w:lvlJc w:val="left"/>
      <w:pPr>
        <w:ind w:left="5169" w:hanging="360"/>
      </w:pPr>
      <w:rPr>
        <w:rFonts w:ascii="Courier New" w:hAnsi="Courier New" w:cs="Courier New" w:hint="default"/>
      </w:rPr>
    </w:lvl>
    <w:lvl w:ilvl="5" w:tplc="04050005">
      <w:start w:val="1"/>
      <w:numFmt w:val="bullet"/>
      <w:lvlText w:val=""/>
      <w:lvlJc w:val="left"/>
      <w:pPr>
        <w:ind w:left="5889" w:hanging="360"/>
      </w:pPr>
      <w:rPr>
        <w:rFonts w:ascii="Wingdings" w:hAnsi="Wingdings" w:hint="default"/>
      </w:rPr>
    </w:lvl>
    <w:lvl w:ilvl="6" w:tplc="04050001">
      <w:start w:val="1"/>
      <w:numFmt w:val="bullet"/>
      <w:lvlText w:val=""/>
      <w:lvlJc w:val="left"/>
      <w:pPr>
        <w:ind w:left="6609" w:hanging="360"/>
      </w:pPr>
      <w:rPr>
        <w:rFonts w:ascii="Symbol" w:hAnsi="Symbol" w:hint="default"/>
      </w:rPr>
    </w:lvl>
    <w:lvl w:ilvl="7" w:tplc="04050003">
      <w:start w:val="1"/>
      <w:numFmt w:val="bullet"/>
      <w:lvlText w:val="o"/>
      <w:lvlJc w:val="left"/>
      <w:pPr>
        <w:ind w:left="7329" w:hanging="360"/>
      </w:pPr>
      <w:rPr>
        <w:rFonts w:ascii="Courier New" w:hAnsi="Courier New" w:cs="Courier New" w:hint="default"/>
      </w:rPr>
    </w:lvl>
    <w:lvl w:ilvl="8" w:tplc="04050005">
      <w:start w:val="1"/>
      <w:numFmt w:val="bullet"/>
      <w:lvlText w:val=""/>
      <w:lvlJc w:val="left"/>
      <w:pPr>
        <w:ind w:left="8049" w:hanging="360"/>
      </w:pPr>
      <w:rPr>
        <w:rFonts w:ascii="Wingdings" w:hAnsi="Wingdings" w:hint="default"/>
      </w:rPr>
    </w:lvl>
  </w:abstractNum>
  <w:num w:numId="1" w16cid:durableId="32118646">
    <w:abstractNumId w:val="32"/>
  </w:num>
  <w:num w:numId="2" w16cid:durableId="1611009041">
    <w:abstractNumId w:val="6"/>
  </w:num>
  <w:num w:numId="3" w16cid:durableId="1347630101">
    <w:abstractNumId w:val="56"/>
  </w:num>
  <w:num w:numId="4" w16cid:durableId="642777973">
    <w:abstractNumId w:val="42"/>
  </w:num>
  <w:num w:numId="5" w16cid:durableId="491599590">
    <w:abstractNumId w:val="49"/>
  </w:num>
  <w:num w:numId="6" w16cid:durableId="45304224">
    <w:abstractNumId w:val="14"/>
  </w:num>
  <w:num w:numId="7" w16cid:durableId="2123568002">
    <w:abstractNumId w:val="18"/>
  </w:num>
  <w:num w:numId="8" w16cid:durableId="1565069666">
    <w:abstractNumId w:val="39"/>
  </w:num>
  <w:num w:numId="9" w16cid:durableId="1769304857">
    <w:abstractNumId w:val="48"/>
  </w:num>
  <w:num w:numId="10" w16cid:durableId="1335377517">
    <w:abstractNumId w:val="10"/>
    <w:lvlOverride w:ilvl="0">
      <w:startOverride w:val="1"/>
    </w:lvlOverride>
  </w:num>
  <w:num w:numId="11" w16cid:durableId="789127537">
    <w:abstractNumId w:val="50"/>
  </w:num>
  <w:num w:numId="12" w16cid:durableId="1482499911">
    <w:abstractNumId w:val="29"/>
  </w:num>
  <w:num w:numId="13" w16cid:durableId="1258634444">
    <w:abstractNumId w:val="44"/>
  </w:num>
  <w:num w:numId="14" w16cid:durableId="860363575">
    <w:abstractNumId w:val="47"/>
  </w:num>
  <w:num w:numId="15" w16cid:durableId="68576019">
    <w:abstractNumId w:val="40"/>
  </w:num>
  <w:num w:numId="16" w16cid:durableId="1563634184">
    <w:abstractNumId w:val="12"/>
  </w:num>
  <w:num w:numId="17" w16cid:durableId="1421176133">
    <w:abstractNumId w:val="7"/>
  </w:num>
  <w:num w:numId="18" w16cid:durableId="1576892750">
    <w:abstractNumId w:val="30"/>
  </w:num>
  <w:num w:numId="19" w16cid:durableId="1298531253">
    <w:abstractNumId w:val="23"/>
  </w:num>
  <w:num w:numId="20" w16cid:durableId="1968705114">
    <w:abstractNumId w:val="57"/>
  </w:num>
  <w:num w:numId="21" w16cid:durableId="2137671790">
    <w:abstractNumId w:val="43"/>
  </w:num>
  <w:num w:numId="22" w16cid:durableId="1205868420">
    <w:abstractNumId w:val="4"/>
  </w:num>
  <w:num w:numId="23" w16cid:durableId="1560895562">
    <w:abstractNumId w:val="8"/>
  </w:num>
  <w:num w:numId="24" w16cid:durableId="1850754602">
    <w:abstractNumId w:val="28"/>
  </w:num>
  <w:num w:numId="25" w16cid:durableId="1830515774">
    <w:abstractNumId w:val="34"/>
  </w:num>
  <w:num w:numId="26" w16cid:durableId="302321378">
    <w:abstractNumId w:val="59"/>
  </w:num>
  <w:num w:numId="27" w16cid:durableId="2034384245">
    <w:abstractNumId w:val="5"/>
  </w:num>
  <w:num w:numId="28" w16cid:durableId="1311834619">
    <w:abstractNumId w:val="45"/>
  </w:num>
  <w:num w:numId="29" w16cid:durableId="1784882390">
    <w:abstractNumId w:val="3"/>
  </w:num>
  <w:num w:numId="30" w16cid:durableId="1481771617">
    <w:abstractNumId w:val="13"/>
  </w:num>
  <w:num w:numId="31" w16cid:durableId="1580823362">
    <w:abstractNumId w:val="25"/>
  </w:num>
  <w:num w:numId="32" w16cid:durableId="1493059630">
    <w:abstractNumId w:val="38"/>
  </w:num>
  <w:num w:numId="33" w16cid:durableId="1479302805">
    <w:abstractNumId w:val="54"/>
  </w:num>
  <w:num w:numId="34" w16cid:durableId="1624530484">
    <w:abstractNumId w:val="17"/>
  </w:num>
  <w:num w:numId="35" w16cid:durableId="1193496947">
    <w:abstractNumId w:val="31"/>
  </w:num>
  <w:num w:numId="36" w16cid:durableId="1471315545">
    <w:abstractNumId w:val="24"/>
  </w:num>
  <w:num w:numId="37" w16cid:durableId="140385209">
    <w:abstractNumId w:val="19"/>
  </w:num>
  <w:num w:numId="38" w16cid:durableId="991106129">
    <w:abstractNumId w:val="51"/>
  </w:num>
  <w:num w:numId="39" w16cid:durableId="489519263">
    <w:abstractNumId w:val="53"/>
  </w:num>
  <w:num w:numId="40" w16cid:durableId="1642927612">
    <w:abstractNumId w:val="36"/>
  </w:num>
  <w:num w:numId="41" w16cid:durableId="1739014532">
    <w:abstractNumId w:val="58"/>
  </w:num>
  <w:num w:numId="42" w16cid:durableId="1559631460">
    <w:abstractNumId w:val="35"/>
  </w:num>
  <w:num w:numId="43" w16cid:durableId="198590250">
    <w:abstractNumId w:val="16"/>
  </w:num>
  <w:num w:numId="44" w16cid:durableId="1727029076">
    <w:abstractNumId w:val="26"/>
  </w:num>
  <w:num w:numId="45" w16cid:durableId="315840032">
    <w:abstractNumId w:val="9"/>
  </w:num>
  <w:num w:numId="46" w16cid:durableId="1257637513">
    <w:abstractNumId w:val="11"/>
  </w:num>
  <w:num w:numId="47" w16cid:durableId="1603605455">
    <w:abstractNumId w:val="20"/>
  </w:num>
  <w:num w:numId="48" w16cid:durableId="357590414">
    <w:abstractNumId w:val="22"/>
  </w:num>
  <w:num w:numId="49" w16cid:durableId="1112358832">
    <w:abstractNumId w:val="52"/>
  </w:num>
  <w:num w:numId="50" w16cid:durableId="131749864">
    <w:abstractNumId w:val="27"/>
  </w:num>
  <w:num w:numId="51" w16cid:durableId="1154101106">
    <w:abstractNumId w:val="33"/>
  </w:num>
  <w:num w:numId="52" w16cid:durableId="820000057">
    <w:abstractNumId w:val="37"/>
  </w:num>
  <w:num w:numId="53" w16cid:durableId="661352817">
    <w:abstractNumId w:val="15"/>
  </w:num>
  <w:num w:numId="54" w16cid:durableId="1800879872">
    <w:abstractNumId w:val="41"/>
  </w:num>
  <w:num w:numId="55" w16cid:durableId="1278368099">
    <w:abstractNumId w:val="21"/>
  </w:num>
  <w:num w:numId="56" w16cid:durableId="1039622830">
    <w:abstractNumId w:val="46"/>
  </w:num>
  <w:num w:numId="57" w16cid:durableId="442653570">
    <w:abstractNumId w:val="55"/>
  </w:num>
  <w:numIdMacAtCleanup w:val="3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grammar="clean"/>
  <w:defaultTabStop w:val="709"/>
  <w:hyphenationZone w:val="425"/>
  <w:drawingGridHorizontalSpacing w:val="110"/>
  <w:displayHorizontalDrawingGridEvery w:val="2"/>
  <w:characterSpacingControl w:val="doNotCompress"/>
  <w:hdrShapeDefaults>
    <o:shapedefaults v:ext="edit" spidmax="205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LK0MDSwMDA2MzYzNDZT0lEKTi0uzszPAykwqwUA0S2RZiwAAAA="/>
  </w:docVars>
  <w:rsids>
    <w:rsidRoot w:val="00AE67DC"/>
    <w:rsid w:val="00000088"/>
    <w:rsid w:val="00000186"/>
    <w:rsid w:val="00000559"/>
    <w:rsid w:val="00000628"/>
    <w:rsid w:val="00000A19"/>
    <w:rsid w:val="0000107A"/>
    <w:rsid w:val="00001240"/>
    <w:rsid w:val="00002556"/>
    <w:rsid w:val="00002E0A"/>
    <w:rsid w:val="00003406"/>
    <w:rsid w:val="000039CA"/>
    <w:rsid w:val="00003A65"/>
    <w:rsid w:val="00003A80"/>
    <w:rsid w:val="00003BBA"/>
    <w:rsid w:val="000043B2"/>
    <w:rsid w:val="00004CA8"/>
    <w:rsid w:val="00004D73"/>
    <w:rsid w:val="0000518E"/>
    <w:rsid w:val="000058EB"/>
    <w:rsid w:val="0000769B"/>
    <w:rsid w:val="000077CD"/>
    <w:rsid w:val="00007852"/>
    <w:rsid w:val="00007ED0"/>
    <w:rsid w:val="00010763"/>
    <w:rsid w:val="00011054"/>
    <w:rsid w:val="000110A4"/>
    <w:rsid w:val="000111C2"/>
    <w:rsid w:val="00011BF0"/>
    <w:rsid w:val="00012B7F"/>
    <w:rsid w:val="00013569"/>
    <w:rsid w:val="00013825"/>
    <w:rsid w:val="00013ED6"/>
    <w:rsid w:val="00013EE3"/>
    <w:rsid w:val="00014525"/>
    <w:rsid w:val="00014A31"/>
    <w:rsid w:val="00015F91"/>
    <w:rsid w:val="000161FD"/>
    <w:rsid w:val="0001683F"/>
    <w:rsid w:val="0001711C"/>
    <w:rsid w:val="000172E3"/>
    <w:rsid w:val="000174E1"/>
    <w:rsid w:val="000229AA"/>
    <w:rsid w:val="00023596"/>
    <w:rsid w:val="000237A6"/>
    <w:rsid w:val="00023B13"/>
    <w:rsid w:val="00024471"/>
    <w:rsid w:val="000255BB"/>
    <w:rsid w:val="00025CA2"/>
    <w:rsid w:val="00026F1F"/>
    <w:rsid w:val="00026FE3"/>
    <w:rsid w:val="00027596"/>
    <w:rsid w:val="0003001F"/>
    <w:rsid w:val="00030361"/>
    <w:rsid w:val="000303CB"/>
    <w:rsid w:val="000306C5"/>
    <w:rsid w:val="0003085D"/>
    <w:rsid w:val="000311FD"/>
    <w:rsid w:val="00031360"/>
    <w:rsid w:val="00031996"/>
    <w:rsid w:val="00031B68"/>
    <w:rsid w:val="0003263F"/>
    <w:rsid w:val="00032A93"/>
    <w:rsid w:val="000337C0"/>
    <w:rsid w:val="00033E23"/>
    <w:rsid w:val="00034362"/>
    <w:rsid w:val="000343FB"/>
    <w:rsid w:val="00034FCE"/>
    <w:rsid w:val="00035CF4"/>
    <w:rsid w:val="0003666B"/>
    <w:rsid w:val="00036909"/>
    <w:rsid w:val="000369A8"/>
    <w:rsid w:val="0003765D"/>
    <w:rsid w:val="000377C9"/>
    <w:rsid w:val="000402CB"/>
    <w:rsid w:val="00040A23"/>
    <w:rsid w:val="00040B6A"/>
    <w:rsid w:val="00041EBB"/>
    <w:rsid w:val="0004205A"/>
    <w:rsid w:val="00042D00"/>
    <w:rsid w:val="000431A8"/>
    <w:rsid w:val="00043B66"/>
    <w:rsid w:val="00043EFD"/>
    <w:rsid w:val="000442F4"/>
    <w:rsid w:val="00044350"/>
    <w:rsid w:val="00044688"/>
    <w:rsid w:val="00045071"/>
    <w:rsid w:val="000453A6"/>
    <w:rsid w:val="00046C92"/>
    <w:rsid w:val="00047D99"/>
    <w:rsid w:val="00047F30"/>
    <w:rsid w:val="00050159"/>
    <w:rsid w:val="000502F4"/>
    <w:rsid w:val="00051453"/>
    <w:rsid w:val="00051F6A"/>
    <w:rsid w:val="0005255A"/>
    <w:rsid w:val="0005549A"/>
    <w:rsid w:val="0005597B"/>
    <w:rsid w:val="0005599F"/>
    <w:rsid w:val="00055DA6"/>
    <w:rsid w:val="00056869"/>
    <w:rsid w:val="000574D8"/>
    <w:rsid w:val="00057849"/>
    <w:rsid w:val="00057FCC"/>
    <w:rsid w:val="00060232"/>
    <w:rsid w:val="00060D8B"/>
    <w:rsid w:val="00061700"/>
    <w:rsid w:val="00062441"/>
    <w:rsid w:val="000630C0"/>
    <w:rsid w:val="000643D2"/>
    <w:rsid w:val="00064720"/>
    <w:rsid w:val="00064D29"/>
    <w:rsid w:val="000657D1"/>
    <w:rsid w:val="00065F7D"/>
    <w:rsid w:val="00066294"/>
    <w:rsid w:val="0006692B"/>
    <w:rsid w:val="000675FC"/>
    <w:rsid w:val="000677CF"/>
    <w:rsid w:val="00067B72"/>
    <w:rsid w:val="00070023"/>
    <w:rsid w:val="000700E0"/>
    <w:rsid w:val="00070F7C"/>
    <w:rsid w:val="00071678"/>
    <w:rsid w:val="00071C0F"/>
    <w:rsid w:val="00071DB9"/>
    <w:rsid w:val="00071E0A"/>
    <w:rsid w:val="0007201D"/>
    <w:rsid w:val="00072215"/>
    <w:rsid w:val="00072AC3"/>
    <w:rsid w:val="00072AD6"/>
    <w:rsid w:val="0007396C"/>
    <w:rsid w:val="00073B57"/>
    <w:rsid w:val="00073C39"/>
    <w:rsid w:val="00073E34"/>
    <w:rsid w:val="00073E6C"/>
    <w:rsid w:val="00076FBB"/>
    <w:rsid w:val="0007706A"/>
    <w:rsid w:val="00080053"/>
    <w:rsid w:val="00081E68"/>
    <w:rsid w:val="00081FEC"/>
    <w:rsid w:val="00082327"/>
    <w:rsid w:val="00082E1E"/>
    <w:rsid w:val="0008396C"/>
    <w:rsid w:val="00083D98"/>
    <w:rsid w:val="00083EAA"/>
    <w:rsid w:val="000840B7"/>
    <w:rsid w:val="0008458E"/>
    <w:rsid w:val="00085035"/>
    <w:rsid w:val="00085FAA"/>
    <w:rsid w:val="00086CF3"/>
    <w:rsid w:val="00087139"/>
    <w:rsid w:val="0008789C"/>
    <w:rsid w:val="00087A91"/>
    <w:rsid w:val="00090571"/>
    <w:rsid w:val="000905AC"/>
    <w:rsid w:val="00090BC5"/>
    <w:rsid w:val="00090BD1"/>
    <w:rsid w:val="0009152E"/>
    <w:rsid w:val="00091789"/>
    <w:rsid w:val="000919A0"/>
    <w:rsid w:val="00092460"/>
    <w:rsid w:val="00092571"/>
    <w:rsid w:val="000930C3"/>
    <w:rsid w:val="00093A23"/>
    <w:rsid w:val="000946B8"/>
    <w:rsid w:val="00095145"/>
    <w:rsid w:val="00096357"/>
    <w:rsid w:val="000A078D"/>
    <w:rsid w:val="000A1430"/>
    <w:rsid w:val="000A1878"/>
    <w:rsid w:val="000A2A98"/>
    <w:rsid w:val="000A3416"/>
    <w:rsid w:val="000A4049"/>
    <w:rsid w:val="000A4813"/>
    <w:rsid w:val="000A5553"/>
    <w:rsid w:val="000A58AD"/>
    <w:rsid w:val="000A5F2F"/>
    <w:rsid w:val="000A636F"/>
    <w:rsid w:val="000A6912"/>
    <w:rsid w:val="000A790B"/>
    <w:rsid w:val="000A7DB9"/>
    <w:rsid w:val="000B01D0"/>
    <w:rsid w:val="000B08B3"/>
    <w:rsid w:val="000B1016"/>
    <w:rsid w:val="000B1853"/>
    <w:rsid w:val="000B2DAF"/>
    <w:rsid w:val="000B40C7"/>
    <w:rsid w:val="000B456F"/>
    <w:rsid w:val="000B4756"/>
    <w:rsid w:val="000B489C"/>
    <w:rsid w:val="000B4CAF"/>
    <w:rsid w:val="000B4E35"/>
    <w:rsid w:val="000B51EE"/>
    <w:rsid w:val="000B600F"/>
    <w:rsid w:val="000B6F18"/>
    <w:rsid w:val="000B6F39"/>
    <w:rsid w:val="000B748A"/>
    <w:rsid w:val="000B74AF"/>
    <w:rsid w:val="000B74E8"/>
    <w:rsid w:val="000B75E2"/>
    <w:rsid w:val="000B77A9"/>
    <w:rsid w:val="000C01C1"/>
    <w:rsid w:val="000C14DE"/>
    <w:rsid w:val="000C182A"/>
    <w:rsid w:val="000C2079"/>
    <w:rsid w:val="000C3D2D"/>
    <w:rsid w:val="000C3E49"/>
    <w:rsid w:val="000C479F"/>
    <w:rsid w:val="000C47D4"/>
    <w:rsid w:val="000C51F9"/>
    <w:rsid w:val="000C5592"/>
    <w:rsid w:val="000C5A24"/>
    <w:rsid w:val="000C5EAC"/>
    <w:rsid w:val="000C5FD9"/>
    <w:rsid w:val="000C72B8"/>
    <w:rsid w:val="000C750E"/>
    <w:rsid w:val="000D15E3"/>
    <w:rsid w:val="000D1AB3"/>
    <w:rsid w:val="000D1DF7"/>
    <w:rsid w:val="000D222D"/>
    <w:rsid w:val="000D245F"/>
    <w:rsid w:val="000D3269"/>
    <w:rsid w:val="000D369F"/>
    <w:rsid w:val="000D4573"/>
    <w:rsid w:val="000D4D63"/>
    <w:rsid w:val="000D5AA5"/>
    <w:rsid w:val="000D5C3C"/>
    <w:rsid w:val="000D5D73"/>
    <w:rsid w:val="000D5D97"/>
    <w:rsid w:val="000D63A8"/>
    <w:rsid w:val="000D749B"/>
    <w:rsid w:val="000D7770"/>
    <w:rsid w:val="000D7E04"/>
    <w:rsid w:val="000E08BF"/>
    <w:rsid w:val="000E0EDE"/>
    <w:rsid w:val="000E15FE"/>
    <w:rsid w:val="000E182F"/>
    <w:rsid w:val="000E2145"/>
    <w:rsid w:val="000E2721"/>
    <w:rsid w:val="000E278C"/>
    <w:rsid w:val="000E2DC7"/>
    <w:rsid w:val="000E39B4"/>
    <w:rsid w:val="000E43C0"/>
    <w:rsid w:val="000E4C20"/>
    <w:rsid w:val="000E4FB0"/>
    <w:rsid w:val="000E5034"/>
    <w:rsid w:val="000E5381"/>
    <w:rsid w:val="000E5737"/>
    <w:rsid w:val="000E586E"/>
    <w:rsid w:val="000E7F63"/>
    <w:rsid w:val="000F01EB"/>
    <w:rsid w:val="000F059B"/>
    <w:rsid w:val="000F1465"/>
    <w:rsid w:val="000F15B7"/>
    <w:rsid w:val="000F1FB0"/>
    <w:rsid w:val="000F2A4C"/>
    <w:rsid w:val="000F3C9B"/>
    <w:rsid w:val="000F3F61"/>
    <w:rsid w:val="000F6181"/>
    <w:rsid w:val="000F6417"/>
    <w:rsid w:val="000F661B"/>
    <w:rsid w:val="000F6DAE"/>
    <w:rsid w:val="000F77CD"/>
    <w:rsid w:val="00100620"/>
    <w:rsid w:val="00100F70"/>
    <w:rsid w:val="00101173"/>
    <w:rsid w:val="001020FE"/>
    <w:rsid w:val="001027CE"/>
    <w:rsid w:val="00103F6D"/>
    <w:rsid w:val="001041CB"/>
    <w:rsid w:val="001043AA"/>
    <w:rsid w:val="0010443C"/>
    <w:rsid w:val="00104E75"/>
    <w:rsid w:val="00104F68"/>
    <w:rsid w:val="00106C28"/>
    <w:rsid w:val="0010755A"/>
    <w:rsid w:val="0010761D"/>
    <w:rsid w:val="00107713"/>
    <w:rsid w:val="00110A6D"/>
    <w:rsid w:val="00110AAD"/>
    <w:rsid w:val="00111449"/>
    <w:rsid w:val="0011181C"/>
    <w:rsid w:val="00111854"/>
    <w:rsid w:val="00111926"/>
    <w:rsid w:val="00112539"/>
    <w:rsid w:val="001128E7"/>
    <w:rsid w:val="00112B62"/>
    <w:rsid w:val="00112E33"/>
    <w:rsid w:val="00113A47"/>
    <w:rsid w:val="0011448D"/>
    <w:rsid w:val="00115E90"/>
    <w:rsid w:val="00116A8C"/>
    <w:rsid w:val="00116BCD"/>
    <w:rsid w:val="0011740A"/>
    <w:rsid w:val="001201FC"/>
    <w:rsid w:val="00120524"/>
    <w:rsid w:val="0012074D"/>
    <w:rsid w:val="001213BC"/>
    <w:rsid w:val="00121854"/>
    <w:rsid w:val="00122BC1"/>
    <w:rsid w:val="001246DE"/>
    <w:rsid w:val="00125724"/>
    <w:rsid w:val="00126823"/>
    <w:rsid w:val="00126B67"/>
    <w:rsid w:val="00126EDD"/>
    <w:rsid w:val="001270C9"/>
    <w:rsid w:val="00127A03"/>
    <w:rsid w:val="00127B11"/>
    <w:rsid w:val="00130012"/>
    <w:rsid w:val="00130418"/>
    <w:rsid w:val="001306B4"/>
    <w:rsid w:val="001307DD"/>
    <w:rsid w:val="00130DDC"/>
    <w:rsid w:val="00130E86"/>
    <w:rsid w:val="00132ACB"/>
    <w:rsid w:val="00132CA6"/>
    <w:rsid w:val="001334F4"/>
    <w:rsid w:val="0013478F"/>
    <w:rsid w:val="001357DA"/>
    <w:rsid w:val="00136631"/>
    <w:rsid w:val="00136910"/>
    <w:rsid w:val="00136B00"/>
    <w:rsid w:val="00137322"/>
    <w:rsid w:val="001373C1"/>
    <w:rsid w:val="00137C05"/>
    <w:rsid w:val="00140D2A"/>
    <w:rsid w:val="001412C4"/>
    <w:rsid w:val="0014151E"/>
    <w:rsid w:val="00143094"/>
    <w:rsid w:val="001433FB"/>
    <w:rsid w:val="00144F7B"/>
    <w:rsid w:val="00145204"/>
    <w:rsid w:val="00146B8B"/>
    <w:rsid w:val="001470C7"/>
    <w:rsid w:val="0014754E"/>
    <w:rsid w:val="001478EE"/>
    <w:rsid w:val="001479DF"/>
    <w:rsid w:val="00150C3B"/>
    <w:rsid w:val="00150F00"/>
    <w:rsid w:val="00150F10"/>
    <w:rsid w:val="0015167F"/>
    <w:rsid w:val="00151744"/>
    <w:rsid w:val="001519F3"/>
    <w:rsid w:val="00151C12"/>
    <w:rsid w:val="00151CC1"/>
    <w:rsid w:val="00151D90"/>
    <w:rsid w:val="001523B7"/>
    <w:rsid w:val="001524BA"/>
    <w:rsid w:val="00152AB3"/>
    <w:rsid w:val="00152BE1"/>
    <w:rsid w:val="00152F70"/>
    <w:rsid w:val="001540B8"/>
    <w:rsid w:val="00154797"/>
    <w:rsid w:val="00155494"/>
    <w:rsid w:val="001555F9"/>
    <w:rsid w:val="001556DC"/>
    <w:rsid w:val="00155A07"/>
    <w:rsid w:val="00155A28"/>
    <w:rsid w:val="00155D25"/>
    <w:rsid w:val="001561FC"/>
    <w:rsid w:val="00156528"/>
    <w:rsid w:val="00157684"/>
    <w:rsid w:val="00157D68"/>
    <w:rsid w:val="00157EF1"/>
    <w:rsid w:val="00160C0B"/>
    <w:rsid w:val="00160D7E"/>
    <w:rsid w:val="001610B6"/>
    <w:rsid w:val="0016126F"/>
    <w:rsid w:val="00161796"/>
    <w:rsid w:val="00161BA1"/>
    <w:rsid w:val="00163148"/>
    <w:rsid w:val="001651ED"/>
    <w:rsid w:val="00165800"/>
    <w:rsid w:val="00165CAE"/>
    <w:rsid w:val="001673C3"/>
    <w:rsid w:val="001705B5"/>
    <w:rsid w:val="0017066B"/>
    <w:rsid w:val="0017066D"/>
    <w:rsid w:val="001707A6"/>
    <w:rsid w:val="00171363"/>
    <w:rsid w:val="0017183C"/>
    <w:rsid w:val="00171E79"/>
    <w:rsid w:val="00172376"/>
    <w:rsid w:val="001729CD"/>
    <w:rsid w:val="00172CFE"/>
    <w:rsid w:val="00174333"/>
    <w:rsid w:val="0017450C"/>
    <w:rsid w:val="00174D24"/>
    <w:rsid w:val="001756CF"/>
    <w:rsid w:val="001758A7"/>
    <w:rsid w:val="00176BCF"/>
    <w:rsid w:val="00176BE5"/>
    <w:rsid w:val="00177058"/>
    <w:rsid w:val="001772DC"/>
    <w:rsid w:val="001777A7"/>
    <w:rsid w:val="0017792C"/>
    <w:rsid w:val="001803F6"/>
    <w:rsid w:val="00180F75"/>
    <w:rsid w:val="00181331"/>
    <w:rsid w:val="0018170E"/>
    <w:rsid w:val="001846E5"/>
    <w:rsid w:val="001851DE"/>
    <w:rsid w:val="001854C5"/>
    <w:rsid w:val="00185A21"/>
    <w:rsid w:val="001862E9"/>
    <w:rsid w:val="00187371"/>
    <w:rsid w:val="001925D6"/>
    <w:rsid w:val="001926B1"/>
    <w:rsid w:val="00192AEC"/>
    <w:rsid w:val="00192B59"/>
    <w:rsid w:val="001948F2"/>
    <w:rsid w:val="00194965"/>
    <w:rsid w:val="00194A67"/>
    <w:rsid w:val="00194A9D"/>
    <w:rsid w:val="001956DE"/>
    <w:rsid w:val="00195D52"/>
    <w:rsid w:val="0019646D"/>
    <w:rsid w:val="00197159"/>
    <w:rsid w:val="0019779F"/>
    <w:rsid w:val="001979ED"/>
    <w:rsid w:val="001A02D5"/>
    <w:rsid w:val="001A03EB"/>
    <w:rsid w:val="001A0DBB"/>
    <w:rsid w:val="001A2008"/>
    <w:rsid w:val="001A2AAF"/>
    <w:rsid w:val="001A2C55"/>
    <w:rsid w:val="001A2F9C"/>
    <w:rsid w:val="001A3825"/>
    <w:rsid w:val="001A392F"/>
    <w:rsid w:val="001A3DCA"/>
    <w:rsid w:val="001A3F17"/>
    <w:rsid w:val="001A4EDE"/>
    <w:rsid w:val="001A4F8C"/>
    <w:rsid w:val="001A5DB9"/>
    <w:rsid w:val="001A5EB6"/>
    <w:rsid w:val="001A64DE"/>
    <w:rsid w:val="001A6A3C"/>
    <w:rsid w:val="001A6ADA"/>
    <w:rsid w:val="001A73A8"/>
    <w:rsid w:val="001A7566"/>
    <w:rsid w:val="001A7572"/>
    <w:rsid w:val="001A7820"/>
    <w:rsid w:val="001A78C0"/>
    <w:rsid w:val="001B011E"/>
    <w:rsid w:val="001B034E"/>
    <w:rsid w:val="001B0C58"/>
    <w:rsid w:val="001B18DD"/>
    <w:rsid w:val="001B1CF9"/>
    <w:rsid w:val="001B24FB"/>
    <w:rsid w:val="001B28A7"/>
    <w:rsid w:val="001B302C"/>
    <w:rsid w:val="001B34A4"/>
    <w:rsid w:val="001B44B1"/>
    <w:rsid w:val="001B654A"/>
    <w:rsid w:val="001B66E9"/>
    <w:rsid w:val="001B732F"/>
    <w:rsid w:val="001B76A3"/>
    <w:rsid w:val="001B776E"/>
    <w:rsid w:val="001B7B16"/>
    <w:rsid w:val="001C006F"/>
    <w:rsid w:val="001C047E"/>
    <w:rsid w:val="001C110F"/>
    <w:rsid w:val="001C1926"/>
    <w:rsid w:val="001C1BF8"/>
    <w:rsid w:val="001C22C7"/>
    <w:rsid w:val="001C2492"/>
    <w:rsid w:val="001C325E"/>
    <w:rsid w:val="001C36F1"/>
    <w:rsid w:val="001C39EA"/>
    <w:rsid w:val="001C3AC9"/>
    <w:rsid w:val="001C4556"/>
    <w:rsid w:val="001C4701"/>
    <w:rsid w:val="001C4D5C"/>
    <w:rsid w:val="001C572E"/>
    <w:rsid w:val="001C6626"/>
    <w:rsid w:val="001C66D9"/>
    <w:rsid w:val="001C7E4C"/>
    <w:rsid w:val="001D0F4A"/>
    <w:rsid w:val="001D18A9"/>
    <w:rsid w:val="001D2CB9"/>
    <w:rsid w:val="001D2EB7"/>
    <w:rsid w:val="001D4149"/>
    <w:rsid w:val="001D43F9"/>
    <w:rsid w:val="001D44F9"/>
    <w:rsid w:val="001D526E"/>
    <w:rsid w:val="001D610E"/>
    <w:rsid w:val="001D62A8"/>
    <w:rsid w:val="001D6B6B"/>
    <w:rsid w:val="001D6D81"/>
    <w:rsid w:val="001E07D0"/>
    <w:rsid w:val="001E0D6D"/>
    <w:rsid w:val="001E189B"/>
    <w:rsid w:val="001E2A8A"/>
    <w:rsid w:val="001E3D29"/>
    <w:rsid w:val="001E3E89"/>
    <w:rsid w:val="001E41A7"/>
    <w:rsid w:val="001E4F93"/>
    <w:rsid w:val="001E508D"/>
    <w:rsid w:val="001E5555"/>
    <w:rsid w:val="001E5D9E"/>
    <w:rsid w:val="001E6534"/>
    <w:rsid w:val="001F0908"/>
    <w:rsid w:val="001F0A0F"/>
    <w:rsid w:val="001F0C94"/>
    <w:rsid w:val="001F0F30"/>
    <w:rsid w:val="001F2074"/>
    <w:rsid w:val="001F247B"/>
    <w:rsid w:val="001F330B"/>
    <w:rsid w:val="001F4382"/>
    <w:rsid w:val="001F43EE"/>
    <w:rsid w:val="001F4C68"/>
    <w:rsid w:val="001F53F7"/>
    <w:rsid w:val="001F6D13"/>
    <w:rsid w:val="001F6EA1"/>
    <w:rsid w:val="001F6F33"/>
    <w:rsid w:val="001F7C3C"/>
    <w:rsid w:val="001F7EE3"/>
    <w:rsid w:val="002003D2"/>
    <w:rsid w:val="002006B7"/>
    <w:rsid w:val="002015FA"/>
    <w:rsid w:val="00201843"/>
    <w:rsid w:val="002024D0"/>
    <w:rsid w:val="0020342A"/>
    <w:rsid w:val="002034FD"/>
    <w:rsid w:val="0020373B"/>
    <w:rsid w:val="00203AD4"/>
    <w:rsid w:val="00203B55"/>
    <w:rsid w:val="00204B1E"/>
    <w:rsid w:val="0020505A"/>
    <w:rsid w:val="00205410"/>
    <w:rsid w:val="0020558F"/>
    <w:rsid w:val="00205782"/>
    <w:rsid w:val="00205915"/>
    <w:rsid w:val="00205C66"/>
    <w:rsid w:val="00205FD5"/>
    <w:rsid w:val="00206D0F"/>
    <w:rsid w:val="00210111"/>
    <w:rsid w:val="00210178"/>
    <w:rsid w:val="00210276"/>
    <w:rsid w:val="00210786"/>
    <w:rsid w:val="002118C3"/>
    <w:rsid w:val="002118D2"/>
    <w:rsid w:val="00211D04"/>
    <w:rsid w:val="00212F74"/>
    <w:rsid w:val="0021332A"/>
    <w:rsid w:val="002139C8"/>
    <w:rsid w:val="00213A5E"/>
    <w:rsid w:val="00213FD0"/>
    <w:rsid w:val="00214084"/>
    <w:rsid w:val="00214D17"/>
    <w:rsid w:val="00214D98"/>
    <w:rsid w:val="00215246"/>
    <w:rsid w:val="00215872"/>
    <w:rsid w:val="0021590A"/>
    <w:rsid w:val="00215DC0"/>
    <w:rsid w:val="00217020"/>
    <w:rsid w:val="00217D24"/>
    <w:rsid w:val="00217F96"/>
    <w:rsid w:val="0022024B"/>
    <w:rsid w:val="002204E6"/>
    <w:rsid w:val="002208CE"/>
    <w:rsid w:val="00220BC8"/>
    <w:rsid w:val="00220C36"/>
    <w:rsid w:val="00220D92"/>
    <w:rsid w:val="002226FA"/>
    <w:rsid w:val="0022344A"/>
    <w:rsid w:val="002246D2"/>
    <w:rsid w:val="002257A9"/>
    <w:rsid w:val="002257D3"/>
    <w:rsid w:val="00225BD6"/>
    <w:rsid w:val="00225D32"/>
    <w:rsid w:val="002265CC"/>
    <w:rsid w:val="002267C0"/>
    <w:rsid w:val="0022707A"/>
    <w:rsid w:val="00227168"/>
    <w:rsid w:val="00227C15"/>
    <w:rsid w:val="00227D7A"/>
    <w:rsid w:val="00230343"/>
    <w:rsid w:val="002303C1"/>
    <w:rsid w:val="00231504"/>
    <w:rsid w:val="00233131"/>
    <w:rsid w:val="00233487"/>
    <w:rsid w:val="00233BDB"/>
    <w:rsid w:val="0023476C"/>
    <w:rsid w:val="002347CE"/>
    <w:rsid w:val="00234D81"/>
    <w:rsid w:val="00235226"/>
    <w:rsid w:val="00235252"/>
    <w:rsid w:val="00235454"/>
    <w:rsid w:val="00235FC7"/>
    <w:rsid w:val="0023627B"/>
    <w:rsid w:val="0023791D"/>
    <w:rsid w:val="002403E1"/>
    <w:rsid w:val="0024056D"/>
    <w:rsid w:val="002410CB"/>
    <w:rsid w:val="00242079"/>
    <w:rsid w:val="0024246D"/>
    <w:rsid w:val="0024378D"/>
    <w:rsid w:val="00243861"/>
    <w:rsid w:val="00243A02"/>
    <w:rsid w:val="00243F5B"/>
    <w:rsid w:val="00244BC2"/>
    <w:rsid w:val="00244DC9"/>
    <w:rsid w:val="00247760"/>
    <w:rsid w:val="002477F5"/>
    <w:rsid w:val="00250C6D"/>
    <w:rsid w:val="00251072"/>
    <w:rsid w:val="002512B4"/>
    <w:rsid w:val="0025185D"/>
    <w:rsid w:val="00251ABC"/>
    <w:rsid w:val="0025241A"/>
    <w:rsid w:val="00252A8F"/>
    <w:rsid w:val="00252AD2"/>
    <w:rsid w:val="00252D49"/>
    <w:rsid w:val="00252D88"/>
    <w:rsid w:val="0025319B"/>
    <w:rsid w:val="00253345"/>
    <w:rsid w:val="002537BB"/>
    <w:rsid w:val="00253DF5"/>
    <w:rsid w:val="00254718"/>
    <w:rsid w:val="00255E31"/>
    <w:rsid w:val="002562ED"/>
    <w:rsid w:val="00256B06"/>
    <w:rsid w:val="00256F0A"/>
    <w:rsid w:val="0025751A"/>
    <w:rsid w:val="002575D3"/>
    <w:rsid w:val="00257A6D"/>
    <w:rsid w:val="00257A98"/>
    <w:rsid w:val="00257C83"/>
    <w:rsid w:val="00257EE8"/>
    <w:rsid w:val="00260120"/>
    <w:rsid w:val="0026024C"/>
    <w:rsid w:val="002602DB"/>
    <w:rsid w:val="002607D2"/>
    <w:rsid w:val="00260C49"/>
    <w:rsid w:val="00261816"/>
    <w:rsid w:val="002619C0"/>
    <w:rsid w:val="00263081"/>
    <w:rsid w:val="002630C9"/>
    <w:rsid w:val="00263122"/>
    <w:rsid w:val="002637C3"/>
    <w:rsid w:val="00263C24"/>
    <w:rsid w:val="00264BBA"/>
    <w:rsid w:val="00264C0F"/>
    <w:rsid w:val="00265EF4"/>
    <w:rsid w:val="00266F80"/>
    <w:rsid w:val="0026757B"/>
    <w:rsid w:val="00267BAA"/>
    <w:rsid w:val="00267CB8"/>
    <w:rsid w:val="00267CB9"/>
    <w:rsid w:val="00267EC7"/>
    <w:rsid w:val="0027130E"/>
    <w:rsid w:val="00271883"/>
    <w:rsid w:val="00272955"/>
    <w:rsid w:val="00273FB4"/>
    <w:rsid w:val="00275B0A"/>
    <w:rsid w:val="00275D39"/>
    <w:rsid w:val="002761E0"/>
    <w:rsid w:val="0027624A"/>
    <w:rsid w:val="00276588"/>
    <w:rsid w:val="00276B14"/>
    <w:rsid w:val="00276BEA"/>
    <w:rsid w:val="00277E27"/>
    <w:rsid w:val="002801C1"/>
    <w:rsid w:val="00280A4C"/>
    <w:rsid w:val="00281E8E"/>
    <w:rsid w:val="00282505"/>
    <w:rsid w:val="00282607"/>
    <w:rsid w:val="00282D99"/>
    <w:rsid w:val="0028303E"/>
    <w:rsid w:val="00283133"/>
    <w:rsid w:val="0028434D"/>
    <w:rsid w:val="002844AF"/>
    <w:rsid w:val="0028473C"/>
    <w:rsid w:val="00285604"/>
    <w:rsid w:val="00286355"/>
    <w:rsid w:val="00286765"/>
    <w:rsid w:val="00286B24"/>
    <w:rsid w:val="00292234"/>
    <w:rsid w:val="002932D0"/>
    <w:rsid w:val="0029332D"/>
    <w:rsid w:val="0029353F"/>
    <w:rsid w:val="002936EA"/>
    <w:rsid w:val="00293A12"/>
    <w:rsid w:val="00294610"/>
    <w:rsid w:val="002948A8"/>
    <w:rsid w:val="0029507D"/>
    <w:rsid w:val="00295CA5"/>
    <w:rsid w:val="00295FCB"/>
    <w:rsid w:val="0029713A"/>
    <w:rsid w:val="002976F3"/>
    <w:rsid w:val="00297E34"/>
    <w:rsid w:val="002A222D"/>
    <w:rsid w:val="002A22C5"/>
    <w:rsid w:val="002A2337"/>
    <w:rsid w:val="002A262D"/>
    <w:rsid w:val="002A2890"/>
    <w:rsid w:val="002A2B8A"/>
    <w:rsid w:val="002A349E"/>
    <w:rsid w:val="002A3590"/>
    <w:rsid w:val="002A3A6E"/>
    <w:rsid w:val="002A41B0"/>
    <w:rsid w:val="002A42BC"/>
    <w:rsid w:val="002A4801"/>
    <w:rsid w:val="002A4CD0"/>
    <w:rsid w:val="002A58C5"/>
    <w:rsid w:val="002A58E6"/>
    <w:rsid w:val="002A5CA7"/>
    <w:rsid w:val="002A6718"/>
    <w:rsid w:val="002A6BA4"/>
    <w:rsid w:val="002A711F"/>
    <w:rsid w:val="002A7E4F"/>
    <w:rsid w:val="002A7F82"/>
    <w:rsid w:val="002B04FF"/>
    <w:rsid w:val="002B0B9F"/>
    <w:rsid w:val="002B0DE6"/>
    <w:rsid w:val="002B31C1"/>
    <w:rsid w:val="002B326A"/>
    <w:rsid w:val="002B33C0"/>
    <w:rsid w:val="002B478C"/>
    <w:rsid w:val="002B568F"/>
    <w:rsid w:val="002B59DC"/>
    <w:rsid w:val="002B7C96"/>
    <w:rsid w:val="002C1391"/>
    <w:rsid w:val="002C191D"/>
    <w:rsid w:val="002C27F8"/>
    <w:rsid w:val="002C284C"/>
    <w:rsid w:val="002C2AFC"/>
    <w:rsid w:val="002C2EA8"/>
    <w:rsid w:val="002C3284"/>
    <w:rsid w:val="002C3ED4"/>
    <w:rsid w:val="002C432E"/>
    <w:rsid w:val="002C4970"/>
    <w:rsid w:val="002C5452"/>
    <w:rsid w:val="002C56D6"/>
    <w:rsid w:val="002C6F41"/>
    <w:rsid w:val="002D09DA"/>
    <w:rsid w:val="002D0BDA"/>
    <w:rsid w:val="002D0BFB"/>
    <w:rsid w:val="002D127B"/>
    <w:rsid w:val="002D1C17"/>
    <w:rsid w:val="002D1E42"/>
    <w:rsid w:val="002D23A6"/>
    <w:rsid w:val="002D298D"/>
    <w:rsid w:val="002D3707"/>
    <w:rsid w:val="002D4EE8"/>
    <w:rsid w:val="002D592F"/>
    <w:rsid w:val="002D61BA"/>
    <w:rsid w:val="002D63DB"/>
    <w:rsid w:val="002D6B16"/>
    <w:rsid w:val="002D7034"/>
    <w:rsid w:val="002D7503"/>
    <w:rsid w:val="002D7D67"/>
    <w:rsid w:val="002E06D2"/>
    <w:rsid w:val="002E082F"/>
    <w:rsid w:val="002E096F"/>
    <w:rsid w:val="002E0D70"/>
    <w:rsid w:val="002E0E75"/>
    <w:rsid w:val="002E131F"/>
    <w:rsid w:val="002E176C"/>
    <w:rsid w:val="002E1F34"/>
    <w:rsid w:val="002E37B7"/>
    <w:rsid w:val="002E3829"/>
    <w:rsid w:val="002E3F1F"/>
    <w:rsid w:val="002E4B01"/>
    <w:rsid w:val="002E4B08"/>
    <w:rsid w:val="002E5179"/>
    <w:rsid w:val="002E5673"/>
    <w:rsid w:val="002E5F93"/>
    <w:rsid w:val="002E6751"/>
    <w:rsid w:val="002E6B78"/>
    <w:rsid w:val="002E6CFD"/>
    <w:rsid w:val="002E7AA2"/>
    <w:rsid w:val="002F1AE0"/>
    <w:rsid w:val="002F1F80"/>
    <w:rsid w:val="002F2757"/>
    <w:rsid w:val="002F3880"/>
    <w:rsid w:val="002F3CAA"/>
    <w:rsid w:val="002F40D3"/>
    <w:rsid w:val="002F426A"/>
    <w:rsid w:val="002F495F"/>
    <w:rsid w:val="002F4BD2"/>
    <w:rsid w:val="002F5463"/>
    <w:rsid w:val="002F559D"/>
    <w:rsid w:val="002F6948"/>
    <w:rsid w:val="002F7E4D"/>
    <w:rsid w:val="002F7FB2"/>
    <w:rsid w:val="003000BC"/>
    <w:rsid w:val="0030034C"/>
    <w:rsid w:val="00300530"/>
    <w:rsid w:val="00300C0C"/>
    <w:rsid w:val="00301040"/>
    <w:rsid w:val="00301D89"/>
    <w:rsid w:val="003021D0"/>
    <w:rsid w:val="0030282D"/>
    <w:rsid w:val="00302BD5"/>
    <w:rsid w:val="0030323D"/>
    <w:rsid w:val="00303A96"/>
    <w:rsid w:val="0030433C"/>
    <w:rsid w:val="00304596"/>
    <w:rsid w:val="00304DE8"/>
    <w:rsid w:val="00304EAF"/>
    <w:rsid w:val="00305E6E"/>
    <w:rsid w:val="00306E00"/>
    <w:rsid w:val="00307777"/>
    <w:rsid w:val="00310B13"/>
    <w:rsid w:val="00311823"/>
    <w:rsid w:val="003118EA"/>
    <w:rsid w:val="00311CA3"/>
    <w:rsid w:val="00311EA2"/>
    <w:rsid w:val="00312474"/>
    <w:rsid w:val="003127BA"/>
    <w:rsid w:val="00312AEE"/>
    <w:rsid w:val="0031381C"/>
    <w:rsid w:val="003138D4"/>
    <w:rsid w:val="00313DEB"/>
    <w:rsid w:val="003146E4"/>
    <w:rsid w:val="003146EC"/>
    <w:rsid w:val="00315222"/>
    <w:rsid w:val="003155F2"/>
    <w:rsid w:val="0031576C"/>
    <w:rsid w:val="00316CCE"/>
    <w:rsid w:val="00316F8A"/>
    <w:rsid w:val="00320DF1"/>
    <w:rsid w:val="00320F81"/>
    <w:rsid w:val="00320F8C"/>
    <w:rsid w:val="003218F8"/>
    <w:rsid w:val="00322AD1"/>
    <w:rsid w:val="00322BBA"/>
    <w:rsid w:val="00323335"/>
    <w:rsid w:val="00323A65"/>
    <w:rsid w:val="00324655"/>
    <w:rsid w:val="0032469D"/>
    <w:rsid w:val="00326589"/>
    <w:rsid w:val="00326774"/>
    <w:rsid w:val="00327041"/>
    <w:rsid w:val="0032705B"/>
    <w:rsid w:val="00327A56"/>
    <w:rsid w:val="00327E92"/>
    <w:rsid w:val="003317EA"/>
    <w:rsid w:val="00332155"/>
    <w:rsid w:val="00332EAF"/>
    <w:rsid w:val="0033318F"/>
    <w:rsid w:val="0033322E"/>
    <w:rsid w:val="00333857"/>
    <w:rsid w:val="00333F38"/>
    <w:rsid w:val="0033462F"/>
    <w:rsid w:val="00336746"/>
    <w:rsid w:val="003367DF"/>
    <w:rsid w:val="00337BB3"/>
    <w:rsid w:val="0034002B"/>
    <w:rsid w:val="003403FE"/>
    <w:rsid w:val="00341211"/>
    <w:rsid w:val="00341694"/>
    <w:rsid w:val="00341CDE"/>
    <w:rsid w:val="003429B1"/>
    <w:rsid w:val="00342EF9"/>
    <w:rsid w:val="00342F2C"/>
    <w:rsid w:val="00343BC8"/>
    <w:rsid w:val="0034420E"/>
    <w:rsid w:val="00344DE8"/>
    <w:rsid w:val="0034508D"/>
    <w:rsid w:val="003464E7"/>
    <w:rsid w:val="0034681F"/>
    <w:rsid w:val="00346F8E"/>
    <w:rsid w:val="00350350"/>
    <w:rsid w:val="00350AB5"/>
    <w:rsid w:val="00351104"/>
    <w:rsid w:val="003517F1"/>
    <w:rsid w:val="00351D36"/>
    <w:rsid w:val="00352C98"/>
    <w:rsid w:val="00353225"/>
    <w:rsid w:val="003542FC"/>
    <w:rsid w:val="003545B2"/>
    <w:rsid w:val="00354A9F"/>
    <w:rsid w:val="00354E94"/>
    <w:rsid w:val="00360A36"/>
    <w:rsid w:val="00360A9B"/>
    <w:rsid w:val="00361156"/>
    <w:rsid w:val="003611D5"/>
    <w:rsid w:val="00361E3B"/>
    <w:rsid w:val="00362066"/>
    <w:rsid w:val="00362A82"/>
    <w:rsid w:val="00362EB9"/>
    <w:rsid w:val="003631CA"/>
    <w:rsid w:val="00363479"/>
    <w:rsid w:val="00363B7D"/>
    <w:rsid w:val="00364A94"/>
    <w:rsid w:val="0036516E"/>
    <w:rsid w:val="003651DB"/>
    <w:rsid w:val="00365276"/>
    <w:rsid w:val="00365545"/>
    <w:rsid w:val="00365744"/>
    <w:rsid w:val="003658C2"/>
    <w:rsid w:val="0036779E"/>
    <w:rsid w:val="003678EF"/>
    <w:rsid w:val="00370603"/>
    <w:rsid w:val="00370637"/>
    <w:rsid w:val="00370B01"/>
    <w:rsid w:val="0037146B"/>
    <w:rsid w:val="003716AF"/>
    <w:rsid w:val="00371F2F"/>
    <w:rsid w:val="00372A97"/>
    <w:rsid w:val="00372BD0"/>
    <w:rsid w:val="00374480"/>
    <w:rsid w:val="00374649"/>
    <w:rsid w:val="00374C69"/>
    <w:rsid w:val="00375B5F"/>
    <w:rsid w:val="00375D7C"/>
    <w:rsid w:val="00375E96"/>
    <w:rsid w:val="003765C5"/>
    <w:rsid w:val="00377082"/>
    <w:rsid w:val="0037797C"/>
    <w:rsid w:val="00377C3A"/>
    <w:rsid w:val="00377C45"/>
    <w:rsid w:val="00377D9E"/>
    <w:rsid w:val="003800BD"/>
    <w:rsid w:val="0038021B"/>
    <w:rsid w:val="003832CA"/>
    <w:rsid w:val="003834D9"/>
    <w:rsid w:val="00383669"/>
    <w:rsid w:val="00383974"/>
    <w:rsid w:val="003858D1"/>
    <w:rsid w:val="003859D5"/>
    <w:rsid w:val="00386074"/>
    <w:rsid w:val="003866EF"/>
    <w:rsid w:val="0038688D"/>
    <w:rsid w:val="0038694E"/>
    <w:rsid w:val="00386D3E"/>
    <w:rsid w:val="00386D5F"/>
    <w:rsid w:val="00386E6A"/>
    <w:rsid w:val="003876BD"/>
    <w:rsid w:val="0039014A"/>
    <w:rsid w:val="0039038A"/>
    <w:rsid w:val="00390D7C"/>
    <w:rsid w:val="00391002"/>
    <w:rsid w:val="00391794"/>
    <w:rsid w:val="003929E7"/>
    <w:rsid w:val="00392AF8"/>
    <w:rsid w:val="00393015"/>
    <w:rsid w:val="003932AC"/>
    <w:rsid w:val="00393955"/>
    <w:rsid w:val="00393A18"/>
    <w:rsid w:val="00393A58"/>
    <w:rsid w:val="003949C7"/>
    <w:rsid w:val="00394AAB"/>
    <w:rsid w:val="00394E25"/>
    <w:rsid w:val="00396BED"/>
    <w:rsid w:val="00397340"/>
    <w:rsid w:val="003975F4"/>
    <w:rsid w:val="0039797E"/>
    <w:rsid w:val="00397AD3"/>
    <w:rsid w:val="003A01A1"/>
    <w:rsid w:val="003A03A7"/>
    <w:rsid w:val="003A1C11"/>
    <w:rsid w:val="003A23F6"/>
    <w:rsid w:val="003A2CF3"/>
    <w:rsid w:val="003A3407"/>
    <w:rsid w:val="003A4837"/>
    <w:rsid w:val="003A4876"/>
    <w:rsid w:val="003A4B1E"/>
    <w:rsid w:val="003A5586"/>
    <w:rsid w:val="003A62C7"/>
    <w:rsid w:val="003B0B8C"/>
    <w:rsid w:val="003B213A"/>
    <w:rsid w:val="003B36CA"/>
    <w:rsid w:val="003B39FE"/>
    <w:rsid w:val="003B3CB4"/>
    <w:rsid w:val="003B4243"/>
    <w:rsid w:val="003B474E"/>
    <w:rsid w:val="003B4865"/>
    <w:rsid w:val="003B4D67"/>
    <w:rsid w:val="003B52C0"/>
    <w:rsid w:val="003B52D1"/>
    <w:rsid w:val="003B5E93"/>
    <w:rsid w:val="003B608A"/>
    <w:rsid w:val="003B69FF"/>
    <w:rsid w:val="003B6AF3"/>
    <w:rsid w:val="003B7281"/>
    <w:rsid w:val="003B72F5"/>
    <w:rsid w:val="003B7373"/>
    <w:rsid w:val="003B79F9"/>
    <w:rsid w:val="003C0A1A"/>
    <w:rsid w:val="003C0DA1"/>
    <w:rsid w:val="003C1699"/>
    <w:rsid w:val="003C1CAD"/>
    <w:rsid w:val="003C1D27"/>
    <w:rsid w:val="003C2E9F"/>
    <w:rsid w:val="003C305D"/>
    <w:rsid w:val="003C3260"/>
    <w:rsid w:val="003C3ABC"/>
    <w:rsid w:val="003C4369"/>
    <w:rsid w:val="003C60EA"/>
    <w:rsid w:val="003C6903"/>
    <w:rsid w:val="003C696A"/>
    <w:rsid w:val="003C6E6E"/>
    <w:rsid w:val="003C6E90"/>
    <w:rsid w:val="003C76D9"/>
    <w:rsid w:val="003C784C"/>
    <w:rsid w:val="003C7E00"/>
    <w:rsid w:val="003D125E"/>
    <w:rsid w:val="003D1486"/>
    <w:rsid w:val="003D1C20"/>
    <w:rsid w:val="003D1F10"/>
    <w:rsid w:val="003D2350"/>
    <w:rsid w:val="003D2F14"/>
    <w:rsid w:val="003D32B1"/>
    <w:rsid w:val="003D350A"/>
    <w:rsid w:val="003D38AE"/>
    <w:rsid w:val="003D3F8F"/>
    <w:rsid w:val="003D4088"/>
    <w:rsid w:val="003D4266"/>
    <w:rsid w:val="003D4D57"/>
    <w:rsid w:val="003D5301"/>
    <w:rsid w:val="003D5D4B"/>
    <w:rsid w:val="003D60B8"/>
    <w:rsid w:val="003D6DDA"/>
    <w:rsid w:val="003E06E7"/>
    <w:rsid w:val="003E13A9"/>
    <w:rsid w:val="003E1560"/>
    <w:rsid w:val="003E1CE1"/>
    <w:rsid w:val="003E2427"/>
    <w:rsid w:val="003E2B06"/>
    <w:rsid w:val="003E318B"/>
    <w:rsid w:val="003E3219"/>
    <w:rsid w:val="003E38E5"/>
    <w:rsid w:val="003E390E"/>
    <w:rsid w:val="003E4283"/>
    <w:rsid w:val="003E4D0B"/>
    <w:rsid w:val="003E660F"/>
    <w:rsid w:val="003E6FF3"/>
    <w:rsid w:val="003E799B"/>
    <w:rsid w:val="003E7F5A"/>
    <w:rsid w:val="003F10E5"/>
    <w:rsid w:val="003F14F0"/>
    <w:rsid w:val="003F1891"/>
    <w:rsid w:val="003F1AD0"/>
    <w:rsid w:val="003F1B31"/>
    <w:rsid w:val="003F1CB7"/>
    <w:rsid w:val="003F20DC"/>
    <w:rsid w:val="003F27E0"/>
    <w:rsid w:val="003F29A3"/>
    <w:rsid w:val="003F2A98"/>
    <w:rsid w:val="003F32FB"/>
    <w:rsid w:val="003F35DA"/>
    <w:rsid w:val="003F3C2A"/>
    <w:rsid w:val="003F4FD5"/>
    <w:rsid w:val="003F5219"/>
    <w:rsid w:val="003F5D13"/>
    <w:rsid w:val="003F6B6C"/>
    <w:rsid w:val="003F7722"/>
    <w:rsid w:val="003F79C7"/>
    <w:rsid w:val="003F7A11"/>
    <w:rsid w:val="003F7B46"/>
    <w:rsid w:val="00400F08"/>
    <w:rsid w:val="004014FE"/>
    <w:rsid w:val="00401EA1"/>
    <w:rsid w:val="00401ECB"/>
    <w:rsid w:val="004023E6"/>
    <w:rsid w:val="00402E8F"/>
    <w:rsid w:val="00402EEB"/>
    <w:rsid w:val="004040C0"/>
    <w:rsid w:val="00404149"/>
    <w:rsid w:val="004048D5"/>
    <w:rsid w:val="00404B1A"/>
    <w:rsid w:val="00405674"/>
    <w:rsid w:val="00405D0E"/>
    <w:rsid w:val="00406B95"/>
    <w:rsid w:val="00406E8B"/>
    <w:rsid w:val="00410098"/>
    <w:rsid w:val="00410A9E"/>
    <w:rsid w:val="0041132D"/>
    <w:rsid w:val="00413667"/>
    <w:rsid w:val="0041396A"/>
    <w:rsid w:val="00414E38"/>
    <w:rsid w:val="00415016"/>
    <w:rsid w:val="004155CE"/>
    <w:rsid w:val="00415B64"/>
    <w:rsid w:val="004164AF"/>
    <w:rsid w:val="0041666A"/>
    <w:rsid w:val="00416BCB"/>
    <w:rsid w:val="004170CA"/>
    <w:rsid w:val="00417560"/>
    <w:rsid w:val="00417972"/>
    <w:rsid w:val="00417BC2"/>
    <w:rsid w:val="00420884"/>
    <w:rsid w:val="0042094B"/>
    <w:rsid w:val="00420FC6"/>
    <w:rsid w:val="004217E2"/>
    <w:rsid w:val="00421F40"/>
    <w:rsid w:val="00422B74"/>
    <w:rsid w:val="00422D2E"/>
    <w:rsid w:val="004232DD"/>
    <w:rsid w:val="004243C5"/>
    <w:rsid w:val="0042458A"/>
    <w:rsid w:val="004254E6"/>
    <w:rsid w:val="00426298"/>
    <w:rsid w:val="00426386"/>
    <w:rsid w:val="00426848"/>
    <w:rsid w:val="00427166"/>
    <w:rsid w:val="0042746F"/>
    <w:rsid w:val="00427AF1"/>
    <w:rsid w:val="004307A4"/>
    <w:rsid w:val="004317CE"/>
    <w:rsid w:val="00431A60"/>
    <w:rsid w:val="004321A6"/>
    <w:rsid w:val="004323F9"/>
    <w:rsid w:val="00433C39"/>
    <w:rsid w:val="0043540E"/>
    <w:rsid w:val="004354FF"/>
    <w:rsid w:val="004368BD"/>
    <w:rsid w:val="00436E29"/>
    <w:rsid w:val="004401BD"/>
    <w:rsid w:val="004402A9"/>
    <w:rsid w:val="00441938"/>
    <w:rsid w:val="00442195"/>
    <w:rsid w:val="00442660"/>
    <w:rsid w:val="0044360D"/>
    <w:rsid w:val="00443B42"/>
    <w:rsid w:val="00445A56"/>
    <w:rsid w:val="004466D4"/>
    <w:rsid w:val="00446A92"/>
    <w:rsid w:val="004470CE"/>
    <w:rsid w:val="00447B1B"/>
    <w:rsid w:val="00447D82"/>
    <w:rsid w:val="0045067B"/>
    <w:rsid w:val="00450C00"/>
    <w:rsid w:val="00450ECF"/>
    <w:rsid w:val="00450F16"/>
    <w:rsid w:val="00451158"/>
    <w:rsid w:val="00452B1F"/>
    <w:rsid w:val="00452D5C"/>
    <w:rsid w:val="00454958"/>
    <w:rsid w:val="00454BBC"/>
    <w:rsid w:val="00454E96"/>
    <w:rsid w:val="00455581"/>
    <w:rsid w:val="00456155"/>
    <w:rsid w:val="0045630B"/>
    <w:rsid w:val="00460055"/>
    <w:rsid w:val="00460516"/>
    <w:rsid w:val="00460AE5"/>
    <w:rsid w:val="00460B8C"/>
    <w:rsid w:val="00460DDA"/>
    <w:rsid w:val="00461350"/>
    <w:rsid w:val="00461C70"/>
    <w:rsid w:val="00462230"/>
    <w:rsid w:val="0046262E"/>
    <w:rsid w:val="00463154"/>
    <w:rsid w:val="004638AF"/>
    <w:rsid w:val="00464E7F"/>
    <w:rsid w:val="00465125"/>
    <w:rsid w:val="004651CD"/>
    <w:rsid w:val="00465303"/>
    <w:rsid w:val="00465769"/>
    <w:rsid w:val="0046595D"/>
    <w:rsid w:val="0046613A"/>
    <w:rsid w:val="004670F7"/>
    <w:rsid w:val="004670F9"/>
    <w:rsid w:val="004671AE"/>
    <w:rsid w:val="0046736C"/>
    <w:rsid w:val="004676FE"/>
    <w:rsid w:val="0046797F"/>
    <w:rsid w:val="004705BC"/>
    <w:rsid w:val="004711C5"/>
    <w:rsid w:val="0047185F"/>
    <w:rsid w:val="00471A6A"/>
    <w:rsid w:val="004722A1"/>
    <w:rsid w:val="00472997"/>
    <w:rsid w:val="004742CC"/>
    <w:rsid w:val="004742FA"/>
    <w:rsid w:val="00474A6B"/>
    <w:rsid w:val="00475449"/>
    <w:rsid w:val="00475A59"/>
    <w:rsid w:val="00476494"/>
    <w:rsid w:val="004767C4"/>
    <w:rsid w:val="00476C71"/>
    <w:rsid w:val="00477960"/>
    <w:rsid w:val="00480C1A"/>
    <w:rsid w:val="00481703"/>
    <w:rsid w:val="0048254B"/>
    <w:rsid w:val="00482CFF"/>
    <w:rsid w:val="00483FEB"/>
    <w:rsid w:val="004844C3"/>
    <w:rsid w:val="00484B99"/>
    <w:rsid w:val="00485315"/>
    <w:rsid w:val="0048600A"/>
    <w:rsid w:val="00486011"/>
    <w:rsid w:val="00487210"/>
    <w:rsid w:val="00487707"/>
    <w:rsid w:val="00490AEB"/>
    <w:rsid w:val="00490CAE"/>
    <w:rsid w:val="00491F56"/>
    <w:rsid w:val="00492028"/>
    <w:rsid w:val="0049212C"/>
    <w:rsid w:val="00492D6C"/>
    <w:rsid w:val="00492DF6"/>
    <w:rsid w:val="00495081"/>
    <w:rsid w:val="00496AB7"/>
    <w:rsid w:val="00496E39"/>
    <w:rsid w:val="00496EFD"/>
    <w:rsid w:val="00497D21"/>
    <w:rsid w:val="00497EAC"/>
    <w:rsid w:val="004A00DC"/>
    <w:rsid w:val="004A0458"/>
    <w:rsid w:val="004A100D"/>
    <w:rsid w:val="004A1AEE"/>
    <w:rsid w:val="004A349A"/>
    <w:rsid w:val="004A35BE"/>
    <w:rsid w:val="004A3D17"/>
    <w:rsid w:val="004A42CD"/>
    <w:rsid w:val="004A5958"/>
    <w:rsid w:val="004A675F"/>
    <w:rsid w:val="004A728F"/>
    <w:rsid w:val="004A734E"/>
    <w:rsid w:val="004B2C91"/>
    <w:rsid w:val="004B3086"/>
    <w:rsid w:val="004B446E"/>
    <w:rsid w:val="004B489A"/>
    <w:rsid w:val="004B4A25"/>
    <w:rsid w:val="004B5A17"/>
    <w:rsid w:val="004B6021"/>
    <w:rsid w:val="004B6A5A"/>
    <w:rsid w:val="004B6C85"/>
    <w:rsid w:val="004C0516"/>
    <w:rsid w:val="004C0A1F"/>
    <w:rsid w:val="004C0E3D"/>
    <w:rsid w:val="004C16EB"/>
    <w:rsid w:val="004C26F8"/>
    <w:rsid w:val="004C3862"/>
    <w:rsid w:val="004C4A6C"/>
    <w:rsid w:val="004C4D31"/>
    <w:rsid w:val="004C536A"/>
    <w:rsid w:val="004C5A4A"/>
    <w:rsid w:val="004C5D82"/>
    <w:rsid w:val="004C63B1"/>
    <w:rsid w:val="004C6939"/>
    <w:rsid w:val="004C7AAC"/>
    <w:rsid w:val="004C7F34"/>
    <w:rsid w:val="004D0126"/>
    <w:rsid w:val="004D0633"/>
    <w:rsid w:val="004D0675"/>
    <w:rsid w:val="004D069D"/>
    <w:rsid w:val="004D10E6"/>
    <w:rsid w:val="004D21C8"/>
    <w:rsid w:val="004D2B1E"/>
    <w:rsid w:val="004D2BAA"/>
    <w:rsid w:val="004D399E"/>
    <w:rsid w:val="004D3D4B"/>
    <w:rsid w:val="004D4C98"/>
    <w:rsid w:val="004D5307"/>
    <w:rsid w:val="004D5368"/>
    <w:rsid w:val="004D5FE5"/>
    <w:rsid w:val="004D62CA"/>
    <w:rsid w:val="004D6785"/>
    <w:rsid w:val="004D69E5"/>
    <w:rsid w:val="004D7435"/>
    <w:rsid w:val="004E002A"/>
    <w:rsid w:val="004E02AE"/>
    <w:rsid w:val="004E08AA"/>
    <w:rsid w:val="004E0CA1"/>
    <w:rsid w:val="004E1DE8"/>
    <w:rsid w:val="004E2D91"/>
    <w:rsid w:val="004E3C51"/>
    <w:rsid w:val="004E485E"/>
    <w:rsid w:val="004E5175"/>
    <w:rsid w:val="004E5366"/>
    <w:rsid w:val="004E5AFA"/>
    <w:rsid w:val="004E60B1"/>
    <w:rsid w:val="004E6571"/>
    <w:rsid w:val="004E6AC0"/>
    <w:rsid w:val="004E6EFA"/>
    <w:rsid w:val="004E6F83"/>
    <w:rsid w:val="004F030C"/>
    <w:rsid w:val="004F0E3E"/>
    <w:rsid w:val="004F1641"/>
    <w:rsid w:val="004F1987"/>
    <w:rsid w:val="004F1A10"/>
    <w:rsid w:val="004F29EE"/>
    <w:rsid w:val="004F3A05"/>
    <w:rsid w:val="004F3B1E"/>
    <w:rsid w:val="004F41E4"/>
    <w:rsid w:val="004F438D"/>
    <w:rsid w:val="004F445B"/>
    <w:rsid w:val="004F5AB0"/>
    <w:rsid w:val="004F5B3B"/>
    <w:rsid w:val="004F5C24"/>
    <w:rsid w:val="004F6877"/>
    <w:rsid w:val="004F6A44"/>
    <w:rsid w:val="004F6CC3"/>
    <w:rsid w:val="004F7366"/>
    <w:rsid w:val="00500650"/>
    <w:rsid w:val="00500C4B"/>
    <w:rsid w:val="00501028"/>
    <w:rsid w:val="00501550"/>
    <w:rsid w:val="005017BE"/>
    <w:rsid w:val="00501C60"/>
    <w:rsid w:val="00501F6A"/>
    <w:rsid w:val="00503857"/>
    <w:rsid w:val="00503C79"/>
    <w:rsid w:val="005043E6"/>
    <w:rsid w:val="00507027"/>
    <w:rsid w:val="0050797C"/>
    <w:rsid w:val="00507E47"/>
    <w:rsid w:val="0051009A"/>
    <w:rsid w:val="005105AB"/>
    <w:rsid w:val="00511436"/>
    <w:rsid w:val="00511B13"/>
    <w:rsid w:val="00511CA4"/>
    <w:rsid w:val="00511F29"/>
    <w:rsid w:val="005130C1"/>
    <w:rsid w:val="005147AF"/>
    <w:rsid w:val="00514D7E"/>
    <w:rsid w:val="00515649"/>
    <w:rsid w:val="0051582E"/>
    <w:rsid w:val="005167CB"/>
    <w:rsid w:val="00516A4C"/>
    <w:rsid w:val="005175F4"/>
    <w:rsid w:val="005202E3"/>
    <w:rsid w:val="005205C6"/>
    <w:rsid w:val="005212E7"/>
    <w:rsid w:val="00521642"/>
    <w:rsid w:val="00521920"/>
    <w:rsid w:val="00521B67"/>
    <w:rsid w:val="005228AE"/>
    <w:rsid w:val="005233FC"/>
    <w:rsid w:val="00523BF9"/>
    <w:rsid w:val="0052439C"/>
    <w:rsid w:val="00524771"/>
    <w:rsid w:val="00524FFA"/>
    <w:rsid w:val="0052508A"/>
    <w:rsid w:val="00526160"/>
    <w:rsid w:val="00527129"/>
    <w:rsid w:val="005272E3"/>
    <w:rsid w:val="0052787E"/>
    <w:rsid w:val="00527F7D"/>
    <w:rsid w:val="00530262"/>
    <w:rsid w:val="00530EB9"/>
    <w:rsid w:val="00531B5A"/>
    <w:rsid w:val="00531B60"/>
    <w:rsid w:val="00532C88"/>
    <w:rsid w:val="00532EC8"/>
    <w:rsid w:val="0053439F"/>
    <w:rsid w:val="0053590F"/>
    <w:rsid w:val="005359CF"/>
    <w:rsid w:val="00535FA0"/>
    <w:rsid w:val="0053630A"/>
    <w:rsid w:val="00536B37"/>
    <w:rsid w:val="00537A18"/>
    <w:rsid w:val="00537B50"/>
    <w:rsid w:val="00540000"/>
    <w:rsid w:val="00540458"/>
    <w:rsid w:val="0054075C"/>
    <w:rsid w:val="005407C2"/>
    <w:rsid w:val="005418E8"/>
    <w:rsid w:val="00542410"/>
    <w:rsid w:val="00542A90"/>
    <w:rsid w:val="00542ADC"/>
    <w:rsid w:val="00542E76"/>
    <w:rsid w:val="00543041"/>
    <w:rsid w:val="005435DC"/>
    <w:rsid w:val="00543E96"/>
    <w:rsid w:val="005441DC"/>
    <w:rsid w:val="0054475C"/>
    <w:rsid w:val="00544F30"/>
    <w:rsid w:val="0054522E"/>
    <w:rsid w:val="00545E81"/>
    <w:rsid w:val="00545F2F"/>
    <w:rsid w:val="00546B4B"/>
    <w:rsid w:val="00546B52"/>
    <w:rsid w:val="00547A1A"/>
    <w:rsid w:val="00547DFF"/>
    <w:rsid w:val="005500B5"/>
    <w:rsid w:val="00550188"/>
    <w:rsid w:val="00550754"/>
    <w:rsid w:val="00550DBA"/>
    <w:rsid w:val="00551625"/>
    <w:rsid w:val="00552020"/>
    <w:rsid w:val="005521B1"/>
    <w:rsid w:val="00552526"/>
    <w:rsid w:val="00552A12"/>
    <w:rsid w:val="00552A32"/>
    <w:rsid w:val="00554D69"/>
    <w:rsid w:val="0055521E"/>
    <w:rsid w:val="0055626C"/>
    <w:rsid w:val="005564E7"/>
    <w:rsid w:val="005567B3"/>
    <w:rsid w:val="005579D1"/>
    <w:rsid w:val="00557E51"/>
    <w:rsid w:val="00560268"/>
    <w:rsid w:val="00560FA1"/>
    <w:rsid w:val="00561971"/>
    <w:rsid w:val="00561C48"/>
    <w:rsid w:val="005623B8"/>
    <w:rsid w:val="00562C38"/>
    <w:rsid w:val="005633BB"/>
    <w:rsid w:val="0056384E"/>
    <w:rsid w:val="00565381"/>
    <w:rsid w:val="005669C6"/>
    <w:rsid w:val="00566AC0"/>
    <w:rsid w:val="00567339"/>
    <w:rsid w:val="0056784A"/>
    <w:rsid w:val="00571150"/>
    <w:rsid w:val="0057137E"/>
    <w:rsid w:val="0057225A"/>
    <w:rsid w:val="00572269"/>
    <w:rsid w:val="00573088"/>
    <w:rsid w:val="005732F2"/>
    <w:rsid w:val="00573ACC"/>
    <w:rsid w:val="00573BFC"/>
    <w:rsid w:val="00574818"/>
    <w:rsid w:val="005749C9"/>
    <w:rsid w:val="00574A12"/>
    <w:rsid w:val="00575033"/>
    <w:rsid w:val="0057541B"/>
    <w:rsid w:val="0057571C"/>
    <w:rsid w:val="00575767"/>
    <w:rsid w:val="0057579C"/>
    <w:rsid w:val="005761ED"/>
    <w:rsid w:val="005762BD"/>
    <w:rsid w:val="005817C2"/>
    <w:rsid w:val="005818C6"/>
    <w:rsid w:val="005820CE"/>
    <w:rsid w:val="005827F9"/>
    <w:rsid w:val="0058300B"/>
    <w:rsid w:val="005842F4"/>
    <w:rsid w:val="005847DD"/>
    <w:rsid w:val="00585E4F"/>
    <w:rsid w:val="0058696A"/>
    <w:rsid w:val="00586F5F"/>
    <w:rsid w:val="00587EBE"/>
    <w:rsid w:val="00591A53"/>
    <w:rsid w:val="005922F8"/>
    <w:rsid w:val="00592C5D"/>
    <w:rsid w:val="00593DF6"/>
    <w:rsid w:val="0059411A"/>
    <w:rsid w:val="00594497"/>
    <w:rsid w:val="00594FC0"/>
    <w:rsid w:val="0059533B"/>
    <w:rsid w:val="00595C58"/>
    <w:rsid w:val="00595C76"/>
    <w:rsid w:val="005968E7"/>
    <w:rsid w:val="00597033"/>
    <w:rsid w:val="005973B4"/>
    <w:rsid w:val="005976F5"/>
    <w:rsid w:val="005977EB"/>
    <w:rsid w:val="005A031A"/>
    <w:rsid w:val="005A0B87"/>
    <w:rsid w:val="005A15A6"/>
    <w:rsid w:val="005A198B"/>
    <w:rsid w:val="005A2664"/>
    <w:rsid w:val="005A28E2"/>
    <w:rsid w:val="005A2E19"/>
    <w:rsid w:val="005A3A52"/>
    <w:rsid w:val="005A3AFE"/>
    <w:rsid w:val="005A3C1E"/>
    <w:rsid w:val="005A3CF8"/>
    <w:rsid w:val="005A4878"/>
    <w:rsid w:val="005A4932"/>
    <w:rsid w:val="005A4B7E"/>
    <w:rsid w:val="005A5525"/>
    <w:rsid w:val="005A5C82"/>
    <w:rsid w:val="005A5F53"/>
    <w:rsid w:val="005A6668"/>
    <w:rsid w:val="005A68E4"/>
    <w:rsid w:val="005A6961"/>
    <w:rsid w:val="005A72C3"/>
    <w:rsid w:val="005B0A57"/>
    <w:rsid w:val="005B0F20"/>
    <w:rsid w:val="005B13E1"/>
    <w:rsid w:val="005B1A56"/>
    <w:rsid w:val="005B3711"/>
    <w:rsid w:val="005B41A3"/>
    <w:rsid w:val="005B489D"/>
    <w:rsid w:val="005B4988"/>
    <w:rsid w:val="005B59FE"/>
    <w:rsid w:val="005B63BF"/>
    <w:rsid w:val="005B663D"/>
    <w:rsid w:val="005B6C0E"/>
    <w:rsid w:val="005B7D41"/>
    <w:rsid w:val="005C0903"/>
    <w:rsid w:val="005C0AE6"/>
    <w:rsid w:val="005C0C6C"/>
    <w:rsid w:val="005C0E02"/>
    <w:rsid w:val="005C0E2F"/>
    <w:rsid w:val="005C13F1"/>
    <w:rsid w:val="005C1F23"/>
    <w:rsid w:val="005C2834"/>
    <w:rsid w:val="005C2D63"/>
    <w:rsid w:val="005C35AA"/>
    <w:rsid w:val="005C3B64"/>
    <w:rsid w:val="005C3C36"/>
    <w:rsid w:val="005C4FF1"/>
    <w:rsid w:val="005C52DE"/>
    <w:rsid w:val="005C5975"/>
    <w:rsid w:val="005C5D06"/>
    <w:rsid w:val="005C62FB"/>
    <w:rsid w:val="005C708C"/>
    <w:rsid w:val="005D0161"/>
    <w:rsid w:val="005D116A"/>
    <w:rsid w:val="005D146C"/>
    <w:rsid w:val="005D14D6"/>
    <w:rsid w:val="005D17E7"/>
    <w:rsid w:val="005D27A4"/>
    <w:rsid w:val="005D338F"/>
    <w:rsid w:val="005D366F"/>
    <w:rsid w:val="005D38E7"/>
    <w:rsid w:val="005D5A73"/>
    <w:rsid w:val="005D63F8"/>
    <w:rsid w:val="005D66EF"/>
    <w:rsid w:val="005D6DC5"/>
    <w:rsid w:val="005D7071"/>
    <w:rsid w:val="005D74BD"/>
    <w:rsid w:val="005D7CC5"/>
    <w:rsid w:val="005E01F4"/>
    <w:rsid w:val="005E0426"/>
    <w:rsid w:val="005E0BD6"/>
    <w:rsid w:val="005E10B5"/>
    <w:rsid w:val="005E1467"/>
    <w:rsid w:val="005E24B4"/>
    <w:rsid w:val="005E346A"/>
    <w:rsid w:val="005E3AEB"/>
    <w:rsid w:val="005E4578"/>
    <w:rsid w:val="005E492A"/>
    <w:rsid w:val="005E58EF"/>
    <w:rsid w:val="005E5CF5"/>
    <w:rsid w:val="005E60D3"/>
    <w:rsid w:val="005E7841"/>
    <w:rsid w:val="005F01B8"/>
    <w:rsid w:val="005F055C"/>
    <w:rsid w:val="005F17EE"/>
    <w:rsid w:val="005F1B0C"/>
    <w:rsid w:val="005F259A"/>
    <w:rsid w:val="005F31C2"/>
    <w:rsid w:val="005F451D"/>
    <w:rsid w:val="005F4B67"/>
    <w:rsid w:val="005F589E"/>
    <w:rsid w:val="005F62AB"/>
    <w:rsid w:val="005F6856"/>
    <w:rsid w:val="005F6EF3"/>
    <w:rsid w:val="005F759C"/>
    <w:rsid w:val="00600476"/>
    <w:rsid w:val="006007CF"/>
    <w:rsid w:val="00600D60"/>
    <w:rsid w:val="00601A62"/>
    <w:rsid w:val="00601D31"/>
    <w:rsid w:val="00603589"/>
    <w:rsid w:val="00604559"/>
    <w:rsid w:val="00605355"/>
    <w:rsid w:val="00605573"/>
    <w:rsid w:val="0060574B"/>
    <w:rsid w:val="00605E93"/>
    <w:rsid w:val="006064E3"/>
    <w:rsid w:val="00606711"/>
    <w:rsid w:val="00606AD6"/>
    <w:rsid w:val="006070EA"/>
    <w:rsid w:val="006071ED"/>
    <w:rsid w:val="00607F63"/>
    <w:rsid w:val="00610506"/>
    <w:rsid w:val="00610C70"/>
    <w:rsid w:val="00610C86"/>
    <w:rsid w:val="00611E5F"/>
    <w:rsid w:val="00612D70"/>
    <w:rsid w:val="00613711"/>
    <w:rsid w:val="0061646C"/>
    <w:rsid w:val="006165DF"/>
    <w:rsid w:val="00616909"/>
    <w:rsid w:val="00616B2B"/>
    <w:rsid w:val="00616F2B"/>
    <w:rsid w:val="00617910"/>
    <w:rsid w:val="00620DEE"/>
    <w:rsid w:val="0062147C"/>
    <w:rsid w:val="00622224"/>
    <w:rsid w:val="00624E11"/>
    <w:rsid w:val="0062505A"/>
    <w:rsid w:val="00625AC4"/>
    <w:rsid w:val="00625B23"/>
    <w:rsid w:val="00625D9C"/>
    <w:rsid w:val="0062720B"/>
    <w:rsid w:val="00627300"/>
    <w:rsid w:val="0062733C"/>
    <w:rsid w:val="00627FC4"/>
    <w:rsid w:val="00630CD1"/>
    <w:rsid w:val="00631015"/>
    <w:rsid w:val="0063156C"/>
    <w:rsid w:val="006315E9"/>
    <w:rsid w:val="006328C6"/>
    <w:rsid w:val="00632EE2"/>
    <w:rsid w:val="00633196"/>
    <w:rsid w:val="00633DA1"/>
    <w:rsid w:val="00634591"/>
    <w:rsid w:val="006348B8"/>
    <w:rsid w:val="006351CA"/>
    <w:rsid w:val="006359AC"/>
    <w:rsid w:val="00635EC1"/>
    <w:rsid w:val="00636673"/>
    <w:rsid w:val="00637F00"/>
    <w:rsid w:val="00640174"/>
    <w:rsid w:val="0064030C"/>
    <w:rsid w:val="006403FE"/>
    <w:rsid w:val="00640505"/>
    <w:rsid w:val="0064076B"/>
    <w:rsid w:val="00640D38"/>
    <w:rsid w:val="00640EA7"/>
    <w:rsid w:val="00641362"/>
    <w:rsid w:val="006415BC"/>
    <w:rsid w:val="0064161D"/>
    <w:rsid w:val="006423F2"/>
    <w:rsid w:val="00642942"/>
    <w:rsid w:val="00642E4C"/>
    <w:rsid w:val="00643A9C"/>
    <w:rsid w:val="00643D69"/>
    <w:rsid w:val="006449FC"/>
    <w:rsid w:val="00644D24"/>
    <w:rsid w:val="00645722"/>
    <w:rsid w:val="006458D0"/>
    <w:rsid w:val="00645C17"/>
    <w:rsid w:val="006461DE"/>
    <w:rsid w:val="006467BA"/>
    <w:rsid w:val="00647CCA"/>
    <w:rsid w:val="00650193"/>
    <w:rsid w:val="00650553"/>
    <w:rsid w:val="0065127D"/>
    <w:rsid w:val="006514BB"/>
    <w:rsid w:val="006517AB"/>
    <w:rsid w:val="00652096"/>
    <w:rsid w:val="00654835"/>
    <w:rsid w:val="00654FA6"/>
    <w:rsid w:val="00655692"/>
    <w:rsid w:val="00655785"/>
    <w:rsid w:val="006564D8"/>
    <w:rsid w:val="00656663"/>
    <w:rsid w:val="0065685B"/>
    <w:rsid w:val="006570F1"/>
    <w:rsid w:val="0065776B"/>
    <w:rsid w:val="00657927"/>
    <w:rsid w:val="006606B3"/>
    <w:rsid w:val="006606FF"/>
    <w:rsid w:val="00660A78"/>
    <w:rsid w:val="00661656"/>
    <w:rsid w:val="00661DD6"/>
    <w:rsid w:val="00661DDD"/>
    <w:rsid w:val="00663601"/>
    <w:rsid w:val="00663DEB"/>
    <w:rsid w:val="00664147"/>
    <w:rsid w:val="006645B5"/>
    <w:rsid w:val="00664E2A"/>
    <w:rsid w:val="00665EF3"/>
    <w:rsid w:val="006662EE"/>
    <w:rsid w:val="00666349"/>
    <w:rsid w:val="0066694E"/>
    <w:rsid w:val="006677CA"/>
    <w:rsid w:val="00667CA9"/>
    <w:rsid w:val="00670D71"/>
    <w:rsid w:val="00670F74"/>
    <w:rsid w:val="006711B4"/>
    <w:rsid w:val="00672621"/>
    <w:rsid w:val="00672C39"/>
    <w:rsid w:val="006738E4"/>
    <w:rsid w:val="00674209"/>
    <w:rsid w:val="0067447E"/>
    <w:rsid w:val="006748F3"/>
    <w:rsid w:val="006749C3"/>
    <w:rsid w:val="00676DCF"/>
    <w:rsid w:val="00676E28"/>
    <w:rsid w:val="006774A8"/>
    <w:rsid w:val="006775F5"/>
    <w:rsid w:val="00677F4B"/>
    <w:rsid w:val="006802CA"/>
    <w:rsid w:val="0068056D"/>
    <w:rsid w:val="006807BE"/>
    <w:rsid w:val="00681F86"/>
    <w:rsid w:val="0068231A"/>
    <w:rsid w:val="00682394"/>
    <w:rsid w:val="006823A0"/>
    <w:rsid w:val="006823F5"/>
    <w:rsid w:val="0068255D"/>
    <w:rsid w:val="006828A2"/>
    <w:rsid w:val="006834AA"/>
    <w:rsid w:val="00683A75"/>
    <w:rsid w:val="00683CF2"/>
    <w:rsid w:val="00683FF0"/>
    <w:rsid w:val="00684099"/>
    <w:rsid w:val="0068493C"/>
    <w:rsid w:val="00684C99"/>
    <w:rsid w:val="00684F04"/>
    <w:rsid w:val="006853C1"/>
    <w:rsid w:val="00686158"/>
    <w:rsid w:val="00686A20"/>
    <w:rsid w:val="00686D0D"/>
    <w:rsid w:val="00690A0F"/>
    <w:rsid w:val="006917A2"/>
    <w:rsid w:val="00691911"/>
    <w:rsid w:val="00691BF5"/>
    <w:rsid w:val="006920A6"/>
    <w:rsid w:val="00692C53"/>
    <w:rsid w:val="00693145"/>
    <w:rsid w:val="00693C11"/>
    <w:rsid w:val="00693DD8"/>
    <w:rsid w:val="00694168"/>
    <w:rsid w:val="00694B79"/>
    <w:rsid w:val="00694DE3"/>
    <w:rsid w:val="006953F4"/>
    <w:rsid w:val="00695C4D"/>
    <w:rsid w:val="00696435"/>
    <w:rsid w:val="00696B3E"/>
    <w:rsid w:val="006A127B"/>
    <w:rsid w:val="006A1A61"/>
    <w:rsid w:val="006A3253"/>
    <w:rsid w:val="006A369D"/>
    <w:rsid w:val="006A3B0C"/>
    <w:rsid w:val="006A42C9"/>
    <w:rsid w:val="006A45EC"/>
    <w:rsid w:val="006A48EC"/>
    <w:rsid w:val="006A6056"/>
    <w:rsid w:val="006A67A6"/>
    <w:rsid w:val="006A734D"/>
    <w:rsid w:val="006A75E5"/>
    <w:rsid w:val="006A7EE0"/>
    <w:rsid w:val="006B04B4"/>
    <w:rsid w:val="006B0E9E"/>
    <w:rsid w:val="006B241F"/>
    <w:rsid w:val="006B2501"/>
    <w:rsid w:val="006B32A9"/>
    <w:rsid w:val="006B3A75"/>
    <w:rsid w:val="006B3EBB"/>
    <w:rsid w:val="006B46B6"/>
    <w:rsid w:val="006B56E0"/>
    <w:rsid w:val="006B57FD"/>
    <w:rsid w:val="006B5D1E"/>
    <w:rsid w:val="006B6167"/>
    <w:rsid w:val="006B643F"/>
    <w:rsid w:val="006B7AC5"/>
    <w:rsid w:val="006B7F9D"/>
    <w:rsid w:val="006C094E"/>
    <w:rsid w:val="006C1520"/>
    <w:rsid w:val="006C1613"/>
    <w:rsid w:val="006C1D9C"/>
    <w:rsid w:val="006C20DE"/>
    <w:rsid w:val="006C282F"/>
    <w:rsid w:val="006C286A"/>
    <w:rsid w:val="006C2B56"/>
    <w:rsid w:val="006C2E91"/>
    <w:rsid w:val="006C3A75"/>
    <w:rsid w:val="006C3ADB"/>
    <w:rsid w:val="006C3D7D"/>
    <w:rsid w:val="006C454C"/>
    <w:rsid w:val="006C4772"/>
    <w:rsid w:val="006C4F8C"/>
    <w:rsid w:val="006C561C"/>
    <w:rsid w:val="006C6512"/>
    <w:rsid w:val="006C6E96"/>
    <w:rsid w:val="006C7149"/>
    <w:rsid w:val="006C766E"/>
    <w:rsid w:val="006D007D"/>
    <w:rsid w:val="006D05AE"/>
    <w:rsid w:val="006D0B7B"/>
    <w:rsid w:val="006D146A"/>
    <w:rsid w:val="006D158C"/>
    <w:rsid w:val="006D16B2"/>
    <w:rsid w:val="006D16F5"/>
    <w:rsid w:val="006D175C"/>
    <w:rsid w:val="006D1851"/>
    <w:rsid w:val="006D1FC5"/>
    <w:rsid w:val="006D2003"/>
    <w:rsid w:val="006D235A"/>
    <w:rsid w:val="006D4335"/>
    <w:rsid w:val="006D440C"/>
    <w:rsid w:val="006D4CA6"/>
    <w:rsid w:val="006D5366"/>
    <w:rsid w:val="006D57EE"/>
    <w:rsid w:val="006D6306"/>
    <w:rsid w:val="006D6547"/>
    <w:rsid w:val="006D736C"/>
    <w:rsid w:val="006E027D"/>
    <w:rsid w:val="006E037B"/>
    <w:rsid w:val="006E0446"/>
    <w:rsid w:val="006E065D"/>
    <w:rsid w:val="006E09CC"/>
    <w:rsid w:val="006E1DD3"/>
    <w:rsid w:val="006E24F6"/>
    <w:rsid w:val="006E294B"/>
    <w:rsid w:val="006E2A54"/>
    <w:rsid w:val="006E3782"/>
    <w:rsid w:val="006E43CA"/>
    <w:rsid w:val="006E4AE4"/>
    <w:rsid w:val="006E5100"/>
    <w:rsid w:val="006E56D5"/>
    <w:rsid w:val="006E59EF"/>
    <w:rsid w:val="006F006C"/>
    <w:rsid w:val="006F035B"/>
    <w:rsid w:val="006F0B23"/>
    <w:rsid w:val="006F2394"/>
    <w:rsid w:val="006F2D92"/>
    <w:rsid w:val="006F2DBE"/>
    <w:rsid w:val="006F431D"/>
    <w:rsid w:val="006F4CB7"/>
    <w:rsid w:val="006F4DC2"/>
    <w:rsid w:val="006F5455"/>
    <w:rsid w:val="006F638D"/>
    <w:rsid w:val="006F66F0"/>
    <w:rsid w:val="006F6BD0"/>
    <w:rsid w:val="006F71C3"/>
    <w:rsid w:val="006F79AA"/>
    <w:rsid w:val="007006FA"/>
    <w:rsid w:val="00700C54"/>
    <w:rsid w:val="00701754"/>
    <w:rsid w:val="00701F81"/>
    <w:rsid w:val="007020BC"/>
    <w:rsid w:val="00702B68"/>
    <w:rsid w:val="00702E21"/>
    <w:rsid w:val="00703831"/>
    <w:rsid w:val="00703BC2"/>
    <w:rsid w:val="0070435E"/>
    <w:rsid w:val="0070467D"/>
    <w:rsid w:val="00704A10"/>
    <w:rsid w:val="00704CCF"/>
    <w:rsid w:val="00704EC7"/>
    <w:rsid w:val="00705151"/>
    <w:rsid w:val="007054B5"/>
    <w:rsid w:val="00706475"/>
    <w:rsid w:val="00706578"/>
    <w:rsid w:val="00706D4E"/>
    <w:rsid w:val="00707195"/>
    <w:rsid w:val="00707A7B"/>
    <w:rsid w:val="00707D34"/>
    <w:rsid w:val="00707E4B"/>
    <w:rsid w:val="00710960"/>
    <w:rsid w:val="00710A4E"/>
    <w:rsid w:val="00710AEC"/>
    <w:rsid w:val="00710E1D"/>
    <w:rsid w:val="00710FC1"/>
    <w:rsid w:val="007113A0"/>
    <w:rsid w:val="00712C59"/>
    <w:rsid w:val="00712E0E"/>
    <w:rsid w:val="00713147"/>
    <w:rsid w:val="007143D2"/>
    <w:rsid w:val="00714524"/>
    <w:rsid w:val="00714702"/>
    <w:rsid w:val="0071503E"/>
    <w:rsid w:val="007150FC"/>
    <w:rsid w:val="007152A0"/>
    <w:rsid w:val="0071539F"/>
    <w:rsid w:val="0071636B"/>
    <w:rsid w:val="0071687B"/>
    <w:rsid w:val="00716F71"/>
    <w:rsid w:val="00717050"/>
    <w:rsid w:val="007170F2"/>
    <w:rsid w:val="00717384"/>
    <w:rsid w:val="0071749C"/>
    <w:rsid w:val="00717B9C"/>
    <w:rsid w:val="00720316"/>
    <w:rsid w:val="0072137A"/>
    <w:rsid w:val="00721BD6"/>
    <w:rsid w:val="0072200D"/>
    <w:rsid w:val="0072259D"/>
    <w:rsid w:val="00722B55"/>
    <w:rsid w:val="00723471"/>
    <w:rsid w:val="00723BDC"/>
    <w:rsid w:val="00724B54"/>
    <w:rsid w:val="007257E8"/>
    <w:rsid w:val="007266DF"/>
    <w:rsid w:val="00726B2B"/>
    <w:rsid w:val="00726EFD"/>
    <w:rsid w:val="007270A1"/>
    <w:rsid w:val="007275D6"/>
    <w:rsid w:val="007300BE"/>
    <w:rsid w:val="00730FDE"/>
    <w:rsid w:val="00732352"/>
    <w:rsid w:val="0073257A"/>
    <w:rsid w:val="0073287F"/>
    <w:rsid w:val="00732AE9"/>
    <w:rsid w:val="00733137"/>
    <w:rsid w:val="00734352"/>
    <w:rsid w:val="00734811"/>
    <w:rsid w:val="007361C1"/>
    <w:rsid w:val="00736390"/>
    <w:rsid w:val="00737C5E"/>
    <w:rsid w:val="0074044D"/>
    <w:rsid w:val="00740ACA"/>
    <w:rsid w:val="00740ED2"/>
    <w:rsid w:val="00740F8F"/>
    <w:rsid w:val="00741649"/>
    <w:rsid w:val="00741A76"/>
    <w:rsid w:val="00741CA4"/>
    <w:rsid w:val="00742F2C"/>
    <w:rsid w:val="00743DA4"/>
    <w:rsid w:val="007441FE"/>
    <w:rsid w:val="007444B6"/>
    <w:rsid w:val="00744862"/>
    <w:rsid w:val="007459AD"/>
    <w:rsid w:val="00745A40"/>
    <w:rsid w:val="007464D1"/>
    <w:rsid w:val="00746503"/>
    <w:rsid w:val="00746B1B"/>
    <w:rsid w:val="00746D26"/>
    <w:rsid w:val="00746E2A"/>
    <w:rsid w:val="007472FF"/>
    <w:rsid w:val="00747D1C"/>
    <w:rsid w:val="0075199C"/>
    <w:rsid w:val="00752A9E"/>
    <w:rsid w:val="00752F15"/>
    <w:rsid w:val="00752FC9"/>
    <w:rsid w:val="00754827"/>
    <w:rsid w:val="0075524B"/>
    <w:rsid w:val="00755502"/>
    <w:rsid w:val="0075653F"/>
    <w:rsid w:val="00756A1E"/>
    <w:rsid w:val="00756C14"/>
    <w:rsid w:val="0075767B"/>
    <w:rsid w:val="00757695"/>
    <w:rsid w:val="00757EF1"/>
    <w:rsid w:val="00760B4C"/>
    <w:rsid w:val="007627DC"/>
    <w:rsid w:val="007628EF"/>
    <w:rsid w:val="00764582"/>
    <w:rsid w:val="007654A6"/>
    <w:rsid w:val="0076567D"/>
    <w:rsid w:val="00765C83"/>
    <w:rsid w:val="00765DA3"/>
    <w:rsid w:val="00766723"/>
    <w:rsid w:val="00766C80"/>
    <w:rsid w:val="007675F1"/>
    <w:rsid w:val="00771951"/>
    <w:rsid w:val="00773670"/>
    <w:rsid w:val="00773D5E"/>
    <w:rsid w:val="007741AB"/>
    <w:rsid w:val="007741CD"/>
    <w:rsid w:val="00774991"/>
    <w:rsid w:val="00775F9D"/>
    <w:rsid w:val="007762C5"/>
    <w:rsid w:val="007778E9"/>
    <w:rsid w:val="00777D31"/>
    <w:rsid w:val="0078046D"/>
    <w:rsid w:val="00780ACE"/>
    <w:rsid w:val="00780FAF"/>
    <w:rsid w:val="00781479"/>
    <w:rsid w:val="00781786"/>
    <w:rsid w:val="0078227C"/>
    <w:rsid w:val="007823DF"/>
    <w:rsid w:val="007832F6"/>
    <w:rsid w:val="00783537"/>
    <w:rsid w:val="00785715"/>
    <w:rsid w:val="0078579D"/>
    <w:rsid w:val="00785BB9"/>
    <w:rsid w:val="007860D9"/>
    <w:rsid w:val="007868B0"/>
    <w:rsid w:val="007872C2"/>
    <w:rsid w:val="007874E1"/>
    <w:rsid w:val="00787857"/>
    <w:rsid w:val="00790D48"/>
    <w:rsid w:val="007913F6"/>
    <w:rsid w:val="007918D8"/>
    <w:rsid w:val="007919DC"/>
    <w:rsid w:val="007923E2"/>
    <w:rsid w:val="00793082"/>
    <w:rsid w:val="00794575"/>
    <w:rsid w:val="00794816"/>
    <w:rsid w:val="00795A3C"/>
    <w:rsid w:val="00795EBA"/>
    <w:rsid w:val="00795F2C"/>
    <w:rsid w:val="0079659D"/>
    <w:rsid w:val="00796846"/>
    <w:rsid w:val="00796898"/>
    <w:rsid w:val="0079690C"/>
    <w:rsid w:val="00797E68"/>
    <w:rsid w:val="007A01B2"/>
    <w:rsid w:val="007A03D5"/>
    <w:rsid w:val="007A062C"/>
    <w:rsid w:val="007A0E06"/>
    <w:rsid w:val="007A29D4"/>
    <w:rsid w:val="007A2B26"/>
    <w:rsid w:val="007A30FC"/>
    <w:rsid w:val="007A359F"/>
    <w:rsid w:val="007A39DC"/>
    <w:rsid w:val="007A4C00"/>
    <w:rsid w:val="007A4D9D"/>
    <w:rsid w:val="007A4EE4"/>
    <w:rsid w:val="007A643A"/>
    <w:rsid w:val="007A6BB2"/>
    <w:rsid w:val="007A7223"/>
    <w:rsid w:val="007A73E8"/>
    <w:rsid w:val="007B0175"/>
    <w:rsid w:val="007B0F9D"/>
    <w:rsid w:val="007B1558"/>
    <w:rsid w:val="007B209C"/>
    <w:rsid w:val="007B2588"/>
    <w:rsid w:val="007B2E79"/>
    <w:rsid w:val="007B42CB"/>
    <w:rsid w:val="007B5C82"/>
    <w:rsid w:val="007B5DD8"/>
    <w:rsid w:val="007B60C9"/>
    <w:rsid w:val="007B780D"/>
    <w:rsid w:val="007C0465"/>
    <w:rsid w:val="007C049A"/>
    <w:rsid w:val="007C05F0"/>
    <w:rsid w:val="007C0630"/>
    <w:rsid w:val="007C1F88"/>
    <w:rsid w:val="007C2F17"/>
    <w:rsid w:val="007C3474"/>
    <w:rsid w:val="007C3FF6"/>
    <w:rsid w:val="007C4D7F"/>
    <w:rsid w:val="007C5D53"/>
    <w:rsid w:val="007C6B73"/>
    <w:rsid w:val="007C7133"/>
    <w:rsid w:val="007C7941"/>
    <w:rsid w:val="007D09F1"/>
    <w:rsid w:val="007D1E58"/>
    <w:rsid w:val="007D30CC"/>
    <w:rsid w:val="007D3123"/>
    <w:rsid w:val="007D33EB"/>
    <w:rsid w:val="007D380C"/>
    <w:rsid w:val="007D4104"/>
    <w:rsid w:val="007D4CC9"/>
    <w:rsid w:val="007D5AAE"/>
    <w:rsid w:val="007E0256"/>
    <w:rsid w:val="007E0C2A"/>
    <w:rsid w:val="007E0DD4"/>
    <w:rsid w:val="007E0FF9"/>
    <w:rsid w:val="007E10C4"/>
    <w:rsid w:val="007E1333"/>
    <w:rsid w:val="007E2411"/>
    <w:rsid w:val="007E3889"/>
    <w:rsid w:val="007E4160"/>
    <w:rsid w:val="007E431D"/>
    <w:rsid w:val="007E796C"/>
    <w:rsid w:val="007F0B57"/>
    <w:rsid w:val="007F0F4B"/>
    <w:rsid w:val="007F2559"/>
    <w:rsid w:val="007F3303"/>
    <w:rsid w:val="007F3668"/>
    <w:rsid w:val="007F373B"/>
    <w:rsid w:val="007F4A1A"/>
    <w:rsid w:val="007F5483"/>
    <w:rsid w:val="007F59CA"/>
    <w:rsid w:val="007F5EE5"/>
    <w:rsid w:val="007F612C"/>
    <w:rsid w:val="007F62BF"/>
    <w:rsid w:val="007F6540"/>
    <w:rsid w:val="007F6EAE"/>
    <w:rsid w:val="007F7590"/>
    <w:rsid w:val="007F7762"/>
    <w:rsid w:val="007F78AE"/>
    <w:rsid w:val="007F7ADE"/>
    <w:rsid w:val="00802453"/>
    <w:rsid w:val="008024FB"/>
    <w:rsid w:val="0080257E"/>
    <w:rsid w:val="00802738"/>
    <w:rsid w:val="008027E7"/>
    <w:rsid w:val="0080298E"/>
    <w:rsid w:val="00803F61"/>
    <w:rsid w:val="0080409D"/>
    <w:rsid w:val="008049F6"/>
    <w:rsid w:val="00804C50"/>
    <w:rsid w:val="00804E2A"/>
    <w:rsid w:val="008052DD"/>
    <w:rsid w:val="008053FA"/>
    <w:rsid w:val="00806C03"/>
    <w:rsid w:val="0080735E"/>
    <w:rsid w:val="008103A1"/>
    <w:rsid w:val="00810C59"/>
    <w:rsid w:val="00810CC5"/>
    <w:rsid w:val="0081184B"/>
    <w:rsid w:val="00812AAD"/>
    <w:rsid w:val="00812F6A"/>
    <w:rsid w:val="00813359"/>
    <w:rsid w:val="0081365B"/>
    <w:rsid w:val="00813865"/>
    <w:rsid w:val="00813F53"/>
    <w:rsid w:val="00813F85"/>
    <w:rsid w:val="00815338"/>
    <w:rsid w:val="008159BA"/>
    <w:rsid w:val="00815B63"/>
    <w:rsid w:val="008160BD"/>
    <w:rsid w:val="00816B54"/>
    <w:rsid w:val="008201D3"/>
    <w:rsid w:val="008204BF"/>
    <w:rsid w:val="008209E6"/>
    <w:rsid w:val="00820EE7"/>
    <w:rsid w:val="0082106F"/>
    <w:rsid w:val="00821B9B"/>
    <w:rsid w:val="00821F37"/>
    <w:rsid w:val="008235C7"/>
    <w:rsid w:val="00825122"/>
    <w:rsid w:val="00825500"/>
    <w:rsid w:val="0082601C"/>
    <w:rsid w:val="00826704"/>
    <w:rsid w:val="008302A1"/>
    <w:rsid w:val="00830D26"/>
    <w:rsid w:val="00830D50"/>
    <w:rsid w:val="00831223"/>
    <w:rsid w:val="008316DE"/>
    <w:rsid w:val="00831975"/>
    <w:rsid w:val="0083219C"/>
    <w:rsid w:val="00833833"/>
    <w:rsid w:val="0083483C"/>
    <w:rsid w:val="00835217"/>
    <w:rsid w:val="00836537"/>
    <w:rsid w:val="0083672D"/>
    <w:rsid w:val="00836CA8"/>
    <w:rsid w:val="008402A6"/>
    <w:rsid w:val="00840B48"/>
    <w:rsid w:val="00840C1D"/>
    <w:rsid w:val="008419D3"/>
    <w:rsid w:val="00841EC2"/>
    <w:rsid w:val="008420D5"/>
    <w:rsid w:val="00842C91"/>
    <w:rsid w:val="00842FFE"/>
    <w:rsid w:val="008439A3"/>
    <w:rsid w:val="008441A4"/>
    <w:rsid w:val="0084444D"/>
    <w:rsid w:val="008444A5"/>
    <w:rsid w:val="0084450F"/>
    <w:rsid w:val="008449DE"/>
    <w:rsid w:val="00844A6C"/>
    <w:rsid w:val="00845096"/>
    <w:rsid w:val="00846E76"/>
    <w:rsid w:val="00846ED7"/>
    <w:rsid w:val="00847323"/>
    <w:rsid w:val="008473EB"/>
    <w:rsid w:val="0085068F"/>
    <w:rsid w:val="00850DAC"/>
    <w:rsid w:val="00851971"/>
    <w:rsid w:val="00852180"/>
    <w:rsid w:val="0085246D"/>
    <w:rsid w:val="00852727"/>
    <w:rsid w:val="00852F0B"/>
    <w:rsid w:val="008538F6"/>
    <w:rsid w:val="00854033"/>
    <w:rsid w:val="008540C6"/>
    <w:rsid w:val="008548F0"/>
    <w:rsid w:val="008552A4"/>
    <w:rsid w:val="00855E15"/>
    <w:rsid w:val="0085631A"/>
    <w:rsid w:val="00856FDC"/>
    <w:rsid w:val="008573F7"/>
    <w:rsid w:val="00857BC4"/>
    <w:rsid w:val="00860E2C"/>
    <w:rsid w:val="00860EB3"/>
    <w:rsid w:val="00861066"/>
    <w:rsid w:val="00861A0E"/>
    <w:rsid w:val="00861BC9"/>
    <w:rsid w:val="008636D1"/>
    <w:rsid w:val="00863CDB"/>
    <w:rsid w:val="00863DDD"/>
    <w:rsid w:val="008645FA"/>
    <w:rsid w:val="00865E65"/>
    <w:rsid w:val="008671A8"/>
    <w:rsid w:val="00867305"/>
    <w:rsid w:val="00867ED9"/>
    <w:rsid w:val="00867F29"/>
    <w:rsid w:val="00870A60"/>
    <w:rsid w:val="0087169E"/>
    <w:rsid w:val="008719AD"/>
    <w:rsid w:val="0087272A"/>
    <w:rsid w:val="00872C68"/>
    <w:rsid w:val="008733B6"/>
    <w:rsid w:val="008751A3"/>
    <w:rsid w:val="00875336"/>
    <w:rsid w:val="008754A7"/>
    <w:rsid w:val="008763CE"/>
    <w:rsid w:val="008770BA"/>
    <w:rsid w:val="00877205"/>
    <w:rsid w:val="008772BE"/>
    <w:rsid w:val="008774FD"/>
    <w:rsid w:val="00877E52"/>
    <w:rsid w:val="00880AC9"/>
    <w:rsid w:val="008810EF"/>
    <w:rsid w:val="00881186"/>
    <w:rsid w:val="008812DD"/>
    <w:rsid w:val="0088161B"/>
    <w:rsid w:val="0088208F"/>
    <w:rsid w:val="00882C94"/>
    <w:rsid w:val="00882F48"/>
    <w:rsid w:val="00882FF3"/>
    <w:rsid w:val="00883455"/>
    <w:rsid w:val="00883A02"/>
    <w:rsid w:val="00885E46"/>
    <w:rsid w:val="0088606B"/>
    <w:rsid w:val="008869BA"/>
    <w:rsid w:val="00886E73"/>
    <w:rsid w:val="0088715A"/>
    <w:rsid w:val="008879A9"/>
    <w:rsid w:val="00887C15"/>
    <w:rsid w:val="00887C54"/>
    <w:rsid w:val="00891241"/>
    <w:rsid w:val="0089188A"/>
    <w:rsid w:val="00892140"/>
    <w:rsid w:val="00892436"/>
    <w:rsid w:val="00892475"/>
    <w:rsid w:val="00892976"/>
    <w:rsid w:val="00893596"/>
    <w:rsid w:val="0089461F"/>
    <w:rsid w:val="00894820"/>
    <w:rsid w:val="0089574D"/>
    <w:rsid w:val="00895F48"/>
    <w:rsid w:val="0089656D"/>
    <w:rsid w:val="00896584"/>
    <w:rsid w:val="00896692"/>
    <w:rsid w:val="00896F1B"/>
    <w:rsid w:val="008973D1"/>
    <w:rsid w:val="00897635"/>
    <w:rsid w:val="00897637"/>
    <w:rsid w:val="0089772E"/>
    <w:rsid w:val="00897DBB"/>
    <w:rsid w:val="008A0B02"/>
    <w:rsid w:val="008A0B21"/>
    <w:rsid w:val="008A1196"/>
    <w:rsid w:val="008A3B41"/>
    <w:rsid w:val="008A3F7C"/>
    <w:rsid w:val="008A400E"/>
    <w:rsid w:val="008A4115"/>
    <w:rsid w:val="008A447F"/>
    <w:rsid w:val="008A4560"/>
    <w:rsid w:val="008A49E7"/>
    <w:rsid w:val="008A4A56"/>
    <w:rsid w:val="008A4E48"/>
    <w:rsid w:val="008A57F7"/>
    <w:rsid w:val="008A7151"/>
    <w:rsid w:val="008A763D"/>
    <w:rsid w:val="008B10F7"/>
    <w:rsid w:val="008B18B2"/>
    <w:rsid w:val="008B1A76"/>
    <w:rsid w:val="008B1C19"/>
    <w:rsid w:val="008B2227"/>
    <w:rsid w:val="008B2CDB"/>
    <w:rsid w:val="008B2F6E"/>
    <w:rsid w:val="008B33D7"/>
    <w:rsid w:val="008B4208"/>
    <w:rsid w:val="008B4521"/>
    <w:rsid w:val="008B4FC9"/>
    <w:rsid w:val="008B54B6"/>
    <w:rsid w:val="008B659D"/>
    <w:rsid w:val="008B668F"/>
    <w:rsid w:val="008B6699"/>
    <w:rsid w:val="008B684A"/>
    <w:rsid w:val="008B6C2D"/>
    <w:rsid w:val="008B7E45"/>
    <w:rsid w:val="008C0A90"/>
    <w:rsid w:val="008C0D75"/>
    <w:rsid w:val="008C192E"/>
    <w:rsid w:val="008C1B54"/>
    <w:rsid w:val="008C1D63"/>
    <w:rsid w:val="008C1DD6"/>
    <w:rsid w:val="008C2DF7"/>
    <w:rsid w:val="008C313D"/>
    <w:rsid w:val="008C3F0F"/>
    <w:rsid w:val="008C420C"/>
    <w:rsid w:val="008C4D6F"/>
    <w:rsid w:val="008C51C8"/>
    <w:rsid w:val="008C525A"/>
    <w:rsid w:val="008C5322"/>
    <w:rsid w:val="008C5578"/>
    <w:rsid w:val="008C588D"/>
    <w:rsid w:val="008C5CB0"/>
    <w:rsid w:val="008C6BB3"/>
    <w:rsid w:val="008C783E"/>
    <w:rsid w:val="008D028B"/>
    <w:rsid w:val="008D04C9"/>
    <w:rsid w:val="008D0613"/>
    <w:rsid w:val="008D1008"/>
    <w:rsid w:val="008D1DAD"/>
    <w:rsid w:val="008D267B"/>
    <w:rsid w:val="008D289C"/>
    <w:rsid w:val="008D2E1F"/>
    <w:rsid w:val="008D39F3"/>
    <w:rsid w:val="008D4118"/>
    <w:rsid w:val="008D4E6D"/>
    <w:rsid w:val="008D5359"/>
    <w:rsid w:val="008D5A8A"/>
    <w:rsid w:val="008D61B4"/>
    <w:rsid w:val="008D63F0"/>
    <w:rsid w:val="008D67FA"/>
    <w:rsid w:val="008E0348"/>
    <w:rsid w:val="008E0850"/>
    <w:rsid w:val="008E08BE"/>
    <w:rsid w:val="008E10D4"/>
    <w:rsid w:val="008E4084"/>
    <w:rsid w:val="008E47B6"/>
    <w:rsid w:val="008E4E06"/>
    <w:rsid w:val="008E4EF0"/>
    <w:rsid w:val="008E51B3"/>
    <w:rsid w:val="008E5595"/>
    <w:rsid w:val="008E68B4"/>
    <w:rsid w:val="008E7169"/>
    <w:rsid w:val="008E7E7F"/>
    <w:rsid w:val="008E7FD7"/>
    <w:rsid w:val="008F08A8"/>
    <w:rsid w:val="008F1225"/>
    <w:rsid w:val="008F1A6C"/>
    <w:rsid w:val="008F1F5C"/>
    <w:rsid w:val="008F2085"/>
    <w:rsid w:val="008F20FA"/>
    <w:rsid w:val="008F34EB"/>
    <w:rsid w:val="008F4051"/>
    <w:rsid w:val="008F42C2"/>
    <w:rsid w:val="008F4683"/>
    <w:rsid w:val="008F4E67"/>
    <w:rsid w:val="008F5117"/>
    <w:rsid w:val="008F5436"/>
    <w:rsid w:val="008F55EA"/>
    <w:rsid w:val="008F5836"/>
    <w:rsid w:val="008F5A25"/>
    <w:rsid w:val="008F5CB2"/>
    <w:rsid w:val="008F5DE1"/>
    <w:rsid w:val="008F5EEF"/>
    <w:rsid w:val="008F6DBE"/>
    <w:rsid w:val="008F701A"/>
    <w:rsid w:val="008F7044"/>
    <w:rsid w:val="008F7491"/>
    <w:rsid w:val="008F75A5"/>
    <w:rsid w:val="009003DE"/>
    <w:rsid w:val="0090055F"/>
    <w:rsid w:val="00901F2E"/>
    <w:rsid w:val="009022DC"/>
    <w:rsid w:val="0090362B"/>
    <w:rsid w:val="009043F6"/>
    <w:rsid w:val="0090444F"/>
    <w:rsid w:val="009049E5"/>
    <w:rsid w:val="009052D3"/>
    <w:rsid w:val="009056B3"/>
    <w:rsid w:val="009056D1"/>
    <w:rsid w:val="009062C2"/>
    <w:rsid w:val="00906DE2"/>
    <w:rsid w:val="00906E53"/>
    <w:rsid w:val="0090711D"/>
    <w:rsid w:val="0090774E"/>
    <w:rsid w:val="00907947"/>
    <w:rsid w:val="00907C87"/>
    <w:rsid w:val="0091084A"/>
    <w:rsid w:val="0091102F"/>
    <w:rsid w:val="00911DBD"/>
    <w:rsid w:val="0091227D"/>
    <w:rsid w:val="009137C1"/>
    <w:rsid w:val="00913D88"/>
    <w:rsid w:val="00913E12"/>
    <w:rsid w:val="009141B4"/>
    <w:rsid w:val="00914326"/>
    <w:rsid w:val="00914905"/>
    <w:rsid w:val="00914D67"/>
    <w:rsid w:val="00915528"/>
    <w:rsid w:val="00915DD4"/>
    <w:rsid w:val="00916030"/>
    <w:rsid w:val="009161BE"/>
    <w:rsid w:val="00916264"/>
    <w:rsid w:val="009209F4"/>
    <w:rsid w:val="009215D9"/>
    <w:rsid w:val="0092176B"/>
    <w:rsid w:val="009218DD"/>
    <w:rsid w:val="00921B8E"/>
    <w:rsid w:val="00921C3F"/>
    <w:rsid w:val="009221FF"/>
    <w:rsid w:val="009251AB"/>
    <w:rsid w:val="009251F0"/>
    <w:rsid w:val="009256D7"/>
    <w:rsid w:val="00925AD6"/>
    <w:rsid w:val="00925CA4"/>
    <w:rsid w:val="009265A3"/>
    <w:rsid w:val="00926711"/>
    <w:rsid w:val="00927246"/>
    <w:rsid w:val="0092759A"/>
    <w:rsid w:val="00927B27"/>
    <w:rsid w:val="00927DC9"/>
    <w:rsid w:val="00927FAD"/>
    <w:rsid w:val="009300FB"/>
    <w:rsid w:val="00930665"/>
    <w:rsid w:val="00930B4F"/>
    <w:rsid w:val="00931F9D"/>
    <w:rsid w:val="009323EB"/>
    <w:rsid w:val="009327AF"/>
    <w:rsid w:val="00932DA0"/>
    <w:rsid w:val="00933029"/>
    <w:rsid w:val="00933267"/>
    <w:rsid w:val="00933BC9"/>
    <w:rsid w:val="00933CD2"/>
    <w:rsid w:val="009344A0"/>
    <w:rsid w:val="009348B4"/>
    <w:rsid w:val="00934EC7"/>
    <w:rsid w:val="009356C0"/>
    <w:rsid w:val="009359E1"/>
    <w:rsid w:val="00936D5A"/>
    <w:rsid w:val="00937A07"/>
    <w:rsid w:val="00937B2D"/>
    <w:rsid w:val="00937BDA"/>
    <w:rsid w:val="009402D8"/>
    <w:rsid w:val="00940456"/>
    <w:rsid w:val="00943577"/>
    <w:rsid w:val="0094485E"/>
    <w:rsid w:val="00945015"/>
    <w:rsid w:val="009457CF"/>
    <w:rsid w:val="009465E5"/>
    <w:rsid w:val="00946683"/>
    <w:rsid w:val="0094671D"/>
    <w:rsid w:val="009470FF"/>
    <w:rsid w:val="00950763"/>
    <w:rsid w:val="00950AC2"/>
    <w:rsid w:val="00950ECE"/>
    <w:rsid w:val="00950F91"/>
    <w:rsid w:val="009523BC"/>
    <w:rsid w:val="00952CBD"/>
    <w:rsid w:val="009535F6"/>
    <w:rsid w:val="00953B8D"/>
    <w:rsid w:val="009542F0"/>
    <w:rsid w:val="00954993"/>
    <w:rsid w:val="00954E4B"/>
    <w:rsid w:val="00954FDB"/>
    <w:rsid w:val="00955F7D"/>
    <w:rsid w:val="009563F4"/>
    <w:rsid w:val="0095729A"/>
    <w:rsid w:val="009572D8"/>
    <w:rsid w:val="0095782D"/>
    <w:rsid w:val="00960015"/>
    <w:rsid w:val="00960179"/>
    <w:rsid w:val="0096053A"/>
    <w:rsid w:val="00960C0C"/>
    <w:rsid w:val="009616E9"/>
    <w:rsid w:val="00961C22"/>
    <w:rsid w:val="00961C8B"/>
    <w:rsid w:val="0096268F"/>
    <w:rsid w:val="00962B54"/>
    <w:rsid w:val="00962B55"/>
    <w:rsid w:val="00963233"/>
    <w:rsid w:val="00963A23"/>
    <w:rsid w:val="00964973"/>
    <w:rsid w:val="00965E60"/>
    <w:rsid w:val="0096622F"/>
    <w:rsid w:val="009664DC"/>
    <w:rsid w:val="00967517"/>
    <w:rsid w:val="00971074"/>
    <w:rsid w:val="00971455"/>
    <w:rsid w:val="009733F1"/>
    <w:rsid w:val="00973E05"/>
    <w:rsid w:val="0097451F"/>
    <w:rsid w:val="00974B9D"/>
    <w:rsid w:val="00975C11"/>
    <w:rsid w:val="0097640E"/>
    <w:rsid w:val="0097746F"/>
    <w:rsid w:val="009775ED"/>
    <w:rsid w:val="00977854"/>
    <w:rsid w:val="009779A8"/>
    <w:rsid w:val="00977B5D"/>
    <w:rsid w:val="00977E0B"/>
    <w:rsid w:val="00980210"/>
    <w:rsid w:val="009810E1"/>
    <w:rsid w:val="009821CF"/>
    <w:rsid w:val="00982A60"/>
    <w:rsid w:val="00982B04"/>
    <w:rsid w:val="00982D47"/>
    <w:rsid w:val="00982EF2"/>
    <w:rsid w:val="009835E5"/>
    <w:rsid w:val="00983EDE"/>
    <w:rsid w:val="00984216"/>
    <w:rsid w:val="0098455D"/>
    <w:rsid w:val="00985322"/>
    <w:rsid w:val="00985509"/>
    <w:rsid w:val="00985551"/>
    <w:rsid w:val="00985E20"/>
    <w:rsid w:val="00985F5D"/>
    <w:rsid w:val="0098605A"/>
    <w:rsid w:val="0098620F"/>
    <w:rsid w:val="00986931"/>
    <w:rsid w:val="00986AF2"/>
    <w:rsid w:val="00986D87"/>
    <w:rsid w:val="00987529"/>
    <w:rsid w:val="00991125"/>
    <w:rsid w:val="009915A1"/>
    <w:rsid w:val="0099169F"/>
    <w:rsid w:val="0099249F"/>
    <w:rsid w:val="00993035"/>
    <w:rsid w:val="00993EA0"/>
    <w:rsid w:val="00994060"/>
    <w:rsid w:val="00994555"/>
    <w:rsid w:val="00994CA0"/>
    <w:rsid w:val="0099588F"/>
    <w:rsid w:val="009959E3"/>
    <w:rsid w:val="0099697B"/>
    <w:rsid w:val="00997EFB"/>
    <w:rsid w:val="009A0CB5"/>
    <w:rsid w:val="009A0E3A"/>
    <w:rsid w:val="009A14E8"/>
    <w:rsid w:val="009A3050"/>
    <w:rsid w:val="009A3504"/>
    <w:rsid w:val="009A3893"/>
    <w:rsid w:val="009A3A6D"/>
    <w:rsid w:val="009A5247"/>
    <w:rsid w:val="009A54DD"/>
    <w:rsid w:val="009A56B0"/>
    <w:rsid w:val="009A5B49"/>
    <w:rsid w:val="009A5DD1"/>
    <w:rsid w:val="009A636C"/>
    <w:rsid w:val="009A6481"/>
    <w:rsid w:val="009A693E"/>
    <w:rsid w:val="009A6A1C"/>
    <w:rsid w:val="009B0D59"/>
    <w:rsid w:val="009B229E"/>
    <w:rsid w:val="009B330B"/>
    <w:rsid w:val="009B36D4"/>
    <w:rsid w:val="009B3C9F"/>
    <w:rsid w:val="009B3E65"/>
    <w:rsid w:val="009B42AD"/>
    <w:rsid w:val="009B4B44"/>
    <w:rsid w:val="009B4B5E"/>
    <w:rsid w:val="009B55DE"/>
    <w:rsid w:val="009B5D4A"/>
    <w:rsid w:val="009B6413"/>
    <w:rsid w:val="009B65B1"/>
    <w:rsid w:val="009B6699"/>
    <w:rsid w:val="009B68F4"/>
    <w:rsid w:val="009B6C1E"/>
    <w:rsid w:val="009B71BF"/>
    <w:rsid w:val="009B7967"/>
    <w:rsid w:val="009B7B29"/>
    <w:rsid w:val="009B7BE9"/>
    <w:rsid w:val="009C044D"/>
    <w:rsid w:val="009C0826"/>
    <w:rsid w:val="009C15A5"/>
    <w:rsid w:val="009C16EC"/>
    <w:rsid w:val="009C1BBA"/>
    <w:rsid w:val="009C202D"/>
    <w:rsid w:val="009C2209"/>
    <w:rsid w:val="009C2599"/>
    <w:rsid w:val="009C2E50"/>
    <w:rsid w:val="009C2FBB"/>
    <w:rsid w:val="009C327B"/>
    <w:rsid w:val="009C3544"/>
    <w:rsid w:val="009C482B"/>
    <w:rsid w:val="009C4FF6"/>
    <w:rsid w:val="009C5165"/>
    <w:rsid w:val="009C5956"/>
    <w:rsid w:val="009C6547"/>
    <w:rsid w:val="009C6587"/>
    <w:rsid w:val="009C68C3"/>
    <w:rsid w:val="009C6B5F"/>
    <w:rsid w:val="009C6B7E"/>
    <w:rsid w:val="009C6F0D"/>
    <w:rsid w:val="009D03BF"/>
    <w:rsid w:val="009D08A7"/>
    <w:rsid w:val="009D11B3"/>
    <w:rsid w:val="009D1228"/>
    <w:rsid w:val="009D1924"/>
    <w:rsid w:val="009D22A9"/>
    <w:rsid w:val="009D25BC"/>
    <w:rsid w:val="009D37ED"/>
    <w:rsid w:val="009D433B"/>
    <w:rsid w:val="009D4634"/>
    <w:rsid w:val="009D5A6A"/>
    <w:rsid w:val="009D5E28"/>
    <w:rsid w:val="009D67C3"/>
    <w:rsid w:val="009D6D56"/>
    <w:rsid w:val="009D7169"/>
    <w:rsid w:val="009D7562"/>
    <w:rsid w:val="009E039B"/>
    <w:rsid w:val="009E07E1"/>
    <w:rsid w:val="009E0B7E"/>
    <w:rsid w:val="009E126A"/>
    <w:rsid w:val="009E1443"/>
    <w:rsid w:val="009E186E"/>
    <w:rsid w:val="009E2341"/>
    <w:rsid w:val="009E2A7C"/>
    <w:rsid w:val="009E31F6"/>
    <w:rsid w:val="009E33CB"/>
    <w:rsid w:val="009E3A49"/>
    <w:rsid w:val="009E3CA9"/>
    <w:rsid w:val="009E3CE1"/>
    <w:rsid w:val="009E4229"/>
    <w:rsid w:val="009E5095"/>
    <w:rsid w:val="009E5406"/>
    <w:rsid w:val="009E5E88"/>
    <w:rsid w:val="009E67BC"/>
    <w:rsid w:val="009E6F25"/>
    <w:rsid w:val="009E7168"/>
    <w:rsid w:val="009E724A"/>
    <w:rsid w:val="009E7301"/>
    <w:rsid w:val="009E7E40"/>
    <w:rsid w:val="009F054A"/>
    <w:rsid w:val="009F0AD0"/>
    <w:rsid w:val="009F1104"/>
    <w:rsid w:val="009F196A"/>
    <w:rsid w:val="009F1979"/>
    <w:rsid w:val="009F26B0"/>
    <w:rsid w:val="009F2980"/>
    <w:rsid w:val="009F2C13"/>
    <w:rsid w:val="009F3523"/>
    <w:rsid w:val="009F38AF"/>
    <w:rsid w:val="009F39A3"/>
    <w:rsid w:val="009F46B7"/>
    <w:rsid w:val="009F4C58"/>
    <w:rsid w:val="009F7319"/>
    <w:rsid w:val="009F7E1B"/>
    <w:rsid w:val="00A000CF"/>
    <w:rsid w:val="00A00C96"/>
    <w:rsid w:val="00A0193E"/>
    <w:rsid w:val="00A0194A"/>
    <w:rsid w:val="00A01A2C"/>
    <w:rsid w:val="00A02C4E"/>
    <w:rsid w:val="00A03410"/>
    <w:rsid w:val="00A04AE9"/>
    <w:rsid w:val="00A04EF0"/>
    <w:rsid w:val="00A055F4"/>
    <w:rsid w:val="00A059F8"/>
    <w:rsid w:val="00A05E2D"/>
    <w:rsid w:val="00A06407"/>
    <w:rsid w:val="00A0683C"/>
    <w:rsid w:val="00A069ED"/>
    <w:rsid w:val="00A06DA1"/>
    <w:rsid w:val="00A0741C"/>
    <w:rsid w:val="00A0752C"/>
    <w:rsid w:val="00A07BAD"/>
    <w:rsid w:val="00A07BBA"/>
    <w:rsid w:val="00A10CD0"/>
    <w:rsid w:val="00A117A3"/>
    <w:rsid w:val="00A11929"/>
    <w:rsid w:val="00A11C29"/>
    <w:rsid w:val="00A11C51"/>
    <w:rsid w:val="00A11D13"/>
    <w:rsid w:val="00A12189"/>
    <w:rsid w:val="00A12932"/>
    <w:rsid w:val="00A13D91"/>
    <w:rsid w:val="00A13D9A"/>
    <w:rsid w:val="00A1476F"/>
    <w:rsid w:val="00A147C2"/>
    <w:rsid w:val="00A157A4"/>
    <w:rsid w:val="00A15BEA"/>
    <w:rsid w:val="00A16879"/>
    <w:rsid w:val="00A16935"/>
    <w:rsid w:val="00A169A4"/>
    <w:rsid w:val="00A2034A"/>
    <w:rsid w:val="00A20599"/>
    <w:rsid w:val="00A214E9"/>
    <w:rsid w:val="00A2246B"/>
    <w:rsid w:val="00A22491"/>
    <w:rsid w:val="00A22674"/>
    <w:rsid w:val="00A2351F"/>
    <w:rsid w:val="00A24201"/>
    <w:rsid w:val="00A25D55"/>
    <w:rsid w:val="00A25D8A"/>
    <w:rsid w:val="00A267E4"/>
    <w:rsid w:val="00A30200"/>
    <w:rsid w:val="00A3038E"/>
    <w:rsid w:val="00A30C23"/>
    <w:rsid w:val="00A31361"/>
    <w:rsid w:val="00A31DA2"/>
    <w:rsid w:val="00A32657"/>
    <w:rsid w:val="00A32D58"/>
    <w:rsid w:val="00A33165"/>
    <w:rsid w:val="00A33975"/>
    <w:rsid w:val="00A34B4B"/>
    <w:rsid w:val="00A358FE"/>
    <w:rsid w:val="00A35A89"/>
    <w:rsid w:val="00A35F50"/>
    <w:rsid w:val="00A36146"/>
    <w:rsid w:val="00A364B8"/>
    <w:rsid w:val="00A3720B"/>
    <w:rsid w:val="00A373C5"/>
    <w:rsid w:val="00A37452"/>
    <w:rsid w:val="00A40379"/>
    <w:rsid w:val="00A40439"/>
    <w:rsid w:val="00A40962"/>
    <w:rsid w:val="00A41A9B"/>
    <w:rsid w:val="00A41D7F"/>
    <w:rsid w:val="00A42219"/>
    <w:rsid w:val="00A42A10"/>
    <w:rsid w:val="00A43A24"/>
    <w:rsid w:val="00A4407C"/>
    <w:rsid w:val="00A447BF"/>
    <w:rsid w:val="00A449F1"/>
    <w:rsid w:val="00A46281"/>
    <w:rsid w:val="00A46AD3"/>
    <w:rsid w:val="00A47165"/>
    <w:rsid w:val="00A4719C"/>
    <w:rsid w:val="00A4724D"/>
    <w:rsid w:val="00A472B0"/>
    <w:rsid w:val="00A474AF"/>
    <w:rsid w:val="00A47A18"/>
    <w:rsid w:val="00A5053A"/>
    <w:rsid w:val="00A506BB"/>
    <w:rsid w:val="00A5111E"/>
    <w:rsid w:val="00A51384"/>
    <w:rsid w:val="00A51F00"/>
    <w:rsid w:val="00A536C9"/>
    <w:rsid w:val="00A537EB"/>
    <w:rsid w:val="00A53B42"/>
    <w:rsid w:val="00A54CCC"/>
    <w:rsid w:val="00A54DD6"/>
    <w:rsid w:val="00A561FC"/>
    <w:rsid w:val="00A565A3"/>
    <w:rsid w:val="00A56AFC"/>
    <w:rsid w:val="00A56D54"/>
    <w:rsid w:val="00A57ACA"/>
    <w:rsid w:val="00A60EBD"/>
    <w:rsid w:val="00A613F6"/>
    <w:rsid w:val="00A62531"/>
    <w:rsid w:val="00A62AB4"/>
    <w:rsid w:val="00A64730"/>
    <w:rsid w:val="00A6586E"/>
    <w:rsid w:val="00A66A12"/>
    <w:rsid w:val="00A6707D"/>
    <w:rsid w:val="00A67451"/>
    <w:rsid w:val="00A700DA"/>
    <w:rsid w:val="00A70351"/>
    <w:rsid w:val="00A705AB"/>
    <w:rsid w:val="00A708FD"/>
    <w:rsid w:val="00A72821"/>
    <w:rsid w:val="00A7286D"/>
    <w:rsid w:val="00A737A2"/>
    <w:rsid w:val="00A73A76"/>
    <w:rsid w:val="00A73C65"/>
    <w:rsid w:val="00A73ED8"/>
    <w:rsid w:val="00A74886"/>
    <w:rsid w:val="00A74A9B"/>
    <w:rsid w:val="00A74AB9"/>
    <w:rsid w:val="00A7526E"/>
    <w:rsid w:val="00A75885"/>
    <w:rsid w:val="00A76164"/>
    <w:rsid w:val="00A76411"/>
    <w:rsid w:val="00A76C42"/>
    <w:rsid w:val="00A76EBF"/>
    <w:rsid w:val="00A77A68"/>
    <w:rsid w:val="00A77FE6"/>
    <w:rsid w:val="00A80040"/>
    <w:rsid w:val="00A803E3"/>
    <w:rsid w:val="00A809CC"/>
    <w:rsid w:val="00A80D41"/>
    <w:rsid w:val="00A81667"/>
    <w:rsid w:val="00A816D5"/>
    <w:rsid w:val="00A81BBA"/>
    <w:rsid w:val="00A81C6F"/>
    <w:rsid w:val="00A82071"/>
    <w:rsid w:val="00A821AF"/>
    <w:rsid w:val="00A828BA"/>
    <w:rsid w:val="00A82918"/>
    <w:rsid w:val="00A83328"/>
    <w:rsid w:val="00A844DF"/>
    <w:rsid w:val="00A845A4"/>
    <w:rsid w:val="00A845C1"/>
    <w:rsid w:val="00A846EA"/>
    <w:rsid w:val="00A84F6E"/>
    <w:rsid w:val="00A85E89"/>
    <w:rsid w:val="00A86066"/>
    <w:rsid w:val="00A8638F"/>
    <w:rsid w:val="00A864A7"/>
    <w:rsid w:val="00A879AA"/>
    <w:rsid w:val="00A90EB2"/>
    <w:rsid w:val="00A91646"/>
    <w:rsid w:val="00A91E50"/>
    <w:rsid w:val="00A9269B"/>
    <w:rsid w:val="00A927FD"/>
    <w:rsid w:val="00A92EB7"/>
    <w:rsid w:val="00A92FC8"/>
    <w:rsid w:val="00A93763"/>
    <w:rsid w:val="00A93BD8"/>
    <w:rsid w:val="00A93F46"/>
    <w:rsid w:val="00A947CF"/>
    <w:rsid w:val="00A94A38"/>
    <w:rsid w:val="00A95984"/>
    <w:rsid w:val="00A95AB3"/>
    <w:rsid w:val="00A96330"/>
    <w:rsid w:val="00A96339"/>
    <w:rsid w:val="00A96424"/>
    <w:rsid w:val="00A97621"/>
    <w:rsid w:val="00AA003B"/>
    <w:rsid w:val="00AA053D"/>
    <w:rsid w:val="00AA1723"/>
    <w:rsid w:val="00AA176D"/>
    <w:rsid w:val="00AA2373"/>
    <w:rsid w:val="00AA37B8"/>
    <w:rsid w:val="00AA383F"/>
    <w:rsid w:val="00AA3E4B"/>
    <w:rsid w:val="00AA4EB6"/>
    <w:rsid w:val="00AA5055"/>
    <w:rsid w:val="00AA587A"/>
    <w:rsid w:val="00AA5CF3"/>
    <w:rsid w:val="00AA641A"/>
    <w:rsid w:val="00AA6CF2"/>
    <w:rsid w:val="00AA7FD4"/>
    <w:rsid w:val="00AB0E4F"/>
    <w:rsid w:val="00AB11B6"/>
    <w:rsid w:val="00AB1F4C"/>
    <w:rsid w:val="00AB20AC"/>
    <w:rsid w:val="00AB25EF"/>
    <w:rsid w:val="00AB39EA"/>
    <w:rsid w:val="00AB3A6B"/>
    <w:rsid w:val="00AB3ED2"/>
    <w:rsid w:val="00AB51C6"/>
    <w:rsid w:val="00AB55E3"/>
    <w:rsid w:val="00AB5604"/>
    <w:rsid w:val="00AB5996"/>
    <w:rsid w:val="00AB5DB4"/>
    <w:rsid w:val="00AB67C8"/>
    <w:rsid w:val="00AB6A82"/>
    <w:rsid w:val="00AB6B5E"/>
    <w:rsid w:val="00AB70EB"/>
    <w:rsid w:val="00AB7139"/>
    <w:rsid w:val="00AB7851"/>
    <w:rsid w:val="00AB7BFD"/>
    <w:rsid w:val="00AB7C78"/>
    <w:rsid w:val="00AC0637"/>
    <w:rsid w:val="00AC11DF"/>
    <w:rsid w:val="00AC1557"/>
    <w:rsid w:val="00AC1C01"/>
    <w:rsid w:val="00AC1EE3"/>
    <w:rsid w:val="00AC2742"/>
    <w:rsid w:val="00AC3163"/>
    <w:rsid w:val="00AC34AC"/>
    <w:rsid w:val="00AC361E"/>
    <w:rsid w:val="00AC3D3F"/>
    <w:rsid w:val="00AC3E51"/>
    <w:rsid w:val="00AC49C9"/>
    <w:rsid w:val="00AC5260"/>
    <w:rsid w:val="00AC698E"/>
    <w:rsid w:val="00AC70B1"/>
    <w:rsid w:val="00AC772C"/>
    <w:rsid w:val="00AC79B9"/>
    <w:rsid w:val="00AD053E"/>
    <w:rsid w:val="00AD073E"/>
    <w:rsid w:val="00AD083F"/>
    <w:rsid w:val="00AD09BD"/>
    <w:rsid w:val="00AD09DE"/>
    <w:rsid w:val="00AD1248"/>
    <w:rsid w:val="00AD144C"/>
    <w:rsid w:val="00AD2C56"/>
    <w:rsid w:val="00AD2E89"/>
    <w:rsid w:val="00AD4ECD"/>
    <w:rsid w:val="00AD69B8"/>
    <w:rsid w:val="00AD6D23"/>
    <w:rsid w:val="00AD6D48"/>
    <w:rsid w:val="00AD7292"/>
    <w:rsid w:val="00AD7656"/>
    <w:rsid w:val="00AE01CB"/>
    <w:rsid w:val="00AE09EF"/>
    <w:rsid w:val="00AE0B21"/>
    <w:rsid w:val="00AE0DC7"/>
    <w:rsid w:val="00AE1E20"/>
    <w:rsid w:val="00AE3A7C"/>
    <w:rsid w:val="00AE3B5C"/>
    <w:rsid w:val="00AE3C05"/>
    <w:rsid w:val="00AE4612"/>
    <w:rsid w:val="00AE4EEB"/>
    <w:rsid w:val="00AE50B4"/>
    <w:rsid w:val="00AE519C"/>
    <w:rsid w:val="00AE53E2"/>
    <w:rsid w:val="00AE5D6C"/>
    <w:rsid w:val="00AE67DC"/>
    <w:rsid w:val="00AE68DA"/>
    <w:rsid w:val="00AE6927"/>
    <w:rsid w:val="00AE6A5A"/>
    <w:rsid w:val="00AE6D35"/>
    <w:rsid w:val="00AE7815"/>
    <w:rsid w:val="00AE7B69"/>
    <w:rsid w:val="00AE7E49"/>
    <w:rsid w:val="00AF01A3"/>
    <w:rsid w:val="00AF0592"/>
    <w:rsid w:val="00AF0A13"/>
    <w:rsid w:val="00AF0CF8"/>
    <w:rsid w:val="00AF2EF3"/>
    <w:rsid w:val="00AF41F1"/>
    <w:rsid w:val="00AF46BB"/>
    <w:rsid w:val="00AF4C51"/>
    <w:rsid w:val="00AF5257"/>
    <w:rsid w:val="00AF5366"/>
    <w:rsid w:val="00AF54B2"/>
    <w:rsid w:val="00AF5894"/>
    <w:rsid w:val="00AF625F"/>
    <w:rsid w:val="00B007D5"/>
    <w:rsid w:val="00B00CB5"/>
    <w:rsid w:val="00B01511"/>
    <w:rsid w:val="00B01CDD"/>
    <w:rsid w:val="00B02440"/>
    <w:rsid w:val="00B02D2B"/>
    <w:rsid w:val="00B03626"/>
    <w:rsid w:val="00B054C6"/>
    <w:rsid w:val="00B05E21"/>
    <w:rsid w:val="00B0603E"/>
    <w:rsid w:val="00B065D0"/>
    <w:rsid w:val="00B073ED"/>
    <w:rsid w:val="00B1012E"/>
    <w:rsid w:val="00B10BE7"/>
    <w:rsid w:val="00B110CC"/>
    <w:rsid w:val="00B11564"/>
    <w:rsid w:val="00B11789"/>
    <w:rsid w:val="00B119A7"/>
    <w:rsid w:val="00B11CEA"/>
    <w:rsid w:val="00B1255B"/>
    <w:rsid w:val="00B1270F"/>
    <w:rsid w:val="00B12754"/>
    <w:rsid w:val="00B13204"/>
    <w:rsid w:val="00B13B20"/>
    <w:rsid w:val="00B14E1C"/>
    <w:rsid w:val="00B14F0C"/>
    <w:rsid w:val="00B155C9"/>
    <w:rsid w:val="00B158F2"/>
    <w:rsid w:val="00B160A9"/>
    <w:rsid w:val="00B16A25"/>
    <w:rsid w:val="00B20237"/>
    <w:rsid w:val="00B214B9"/>
    <w:rsid w:val="00B21656"/>
    <w:rsid w:val="00B223BA"/>
    <w:rsid w:val="00B227B7"/>
    <w:rsid w:val="00B23152"/>
    <w:rsid w:val="00B2327C"/>
    <w:rsid w:val="00B23E4A"/>
    <w:rsid w:val="00B25054"/>
    <w:rsid w:val="00B255D3"/>
    <w:rsid w:val="00B26009"/>
    <w:rsid w:val="00B26813"/>
    <w:rsid w:val="00B2694B"/>
    <w:rsid w:val="00B2739E"/>
    <w:rsid w:val="00B27EE6"/>
    <w:rsid w:val="00B30765"/>
    <w:rsid w:val="00B308F5"/>
    <w:rsid w:val="00B328DE"/>
    <w:rsid w:val="00B32F48"/>
    <w:rsid w:val="00B3396F"/>
    <w:rsid w:val="00B33C79"/>
    <w:rsid w:val="00B344B7"/>
    <w:rsid w:val="00B3456F"/>
    <w:rsid w:val="00B365DE"/>
    <w:rsid w:val="00B367BB"/>
    <w:rsid w:val="00B36B08"/>
    <w:rsid w:val="00B37161"/>
    <w:rsid w:val="00B3728D"/>
    <w:rsid w:val="00B4037C"/>
    <w:rsid w:val="00B4057F"/>
    <w:rsid w:val="00B4090F"/>
    <w:rsid w:val="00B40B66"/>
    <w:rsid w:val="00B410F8"/>
    <w:rsid w:val="00B4164A"/>
    <w:rsid w:val="00B41BC9"/>
    <w:rsid w:val="00B42689"/>
    <w:rsid w:val="00B42759"/>
    <w:rsid w:val="00B43FE7"/>
    <w:rsid w:val="00B4510E"/>
    <w:rsid w:val="00B458C6"/>
    <w:rsid w:val="00B464DD"/>
    <w:rsid w:val="00B46A25"/>
    <w:rsid w:val="00B47FD3"/>
    <w:rsid w:val="00B50542"/>
    <w:rsid w:val="00B50A65"/>
    <w:rsid w:val="00B50F4A"/>
    <w:rsid w:val="00B51296"/>
    <w:rsid w:val="00B51545"/>
    <w:rsid w:val="00B5157B"/>
    <w:rsid w:val="00B5168A"/>
    <w:rsid w:val="00B51F03"/>
    <w:rsid w:val="00B52127"/>
    <w:rsid w:val="00B52D3C"/>
    <w:rsid w:val="00B52F4E"/>
    <w:rsid w:val="00B545A7"/>
    <w:rsid w:val="00B554FD"/>
    <w:rsid w:val="00B563FA"/>
    <w:rsid w:val="00B56C6C"/>
    <w:rsid w:val="00B576E9"/>
    <w:rsid w:val="00B57733"/>
    <w:rsid w:val="00B607DE"/>
    <w:rsid w:val="00B60888"/>
    <w:rsid w:val="00B60DCE"/>
    <w:rsid w:val="00B61092"/>
    <w:rsid w:val="00B617D8"/>
    <w:rsid w:val="00B62A4F"/>
    <w:rsid w:val="00B6385A"/>
    <w:rsid w:val="00B63DBE"/>
    <w:rsid w:val="00B63F8F"/>
    <w:rsid w:val="00B646BB"/>
    <w:rsid w:val="00B64E3A"/>
    <w:rsid w:val="00B64F1C"/>
    <w:rsid w:val="00B651C8"/>
    <w:rsid w:val="00B65AD9"/>
    <w:rsid w:val="00B6699B"/>
    <w:rsid w:val="00B66C23"/>
    <w:rsid w:val="00B66D3C"/>
    <w:rsid w:val="00B670E6"/>
    <w:rsid w:val="00B673DC"/>
    <w:rsid w:val="00B70AFF"/>
    <w:rsid w:val="00B711C0"/>
    <w:rsid w:val="00B71F33"/>
    <w:rsid w:val="00B733BB"/>
    <w:rsid w:val="00B7422D"/>
    <w:rsid w:val="00B7496F"/>
    <w:rsid w:val="00B75097"/>
    <w:rsid w:val="00B7573B"/>
    <w:rsid w:val="00B7598A"/>
    <w:rsid w:val="00B75DC8"/>
    <w:rsid w:val="00B7651F"/>
    <w:rsid w:val="00B766E3"/>
    <w:rsid w:val="00B768A7"/>
    <w:rsid w:val="00B7737C"/>
    <w:rsid w:val="00B77BC1"/>
    <w:rsid w:val="00B80523"/>
    <w:rsid w:val="00B80FA3"/>
    <w:rsid w:val="00B8174E"/>
    <w:rsid w:val="00B81FC2"/>
    <w:rsid w:val="00B8260B"/>
    <w:rsid w:val="00B82671"/>
    <w:rsid w:val="00B82F74"/>
    <w:rsid w:val="00B830BF"/>
    <w:rsid w:val="00B830F6"/>
    <w:rsid w:val="00B836FB"/>
    <w:rsid w:val="00B84288"/>
    <w:rsid w:val="00B850B8"/>
    <w:rsid w:val="00B86FB2"/>
    <w:rsid w:val="00B87807"/>
    <w:rsid w:val="00B87D96"/>
    <w:rsid w:val="00B902AB"/>
    <w:rsid w:val="00B90B24"/>
    <w:rsid w:val="00B90D9F"/>
    <w:rsid w:val="00B91EB4"/>
    <w:rsid w:val="00B92593"/>
    <w:rsid w:val="00B92CA5"/>
    <w:rsid w:val="00B933B6"/>
    <w:rsid w:val="00B936A2"/>
    <w:rsid w:val="00B93C7C"/>
    <w:rsid w:val="00B94801"/>
    <w:rsid w:val="00B9741F"/>
    <w:rsid w:val="00B97570"/>
    <w:rsid w:val="00B9770A"/>
    <w:rsid w:val="00B97C72"/>
    <w:rsid w:val="00B97C7E"/>
    <w:rsid w:val="00BA0668"/>
    <w:rsid w:val="00BA0A74"/>
    <w:rsid w:val="00BA107B"/>
    <w:rsid w:val="00BA1431"/>
    <w:rsid w:val="00BA1D67"/>
    <w:rsid w:val="00BA26C5"/>
    <w:rsid w:val="00BA3555"/>
    <w:rsid w:val="00BA39DD"/>
    <w:rsid w:val="00BA3BDE"/>
    <w:rsid w:val="00BA4A2C"/>
    <w:rsid w:val="00BA59F0"/>
    <w:rsid w:val="00BA5A12"/>
    <w:rsid w:val="00BA6341"/>
    <w:rsid w:val="00BA6A14"/>
    <w:rsid w:val="00BA723C"/>
    <w:rsid w:val="00BB17D0"/>
    <w:rsid w:val="00BB245D"/>
    <w:rsid w:val="00BB2E6E"/>
    <w:rsid w:val="00BB358F"/>
    <w:rsid w:val="00BB3A2A"/>
    <w:rsid w:val="00BB456A"/>
    <w:rsid w:val="00BB48C8"/>
    <w:rsid w:val="00BB49A2"/>
    <w:rsid w:val="00BB4F51"/>
    <w:rsid w:val="00BB4F69"/>
    <w:rsid w:val="00BB50A7"/>
    <w:rsid w:val="00BB514B"/>
    <w:rsid w:val="00BB56B0"/>
    <w:rsid w:val="00BB58BF"/>
    <w:rsid w:val="00BB59F6"/>
    <w:rsid w:val="00BB5CE2"/>
    <w:rsid w:val="00BB6008"/>
    <w:rsid w:val="00BB6439"/>
    <w:rsid w:val="00BB663E"/>
    <w:rsid w:val="00BB70E2"/>
    <w:rsid w:val="00BB72C6"/>
    <w:rsid w:val="00BB7AC3"/>
    <w:rsid w:val="00BC0040"/>
    <w:rsid w:val="00BC0409"/>
    <w:rsid w:val="00BC0CD5"/>
    <w:rsid w:val="00BC10CF"/>
    <w:rsid w:val="00BC1458"/>
    <w:rsid w:val="00BC15CD"/>
    <w:rsid w:val="00BC19CD"/>
    <w:rsid w:val="00BC2F42"/>
    <w:rsid w:val="00BC34FC"/>
    <w:rsid w:val="00BC3545"/>
    <w:rsid w:val="00BC3F41"/>
    <w:rsid w:val="00BC3FA2"/>
    <w:rsid w:val="00BC49D0"/>
    <w:rsid w:val="00BC4A0C"/>
    <w:rsid w:val="00BC4AE9"/>
    <w:rsid w:val="00BC4F39"/>
    <w:rsid w:val="00BC500C"/>
    <w:rsid w:val="00BC557E"/>
    <w:rsid w:val="00BC6733"/>
    <w:rsid w:val="00BC7D06"/>
    <w:rsid w:val="00BC7F12"/>
    <w:rsid w:val="00BD03CD"/>
    <w:rsid w:val="00BD0624"/>
    <w:rsid w:val="00BD1AD7"/>
    <w:rsid w:val="00BD305B"/>
    <w:rsid w:val="00BD30F0"/>
    <w:rsid w:val="00BD33A6"/>
    <w:rsid w:val="00BD33CF"/>
    <w:rsid w:val="00BD369D"/>
    <w:rsid w:val="00BD396F"/>
    <w:rsid w:val="00BD45E1"/>
    <w:rsid w:val="00BD5422"/>
    <w:rsid w:val="00BD5583"/>
    <w:rsid w:val="00BD56A8"/>
    <w:rsid w:val="00BD58D1"/>
    <w:rsid w:val="00BD59DB"/>
    <w:rsid w:val="00BD60E6"/>
    <w:rsid w:val="00BD6542"/>
    <w:rsid w:val="00BD6E50"/>
    <w:rsid w:val="00BD7779"/>
    <w:rsid w:val="00BD79E4"/>
    <w:rsid w:val="00BE019F"/>
    <w:rsid w:val="00BE0A7B"/>
    <w:rsid w:val="00BE0AE2"/>
    <w:rsid w:val="00BE14F4"/>
    <w:rsid w:val="00BE1741"/>
    <w:rsid w:val="00BE18AB"/>
    <w:rsid w:val="00BE21A9"/>
    <w:rsid w:val="00BE2477"/>
    <w:rsid w:val="00BE2C94"/>
    <w:rsid w:val="00BE2DD2"/>
    <w:rsid w:val="00BE351D"/>
    <w:rsid w:val="00BE35FE"/>
    <w:rsid w:val="00BE4F55"/>
    <w:rsid w:val="00BE5376"/>
    <w:rsid w:val="00BE5DF5"/>
    <w:rsid w:val="00BE6A47"/>
    <w:rsid w:val="00BE6CE3"/>
    <w:rsid w:val="00BE724E"/>
    <w:rsid w:val="00BE734D"/>
    <w:rsid w:val="00BF0540"/>
    <w:rsid w:val="00BF0560"/>
    <w:rsid w:val="00BF0598"/>
    <w:rsid w:val="00BF07C5"/>
    <w:rsid w:val="00BF0CD7"/>
    <w:rsid w:val="00BF1128"/>
    <w:rsid w:val="00BF1668"/>
    <w:rsid w:val="00BF1802"/>
    <w:rsid w:val="00BF1B54"/>
    <w:rsid w:val="00BF1EC6"/>
    <w:rsid w:val="00BF3368"/>
    <w:rsid w:val="00BF3BCF"/>
    <w:rsid w:val="00BF4D67"/>
    <w:rsid w:val="00BF51C0"/>
    <w:rsid w:val="00BF5C46"/>
    <w:rsid w:val="00BF701F"/>
    <w:rsid w:val="00BF7B42"/>
    <w:rsid w:val="00BF7EA8"/>
    <w:rsid w:val="00C00D11"/>
    <w:rsid w:val="00C00E98"/>
    <w:rsid w:val="00C01919"/>
    <w:rsid w:val="00C01BC8"/>
    <w:rsid w:val="00C03235"/>
    <w:rsid w:val="00C05ED5"/>
    <w:rsid w:val="00C06E40"/>
    <w:rsid w:val="00C07649"/>
    <w:rsid w:val="00C10A47"/>
    <w:rsid w:val="00C11C7C"/>
    <w:rsid w:val="00C12005"/>
    <w:rsid w:val="00C122E7"/>
    <w:rsid w:val="00C1243C"/>
    <w:rsid w:val="00C125DC"/>
    <w:rsid w:val="00C12E61"/>
    <w:rsid w:val="00C13078"/>
    <w:rsid w:val="00C133C9"/>
    <w:rsid w:val="00C13B55"/>
    <w:rsid w:val="00C13E46"/>
    <w:rsid w:val="00C14121"/>
    <w:rsid w:val="00C1554B"/>
    <w:rsid w:val="00C158C0"/>
    <w:rsid w:val="00C15A1A"/>
    <w:rsid w:val="00C15DF9"/>
    <w:rsid w:val="00C15F31"/>
    <w:rsid w:val="00C16054"/>
    <w:rsid w:val="00C162B0"/>
    <w:rsid w:val="00C16799"/>
    <w:rsid w:val="00C16997"/>
    <w:rsid w:val="00C16D54"/>
    <w:rsid w:val="00C177B0"/>
    <w:rsid w:val="00C17998"/>
    <w:rsid w:val="00C201D9"/>
    <w:rsid w:val="00C208DE"/>
    <w:rsid w:val="00C20B89"/>
    <w:rsid w:val="00C20FC8"/>
    <w:rsid w:val="00C210D1"/>
    <w:rsid w:val="00C217F4"/>
    <w:rsid w:val="00C221BF"/>
    <w:rsid w:val="00C2266C"/>
    <w:rsid w:val="00C227EC"/>
    <w:rsid w:val="00C22C50"/>
    <w:rsid w:val="00C24283"/>
    <w:rsid w:val="00C24ADA"/>
    <w:rsid w:val="00C25162"/>
    <w:rsid w:val="00C2546C"/>
    <w:rsid w:val="00C263D5"/>
    <w:rsid w:val="00C267B7"/>
    <w:rsid w:val="00C26EA7"/>
    <w:rsid w:val="00C313EA"/>
    <w:rsid w:val="00C31698"/>
    <w:rsid w:val="00C318B0"/>
    <w:rsid w:val="00C32650"/>
    <w:rsid w:val="00C329DF"/>
    <w:rsid w:val="00C33935"/>
    <w:rsid w:val="00C33CBB"/>
    <w:rsid w:val="00C34B84"/>
    <w:rsid w:val="00C34CC1"/>
    <w:rsid w:val="00C3598B"/>
    <w:rsid w:val="00C35A2B"/>
    <w:rsid w:val="00C3638A"/>
    <w:rsid w:val="00C3677A"/>
    <w:rsid w:val="00C3724D"/>
    <w:rsid w:val="00C37C7A"/>
    <w:rsid w:val="00C37EB9"/>
    <w:rsid w:val="00C408B3"/>
    <w:rsid w:val="00C40BA9"/>
    <w:rsid w:val="00C40E6D"/>
    <w:rsid w:val="00C415BC"/>
    <w:rsid w:val="00C415DE"/>
    <w:rsid w:val="00C41C56"/>
    <w:rsid w:val="00C42395"/>
    <w:rsid w:val="00C42C0E"/>
    <w:rsid w:val="00C42E9E"/>
    <w:rsid w:val="00C42F4A"/>
    <w:rsid w:val="00C43159"/>
    <w:rsid w:val="00C434D3"/>
    <w:rsid w:val="00C43A5D"/>
    <w:rsid w:val="00C44197"/>
    <w:rsid w:val="00C4454F"/>
    <w:rsid w:val="00C446C0"/>
    <w:rsid w:val="00C449C1"/>
    <w:rsid w:val="00C44CB4"/>
    <w:rsid w:val="00C45FF5"/>
    <w:rsid w:val="00C463E6"/>
    <w:rsid w:val="00C4667B"/>
    <w:rsid w:val="00C46C0E"/>
    <w:rsid w:val="00C47B96"/>
    <w:rsid w:val="00C50752"/>
    <w:rsid w:val="00C50F2E"/>
    <w:rsid w:val="00C510A7"/>
    <w:rsid w:val="00C5161D"/>
    <w:rsid w:val="00C51B0B"/>
    <w:rsid w:val="00C51B11"/>
    <w:rsid w:val="00C51BA7"/>
    <w:rsid w:val="00C524EE"/>
    <w:rsid w:val="00C527C4"/>
    <w:rsid w:val="00C52A2E"/>
    <w:rsid w:val="00C534CD"/>
    <w:rsid w:val="00C544B6"/>
    <w:rsid w:val="00C54A4F"/>
    <w:rsid w:val="00C56BB2"/>
    <w:rsid w:val="00C57383"/>
    <w:rsid w:val="00C57DCB"/>
    <w:rsid w:val="00C606CF"/>
    <w:rsid w:val="00C60834"/>
    <w:rsid w:val="00C60ADD"/>
    <w:rsid w:val="00C61165"/>
    <w:rsid w:val="00C61D56"/>
    <w:rsid w:val="00C62460"/>
    <w:rsid w:val="00C62613"/>
    <w:rsid w:val="00C64135"/>
    <w:rsid w:val="00C6513A"/>
    <w:rsid w:val="00C65303"/>
    <w:rsid w:val="00C65EB6"/>
    <w:rsid w:val="00C6693C"/>
    <w:rsid w:val="00C66A91"/>
    <w:rsid w:val="00C6739D"/>
    <w:rsid w:val="00C70D48"/>
    <w:rsid w:val="00C71339"/>
    <w:rsid w:val="00C713BB"/>
    <w:rsid w:val="00C71654"/>
    <w:rsid w:val="00C72575"/>
    <w:rsid w:val="00C728CE"/>
    <w:rsid w:val="00C72FEF"/>
    <w:rsid w:val="00C73AA6"/>
    <w:rsid w:val="00C73BDE"/>
    <w:rsid w:val="00C7483E"/>
    <w:rsid w:val="00C74F45"/>
    <w:rsid w:val="00C75408"/>
    <w:rsid w:val="00C766B3"/>
    <w:rsid w:val="00C76A9D"/>
    <w:rsid w:val="00C771C3"/>
    <w:rsid w:val="00C7728D"/>
    <w:rsid w:val="00C77A77"/>
    <w:rsid w:val="00C77B8C"/>
    <w:rsid w:val="00C820B5"/>
    <w:rsid w:val="00C82C30"/>
    <w:rsid w:val="00C82EC6"/>
    <w:rsid w:val="00C843D8"/>
    <w:rsid w:val="00C8442F"/>
    <w:rsid w:val="00C8479C"/>
    <w:rsid w:val="00C84AEF"/>
    <w:rsid w:val="00C84C41"/>
    <w:rsid w:val="00C84D85"/>
    <w:rsid w:val="00C86072"/>
    <w:rsid w:val="00C862F6"/>
    <w:rsid w:val="00C86905"/>
    <w:rsid w:val="00C87A6F"/>
    <w:rsid w:val="00C87D78"/>
    <w:rsid w:val="00C87EAD"/>
    <w:rsid w:val="00C90991"/>
    <w:rsid w:val="00C90A53"/>
    <w:rsid w:val="00C9137D"/>
    <w:rsid w:val="00C915A0"/>
    <w:rsid w:val="00C91869"/>
    <w:rsid w:val="00C922CA"/>
    <w:rsid w:val="00C92CA7"/>
    <w:rsid w:val="00C92D76"/>
    <w:rsid w:val="00C94D49"/>
    <w:rsid w:val="00C95E66"/>
    <w:rsid w:val="00C962BE"/>
    <w:rsid w:val="00C97142"/>
    <w:rsid w:val="00CA0BA5"/>
    <w:rsid w:val="00CA14B8"/>
    <w:rsid w:val="00CA1F2C"/>
    <w:rsid w:val="00CA1F6D"/>
    <w:rsid w:val="00CA25BA"/>
    <w:rsid w:val="00CA3705"/>
    <w:rsid w:val="00CA4EBA"/>
    <w:rsid w:val="00CA4F4C"/>
    <w:rsid w:val="00CA532A"/>
    <w:rsid w:val="00CA561B"/>
    <w:rsid w:val="00CA60B9"/>
    <w:rsid w:val="00CA60F1"/>
    <w:rsid w:val="00CA6297"/>
    <w:rsid w:val="00CA6DDD"/>
    <w:rsid w:val="00CA713D"/>
    <w:rsid w:val="00CA7607"/>
    <w:rsid w:val="00CB02FC"/>
    <w:rsid w:val="00CB0FD4"/>
    <w:rsid w:val="00CB17A9"/>
    <w:rsid w:val="00CB1E2C"/>
    <w:rsid w:val="00CB25CA"/>
    <w:rsid w:val="00CB3746"/>
    <w:rsid w:val="00CB3861"/>
    <w:rsid w:val="00CB3D97"/>
    <w:rsid w:val="00CB43C5"/>
    <w:rsid w:val="00CB4CE6"/>
    <w:rsid w:val="00CB5C4F"/>
    <w:rsid w:val="00CB63F3"/>
    <w:rsid w:val="00CB6423"/>
    <w:rsid w:val="00CB6AA6"/>
    <w:rsid w:val="00CB7234"/>
    <w:rsid w:val="00CB72E3"/>
    <w:rsid w:val="00CB73A2"/>
    <w:rsid w:val="00CB73C1"/>
    <w:rsid w:val="00CB78AA"/>
    <w:rsid w:val="00CC0C02"/>
    <w:rsid w:val="00CC14E0"/>
    <w:rsid w:val="00CC220E"/>
    <w:rsid w:val="00CC2211"/>
    <w:rsid w:val="00CC3277"/>
    <w:rsid w:val="00CC35F2"/>
    <w:rsid w:val="00CC3E58"/>
    <w:rsid w:val="00CC4F92"/>
    <w:rsid w:val="00CC58CE"/>
    <w:rsid w:val="00CC631A"/>
    <w:rsid w:val="00CC7160"/>
    <w:rsid w:val="00CC7A44"/>
    <w:rsid w:val="00CD0651"/>
    <w:rsid w:val="00CD0831"/>
    <w:rsid w:val="00CD0BB2"/>
    <w:rsid w:val="00CD1394"/>
    <w:rsid w:val="00CD24C5"/>
    <w:rsid w:val="00CD3B9A"/>
    <w:rsid w:val="00CD429D"/>
    <w:rsid w:val="00CD4761"/>
    <w:rsid w:val="00CD5198"/>
    <w:rsid w:val="00CD5283"/>
    <w:rsid w:val="00CD547A"/>
    <w:rsid w:val="00CD5DB4"/>
    <w:rsid w:val="00CD626B"/>
    <w:rsid w:val="00CD657D"/>
    <w:rsid w:val="00CD66DE"/>
    <w:rsid w:val="00CD68B3"/>
    <w:rsid w:val="00CD78DC"/>
    <w:rsid w:val="00CD79CD"/>
    <w:rsid w:val="00CD7C6D"/>
    <w:rsid w:val="00CE0419"/>
    <w:rsid w:val="00CE05CF"/>
    <w:rsid w:val="00CE0640"/>
    <w:rsid w:val="00CE07C9"/>
    <w:rsid w:val="00CE1162"/>
    <w:rsid w:val="00CE175D"/>
    <w:rsid w:val="00CE19C4"/>
    <w:rsid w:val="00CE37B7"/>
    <w:rsid w:val="00CE40D1"/>
    <w:rsid w:val="00CE465F"/>
    <w:rsid w:val="00CE4B1C"/>
    <w:rsid w:val="00CE5114"/>
    <w:rsid w:val="00CE5182"/>
    <w:rsid w:val="00CE54EB"/>
    <w:rsid w:val="00CE57B5"/>
    <w:rsid w:val="00CE6186"/>
    <w:rsid w:val="00CE77B1"/>
    <w:rsid w:val="00CF09D8"/>
    <w:rsid w:val="00CF1108"/>
    <w:rsid w:val="00CF18EC"/>
    <w:rsid w:val="00CF1AC7"/>
    <w:rsid w:val="00CF1C50"/>
    <w:rsid w:val="00CF1DBD"/>
    <w:rsid w:val="00CF204E"/>
    <w:rsid w:val="00CF2635"/>
    <w:rsid w:val="00CF2956"/>
    <w:rsid w:val="00CF3758"/>
    <w:rsid w:val="00CF391E"/>
    <w:rsid w:val="00CF3FBE"/>
    <w:rsid w:val="00CF3FC9"/>
    <w:rsid w:val="00CF454D"/>
    <w:rsid w:val="00CF4551"/>
    <w:rsid w:val="00CF459F"/>
    <w:rsid w:val="00CF5297"/>
    <w:rsid w:val="00CF5410"/>
    <w:rsid w:val="00CF577E"/>
    <w:rsid w:val="00CF65B9"/>
    <w:rsid w:val="00CF6DA3"/>
    <w:rsid w:val="00CF6E2F"/>
    <w:rsid w:val="00CF71A1"/>
    <w:rsid w:val="00CF73C6"/>
    <w:rsid w:val="00CF7DA6"/>
    <w:rsid w:val="00D01630"/>
    <w:rsid w:val="00D017EF"/>
    <w:rsid w:val="00D0218E"/>
    <w:rsid w:val="00D0220D"/>
    <w:rsid w:val="00D035B2"/>
    <w:rsid w:val="00D03D9E"/>
    <w:rsid w:val="00D04361"/>
    <w:rsid w:val="00D04899"/>
    <w:rsid w:val="00D0618B"/>
    <w:rsid w:val="00D06D52"/>
    <w:rsid w:val="00D078FD"/>
    <w:rsid w:val="00D07C1B"/>
    <w:rsid w:val="00D07E05"/>
    <w:rsid w:val="00D10E59"/>
    <w:rsid w:val="00D11021"/>
    <w:rsid w:val="00D11388"/>
    <w:rsid w:val="00D119E9"/>
    <w:rsid w:val="00D128C2"/>
    <w:rsid w:val="00D145ED"/>
    <w:rsid w:val="00D147D3"/>
    <w:rsid w:val="00D152B6"/>
    <w:rsid w:val="00D16253"/>
    <w:rsid w:val="00D164EE"/>
    <w:rsid w:val="00D17121"/>
    <w:rsid w:val="00D17639"/>
    <w:rsid w:val="00D204CA"/>
    <w:rsid w:val="00D208ED"/>
    <w:rsid w:val="00D20F4B"/>
    <w:rsid w:val="00D20FA1"/>
    <w:rsid w:val="00D20FDB"/>
    <w:rsid w:val="00D211F9"/>
    <w:rsid w:val="00D2170E"/>
    <w:rsid w:val="00D221D9"/>
    <w:rsid w:val="00D22C65"/>
    <w:rsid w:val="00D22F95"/>
    <w:rsid w:val="00D23283"/>
    <w:rsid w:val="00D233FE"/>
    <w:rsid w:val="00D242A3"/>
    <w:rsid w:val="00D245BD"/>
    <w:rsid w:val="00D24822"/>
    <w:rsid w:val="00D266CC"/>
    <w:rsid w:val="00D26787"/>
    <w:rsid w:val="00D26D42"/>
    <w:rsid w:val="00D26F2D"/>
    <w:rsid w:val="00D2706C"/>
    <w:rsid w:val="00D274F6"/>
    <w:rsid w:val="00D27ABF"/>
    <w:rsid w:val="00D305CE"/>
    <w:rsid w:val="00D30608"/>
    <w:rsid w:val="00D3072B"/>
    <w:rsid w:val="00D30918"/>
    <w:rsid w:val="00D31AD6"/>
    <w:rsid w:val="00D31EC7"/>
    <w:rsid w:val="00D32527"/>
    <w:rsid w:val="00D32BE2"/>
    <w:rsid w:val="00D32D19"/>
    <w:rsid w:val="00D336E3"/>
    <w:rsid w:val="00D339AC"/>
    <w:rsid w:val="00D33D9B"/>
    <w:rsid w:val="00D33E20"/>
    <w:rsid w:val="00D34377"/>
    <w:rsid w:val="00D345E0"/>
    <w:rsid w:val="00D34A16"/>
    <w:rsid w:val="00D3674B"/>
    <w:rsid w:val="00D37005"/>
    <w:rsid w:val="00D408AA"/>
    <w:rsid w:val="00D424BC"/>
    <w:rsid w:val="00D42A60"/>
    <w:rsid w:val="00D42EF2"/>
    <w:rsid w:val="00D430EF"/>
    <w:rsid w:val="00D431B4"/>
    <w:rsid w:val="00D4401C"/>
    <w:rsid w:val="00D44340"/>
    <w:rsid w:val="00D448B0"/>
    <w:rsid w:val="00D45821"/>
    <w:rsid w:val="00D458F1"/>
    <w:rsid w:val="00D4611A"/>
    <w:rsid w:val="00D4695F"/>
    <w:rsid w:val="00D4749D"/>
    <w:rsid w:val="00D47C1F"/>
    <w:rsid w:val="00D47D79"/>
    <w:rsid w:val="00D47DE7"/>
    <w:rsid w:val="00D47E0F"/>
    <w:rsid w:val="00D50ABC"/>
    <w:rsid w:val="00D51275"/>
    <w:rsid w:val="00D51B00"/>
    <w:rsid w:val="00D51FDF"/>
    <w:rsid w:val="00D520C7"/>
    <w:rsid w:val="00D52D4B"/>
    <w:rsid w:val="00D53795"/>
    <w:rsid w:val="00D551F6"/>
    <w:rsid w:val="00D556D5"/>
    <w:rsid w:val="00D55F4A"/>
    <w:rsid w:val="00D57609"/>
    <w:rsid w:val="00D579AA"/>
    <w:rsid w:val="00D625A5"/>
    <w:rsid w:val="00D64123"/>
    <w:rsid w:val="00D6457B"/>
    <w:rsid w:val="00D65D68"/>
    <w:rsid w:val="00D66957"/>
    <w:rsid w:val="00D6695E"/>
    <w:rsid w:val="00D670A1"/>
    <w:rsid w:val="00D67681"/>
    <w:rsid w:val="00D70424"/>
    <w:rsid w:val="00D70B9B"/>
    <w:rsid w:val="00D70F09"/>
    <w:rsid w:val="00D7115D"/>
    <w:rsid w:val="00D7181C"/>
    <w:rsid w:val="00D71EFD"/>
    <w:rsid w:val="00D7409B"/>
    <w:rsid w:val="00D751D0"/>
    <w:rsid w:val="00D759D2"/>
    <w:rsid w:val="00D7636F"/>
    <w:rsid w:val="00D77DA8"/>
    <w:rsid w:val="00D80336"/>
    <w:rsid w:val="00D805F3"/>
    <w:rsid w:val="00D8068B"/>
    <w:rsid w:val="00D808E4"/>
    <w:rsid w:val="00D80AEE"/>
    <w:rsid w:val="00D8131C"/>
    <w:rsid w:val="00D814A9"/>
    <w:rsid w:val="00D81584"/>
    <w:rsid w:val="00D83C88"/>
    <w:rsid w:val="00D840A0"/>
    <w:rsid w:val="00D84AF8"/>
    <w:rsid w:val="00D84C90"/>
    <w:rsid w:val="00D864B2"/>
    <w:rsid w:val="00D864E2"/>
    <w:rsid w:val="00D87A19"/>
    <w:rsid w:val="00D87B43"/>
    <w:rsid w:val="00D87C85"/>
    <w:rsid w:val="00D90066"/>
    <w:rsid w:val="00D903DC"/>
    <w:rsid w:val="00D91458"/>
    <w:rsid w:val="00D918F9"/>
    <w:rsid w:val="00D91F09"/>
    <w:rsid w:val="00D91FC2"/>
    <w:rsid w:val="00D922F8"/>
    <w:rsid w:val="00D922FA"/>
    <w:rsid w:val="00D926CA"/>
    <w:rsid w:val="00D92A49"/>
    <w:rsid w:val="00D93BD7"/>
    <w:rsid w:val="00D93FFA"/>
    <w:rsid w:val="00D9467B"/>
    <w:rsid w:val="00D94CF1"/>
    <w:rsid w:val="00D94D41"/>
    <w:rsid w:val="00D95B5F"/>
    <w:rsid w:val="00D95C47"/>
    <w:rsid w:val="00D9787E"/>
    <w:rsid w:val="00D97A05"/>
    <w:rsid w:val="00DA0AE5"/>
    <w:rsid w:val="00DA1255"/>
    <w:rsid w:val="00DA21D4"/>
    <w:rsid w:val="00DA2FA7"/>
    <w:rsid w:val="00DA3276"/>
    <w:rsid w:val="00DA32BD"/>
    <w:rsid w:val="00DA3C70"/>
    <w:rsid w:val="00DA441E"/>
    <w:rsid w:val="00DA51C9"/>
    <w:rsid w:val="00DA556C"/>
    <w:rsid w:val="00DA5593"/>
    <w:rsid w:val="00DA5C9C"/>
    <w:rsid w:val="00DA73A4"/>
    <w:rsid w:val="00DB15FC"/>
    <w:rsid w:val="00DB1DE7"/>
    <w:rsid w:val="00DB2B45"/>
    <w:rsid w:val="00DB488F"/>
    <w:rsid w:val="00DB549E"/>
    <w:rsid w:val="00DB5A5B"/>
    <w:rsid w:val="00DB5E2F"/>
    <w:rsid w:val="00DB5F73"/>
    <w:rsid w:val="00DB609F"/>
    <w:rsid w:val="00DB69C8"/>
    <w:rsid w:val="00DB7337"/>
    <w:rsid w:val="00DB7388"/>
    <w:rsid w:val="00DB7702"/>
    <w:rsid w:val="00DB7D6E"/>
    <w:rsid w:val="00DB7D7F"/>
    <w:rsid w:val="00DB7E56"/>
    <w:rsid w:val="00DC00E0"/>
    <w:rsid w:val="00DC0503"/>
    <w:rsid w:val="00DC0C57"/>
    <w:rsid w:val="00DC106C"/>
    <w:rsid w:val="00DC10D6"/>
    <w:rsid w:val="00DC143E"/>
    <w:rsid w:val="00DC151E"/>
    <w:rsid w:val="00DC1F62"/>
    <w:rsid w:val="00DC2555"/>
    <w:rsid w:val="00DC3B77"/>
    <w:rsid w:val="00DC4DF8"/>
    <w:rsid w:val="00DC586C"/>
    <w:rsid w:val="00DC5B42"/>
    <w:rsid w:val="00DC6391"/>
    <w:rsid w:val="00DC6611"/>
    <w:rsid w:val="00DC663F"/>
    <w:rsid w:val="00DC6E10"/>
    <w:rsid w:val="00DD02ED"/>
    <w:rsid w:val="00DD151D"/>
    <w:rsid w:val="00DD1701"/>
    <w:rsid w:val="00DD1FEF"/>
    <w:rsid w:val="00DD2F3D"/>
    <w:rsid w:val="00DD30A4"/>
    <w:rsid w:val="00DD3657"/>
    <w:rsid w:val="00DD3A43"/>
    <w:rsid w:val="00DD4076"/>
    <w:rsid w:val="00DD4496"/>
    <w:rsid w:val="00DD53D3"/>
    <w:rsid w:val="00DD569C"/>
    <w:rsid w:val="00DD57B8"/>
    <w:rsid w:val="00DD69E4"/>
    <w:rsid w:val="00DD6D0F"/>
    <w:rsid w:val="00DD6E73"/>
    <w:rsid w:val="00DD6F67"/>
    <w:rsid w:val="00DD7AB1"/>
    <w:rsid w:val="00DD7BC8"/>
    <w:rsid w:val="00DD7E2A"/>
    <w:rsid w:val="00DE0C1E"/>
    <w:rsid w:val="00DE14BC"/>
    <w:rsid w:val="00DE1C82"/>
    <w:rsid w:val="00DE2906"/>
    <w:rsid w:val="00DE2ABD"/>
    <w:rsid w:val="00DE2BE7"/>
    <w:rsid w:val="00DE2F84"/>
    <w:rsid w:val="00DE36D4"/>
    <w:rsid w:val="00DE38F9"/>
    <w:rsid w:val="00DE3EC7"/>
    <w:rsid w:val="00DE4B71"/>
    <w:rsid w:val="00DE50BC"/>
    <w:rsid w:val="00DE526D"/>
    <w:rsid w:val="00DE57D1"/>
    <w:rsid w:val="00DE5A48"/>
    <w:rsid w:val="00DE62DA"/>
    <w:rsid w:val="00DE6BA2"/>
    <w:rsid w:val="00DE7ABA"/>
    <w:rsid w:val="00DF0462"/>
    <w:rsid w:val="00DF0821"/>
    <w:rsid w:val="00DF0B7A"/>
    <w:rsid w:val="00DF1BB0"/>
    <w:rsid w:val="00DF2381"/>
    <w:rsid w:val="00DF25D1"/>
    <w:rsid w:val="00DF2D74"/>
    <w:rsid w:val="00DF33DC"/>
    <w:rsid w:val="00DF3801"/>
    <w:rsid w:val="00DF3900"/>
    <w:rsid w:val="00DF432D"/>
    <w:rsid w:val="00DF477C"/>
    <w:rsid w:val="00DF4CA7"/>
    <w:rsid w:val="00DF5372"/>
    <w:rsid w:val="00DF58CD"/>
    <w:rsid w:val="00DF6D72"/>
    <w:rsid w:val="00DF6E68"/>
    <w:rsid w:val="00DF720B"/>
    <w:rsid w:val="00DF7663"/>
    <w:rsid w:val="00DF79AC"/>
    <w:rsid w:val="00DF7AA2"/>
    <w:rsid w:val="00DF7C43"/>
    <w:rsid w:val="00E00549"/>
    <w:rsid w:val="00E0055B"/>
    <w:rsid w:val="00E0081A"/>
    <w:rsid w:val="00E00C10"/>
    <w:rsid w:val="00E012B0"/>
    <w:rsid w:val="00E01AD2"/>
    <w:rsid w:val="00E01DDC"/>
    <w:rsid w:val="00E01E26"/>
    <w:rsid w:val="00E01E9D"/>
    <w:rsid w:val="00E02C07"/>
    <w:rsid w:val="00E03D0B"/>
    <w:rsid w:val="00E03D3E"/>
    <w:rsid w:val="00E03E71"/>
    <w:rsid w:val="00E04CCD"/>
    <w:rsid w:val="00E0570B"/>
    <w:rsid w:val="00E0593F"/>
    <w:rsid w:val="00E05E7E"/>
    <w:rsid w:val="00E06089"/>
    <w:rsid w:val="00E0640F"/>
    <w:rsid w:val="00E06A1C"/>
    <w:rsid w:val="00E06B9F"/>
    <w:rsid w:val="00E06BB8"/>
    <w:rsid w:val="00E070C6"/>
    <w:rsid w:val="00E10459"/>
    <w:rsid w:val="00E105CD"/>
    <w:rsid w:val="00E109EA"/>
    <w:rsid w:val="00E10AC6"/>
    <w:rsid w:val="00E10ED8"/>
    <w:rsid w:val="00E11CF4"/>
    <w:rsid w:val="00E12012"/>
    <w:rsid w:val="00E12715"/>
    <w:rsid w:val="00E135C0"/>
    <w:rsid w:val="00E136FA"/>
    <w:rsid w:val="00E13C2F"/>
    <w:rsid w:val="00E13D54"/>
    <w:rsid w:val="00E14A0B"/>
    <w:rsid w:val="00E151CD"/>
    <w:rsid w:val="00E161DF"/>
    <w:rsid w:val="00E1623E"/>
    <w:rsid w:val="00E16AA2"/>
    <w:rsid w:val="00E1750A"/>
    <w:rsid w:val="00E17D63"/>
    <w:rsid w:val="00E17EB3"/>
    <w:rsid w:val="00E20164"/>
    <w:rsid w:val="00E204DB"/>
    <w:rsid w:val="00E2124C"/>
    <w:rsid w:val="00E21F49"/>
    <w:rsid w:val="00E22920"/>
    <w:rsid w:val="00E22D6E"/>
    <w:rsid w:val="00E23E6B"/>
    <w:rsid w:val="00E240FD"/>
    <w:rsid w:val="00E24758"/>
    <w:rsid w:val="00E25288"/>
    <w:rsid w:val="00E25586"/>
    <w:rsid w:val="00E25DB2"/>
    <w:rsid w:val="00E26D09"/>
    <w:rsid w:val="00E2758F"/>
    <w:rsid w:val="00E30F37"/>
    <w:rsid w:val="00E31823"/>
    <w:rsid w:val="00E3245B"/>
    <w:rsid w:val="00E32671"/>
    <w:rsid w:val="00E33B24"/>
    <w:rsid w:val="00E33E8A"/>
    <w:rsid w:val="00E34FF1"/>
    <w:rsid w:val="00E35EBF"/>
    <w:rsid w:val="00E364FB"/>
    <w:rsid w:val="00E36BD8"/>
    <w:rsid w:val="00E36C25"/>
    <w:rsid w:val="00E3718B"/>
    <w:rsid w:val="00E3793C"/>
    <w:rsid w:val="00E400AC"/>
    <w:rsid w:val="00E40186"/>
    <w:rsid w:val="00E4094B"/>
    <w:rsid w:val="00E40BC0"/>
    <w:rsid w:val="00E415EE"/>
    <w:rsid w:val="00E41621"/>
    <w:rsid w:val="00E4183C"/>
    <w:rsid w:val="00E427DF"/>
    <w:rsid w:val="00E42D66"/>
    <w:rsid w:val="00E4333D"/>
    <w:rsid w:val="00E435BF"/>
    <w:rsid w:val="00E446C7"/>
    <w:rsid w:val="00E448A2"/>
    <w:rsid w:val="00E44C27"/>
    <w:rsid w:val="00E453C9"/>
    <w:rsid w:val="00E45AAE"/>
    <w:rsid w:val="00E46867"/>
    <w:rsid w:val="00E47684"/>
    <w:rsid w:val="00E47C75"/>
    <w:rsid w:val="00E505EC"/>
    <w:rsid w:val="00E512AF"/>
    <w:rsid w:val="00E5190B"/>
    <w:rsid w:val="00E52180"/>
    <w:rsid w:val="00E52F14"/>
    <w:rsid w:val="00E5519C"/>
    <w:rsid w:val="00E5535A"/>
    <w:rsid w:val="00E557E9"/>
    <w:rsid w:val="00E5615C"/>
    <w:rsid w:val="00E565D7"/>
    <w:rsid w:val="00E57BB5"/>
    <w:rsid w:val="00E57DB0"/>
    <w:rsid w:val="00E61067"/>
    <w:rsid w:val="00E6194F"/>
    <w:rsid w:val="00E620BD"/>
    <w:rsid w:val="00E62619"/>
    <w:rsid w:val="00E6279E"/>
    <w:rsid w:val="00E63C45"/>
    <w:rsid w:val="00E64AFF"/>
    <w:rsid w:val="00E64B7C"/>
    <w:rsid w:val="00E64FE5"/>
    <w:rsid w:val="00E65004"/>
    <w:rsid w:val="00E6682C"/>
    <w:rsid w:val="00E67946"/>
    <w:rsid w:val="00E703D9"/>
    <w:rsid w:val="00E70BE3"/>
    <w:rsid w:val="00E711D6"/>
    <w:rsid w:val="00E71236"/>
    <w:rsid w:val="00E71A9F"/>
    <w:rsid w:val="00E71CCD"/>
    <w:rsid w:val="00E72320"/>
    <w:rsid w:val="00E723E2"/>
    <w:rsid w:val="00E73446"/>
    <w:rsid w:val="00E746D5"/>
    <w:rsid w:val="00E751CD"/>
    <w:rsid w:val="00E752ED"/>
    <w:rsid w:val="00E75609"/>
    <w:rsid w:val="00E7718F"/>
    <w:rsid w:val="00E774F4"/>
    <w:rsid w:val="00E7777A"/>
    <w:rsid w:val="00E80392"/>
    <w:rsid w:val="00E80A01"/>
    <w:rsid w:val="00E80B88"/>
    <w:rsid w:val="00E810E5"/>
    <w:rsid w:val="00E8125E"/>
    <w:rsid w:val="00E81CA1"/>
    <w:rsid w:val="00E82842"/>
    <w:rsid w:val="00E82FA0"/>
    <w:rsid w:val="00E837AC"/>
    <w:rsid w:val="00E84612"/>
    <w:rsid w:val="00E84A85"/>
    <w:rsid w:val="00E84AD5"/>
    <w:rsid w:val="00E84F0A"/>
    <w:rsid w:val="00E855CB"/>
    <w:rsid w:val="00E855CD"/>
    <w:rsid w:val="00E8571B"/>
    <w:rsid w:val="00E85CD1"/>
    <w:rsid w:val="00E90389"/>
    <w:rsid w:val="00E90D53"/>
    <w:rsid w:val="00E919E3"/>
    <w:rsid w:val="00E922CC"/>
    <w:rsid w:val="00E9244D"/>
    <w:rsid w:val="00E92939"/>
    <w:rsid w:val="00E92BC7"/>
    <w:rsid w:val="00E92E2C"/>
    <w:rsid w:val="00E9306F"/>
    <w:rsid w:val="00E939E5"/>
    <w:rsid w:val="00E946BD"/>
    <w:rsid w:val="00E94A62"/>
    <w:rsid w:val="00E94C41"/>
    <w:rsid w:val="00E9667B"/>
    <w:rsid w:val="00E96988"/>
    <w:rsid w:val="00E9703E"/>
    <w:rsid w:val="00E97BA0"/>
    <w:rsid w:val="00E97F04"/>
    <w:rsid w:val="00EA01AE"/>
    <w:rsid w:val="00EA0F5B"/>
    <w:rsid w:val="00EA23C7"/>
    <w:rsid w:val="00EA2605"/>
    <w:rsid w:val="00EA294D"/>
    <w:rsid w:val="00EA2C09"/>
    <w:rsid w:val="00EA3A99"/>
    <w:rsid w:val="00EA5504"/>
    <w:rsid w:val="00EA55D1"/>
    <w:rsid w:val="00EA56FC"/>
    <w:rsid w:val="00EA6DB6"/>
    <w:rsid w:val="00EA749E"/>
    <w:rsid w:val="00EA7ACC"/>
    <w:rsid w:val="00EB000D"/>
    <w:rsid w:val="00EB01CE"/>
    <w:rsid w:val="00EB0290"/>
    <w:rsid w:val="00EB045B"/>
    <w:rsid w:val="00EB05CF"/>
    <w:rsid w:val="00EB0B68"/>
    <w:rsid w:val="00EB1498"/>
    <w:rsid w:val="00EB1FF3"/>
    <w:rsid w:val="00EB2413"/>
    <w:rsid w:val="00EB2449"/>
    <w:rsid w:val="00EB2543"/>
    <w:rsid w:val="00EB289F"/>
    <w:rsid w:val="00EB36F7"/>
    <w:rsid w:val="00EB3A66"/>
    <w:rsid w:val="00EB4258"/>
    <w:rsid w:val="00EB46D8"/>
    <w:rsid w:val="00EB470B"/>
    <w:rsid w:val="00EB4B98"/>
    <w:rsid w:val="00EB5EC0"/>
    <w:rsid w:val="00EB60D7"/>
    <w:rsid w:val="00EB6471"/>
    <w:rsid w:val="00EB712B"/>
    <w:rsid w:val="00EB72F5"/>
    <w:rsid w:val="00EB7838"/>
    <w:rsid w:val="00EB7975"/>
    <w:rsid w:val="00EB7AE7"/>
    <w:rsid w:val="00EC0629"/>
    <w:rsid w:val="00EC0762"/>
    <w:rsid w:val="00EC0BC6"/>
    <w:rsid w:val="00EC0C28"/>
    <w:rsid w:val="00EC1337"/>
    <w:rsid w:val="00EC14E4"/>
    <w:rsid w:val="00EC14EB"/>
    <w:rsid w:val="00EC18BC"/>
    <w:rsid w:val="00EC1982"/>
    <w:rsid w:val="00EC19B3"/>
    <w:rsid w:val="00EC1FF4"/>
    <w:rsid w:val="00EC384B"/>
    <w:rsid w:val="00EC3B66"/>
    <w:rsid w:val="00EC3C28"/>
    <w:rsid w:val="00EC40E9"/>
    <w:rsid w:val="00EC4A76"/>
    <w:rsid w:val="00EC54D3"/>
    <w:rsid w:val="00EC64D6"/>
    <w:rsid w:val="00EC66D7"/>
    <w:rsid w:val="00EC67A8"/>
    <w:rsid w:val="00EC6902"/>
    <w:rsid w:val="00EC6B7F"/>
    <w:rsid w:val="00EC7EE0"/>
    <w:rsid w:val="00ED0078"/>
    <w:rsid w:val="00ED0D0A"/>
    <w:rsid w:val="00ED13B3"/>
    <w:rsid w:val="00ED2C66"/>
    <w:rsid w:val="00ED3617"/>
    <w:rsid w:val="00ED3FC7"/>
    <w:rsid w:val="00ED4729"/>
    <w:rsid w:val="00ED517A"/>
    <w:rsid w:val="00ED73FC"/>
    <w:rsid w:val="00ED75EE"/>
    <w:rsid w:val="00ED791D"/>
    <w:rsid w:val="00ED7B6C"/>
    <w:rsid w:val="00ED7ED5"/>
    <w:rsid w:val="00EE0B78"/>
    <w:rsid w:val="00EE0C86"/>
    <w:rsid w:val="00EE0CF5"/>
    <w:rsid w:val="00EE1155"/>
    <w:rsid w:val="00EE215F"/>
    <w:rsid w:val="00EE265B"/>
    <w:rsid w:val="00EE2727"/>
    <w:rsid w:val="00EE275D"/>
    <w:rsid w:val="00EE2EBF"/>
    <w:rsid w:val="00EE34D2"/>
    <w:rsid w:val="00EE4424"/>
    <w:rsid w:val="00EE4D29"/>
    <w:rsid w:val="00EE4E31"/>
    <w:rsid w:val="00EE4F49"/>
    <w:rsid w:val="00EE5050"/>
    <w:rsid w:val="00EE5213"/>
    <w:rsid w:val="00EE6217"/>
    <w:rsid w:val="00EE63DB"/>
    <w:rsid w:val="00EE6542"/>
    <w:rsid w:val="00EE6974"/>
    <w:rsid w:val="00EE7370"/>
    <w:rsid w:val="00EE7BE5"/>
    <w:rsid w:val="00EE7DA4"/>
    <w:rsid w:val="00EF06C2"/>
    <w:rsid w:val="00EF1099"/>
    <w:rsid w:val="00EF15FE"/>
    <w:rsid w:val="00EF1675"/>
    <w:rsid w:val="00EF2279"/>
    <w:rsid w:val="00EF336E"/>
    <w:rsid w:val="00EF4091"/>
    <w:rsid w:val="00EF418E"/>
    <w:rsid w:val="00EF4451"/>
    <w:rsid w:val="00EF4C7A"/>
    <w:rsid w:val="00EF675C"/>
    <w:rsid w:val="00EF6983"/>
    <w:rsid w:val="00EF6D2E"/>
    <w:rsid w:val="00EF7150"/>
    <w:rsid w:val="00EF7AAF"/>
    <w:rsid w:val="00EF7B4B"/>
    <w:rsid w:val="00F01359"/>
    <w:rsid w:val="00F03B4A"/>
    <w:rsid w:val="00F04323"/>
    <w:rsid w:val="00F044ED"/>
    <w:rsid w:val="00F06358"/>
    <w:rsid w:val="00F06F84"/>
    <w:rsid w:val="00F075E2"/>
    <w:rsid w:val="00F0788A"/>
    <w:rsid w:val="00F10A03"/>
    <w:rsid w:val="00F10DBB"/>
    <w:rsid w:val="00F11053"/>
    <w:rsid w:val="00F121B9"/>
    <w:rsid w:val="00F12A3B"/>
    <w:rsid w:val="00F135AC"/>
    <w:rsid w:val="00F13E2E"/>
    <w:rsid w:val="00F142D5"/>
    <w:rsid w:val="00F15107"/>
    <w:rsid w:val="00F15427"/>
    <w:rsid w:val="00F15466"/>
    <w:rsid w:val="00F1688F"/>
    <w:rsid w:val="00F20017"/>
    <w:rsid w:val="00F206ED"/>
    <w:rsid w:val="00F21A44"/>
    <w:rsid w:val="00F23A42"/>
    <w:rsid w:val="00F23F27"/>
    <w:rsid w:val="00F24327"/>
    <w:rsid w:val="00F245F5"/>
    <w:rsid w:val="00F24A81"/>
    <w:rsid w:val="00F25201"/>
    <w:rsid w:val="00F26C84"/>
    <w:rsid w:val="00F26CFD"/>
    <w:rsid w:val="00F26D8F"/>
    <w:rsid w:val="00F277AE"/>
    <w:rsid w:val="00F3014B"/>
    <w:rsid w:val="00F3037F"/>
    <w:rsid w:val="00F30640"/>
    <w:rsid w:val="00F306E7"/>
    <w:rsid w:val="00F309F7"/>
    <w:rsid w:val="00F33B53"/>
    <w:rsid w:val="00F346BD"/>
    <w:rsid w:val="00F3474A"/>
    <w:rsid w:val="00F35C91"/>
    <w:rsid w:val="00F36850"/>
    <w:rsid w:val="00F3748A"/>
    <w:rsid w:val="00F4159C"/>
    <w:rsid w:val="00F41801"/>
    <w:rsid w:val="00F41AA8"/>
    <w:rsid w:val="00F41B08"/>
    <w:rsid w:val="00F41FA4"/>
    <w:rsid w:val="00F4234C"/>
    <w:rsid w:val="00F43054"/>
    <w:rsid w:val="00F432B3"/>
    <w:rsid w:val="00F44A32"/>
    <w:rsid w:val="00F45351"/>
    <w:rsid w:val="00F4569A"/>
    <w:rsid w:val="00F45849"/>
    <w:rsid w:val="00F462C6"/>
    <w:rsid w:val="00F46326"/>
    <w:rsid w:val="00F464D0"/>
    <w:rsid w:val="00F4769C"/>
    <w:rsid w:val="00F501B1"/>
    <w:rsid w:val="00F50E2C"/>
    <w:rsid w:val="00F50EAC"/>
    <w:rsid w:val="00F512FF"/>
    <w:rsid w:val="00F5145D"/>
    <w:rsid w:val="00F5226A"/>
    <w:rsid w:val="00F52D8C"/>
    <w:rsid w:val="00F52E7E"/>
    <w:rsid w:val="00F52F4A"/>
    <w:rsid w:val="00F541BF"/>
    <w:rsid w:val="00F54D83"/>
    <w:rsid w:val="00F56848"/>
    <w:rsid w:val="00F57427"/>
    <w:rsid w:val="00F57DF2"/>
    <w:rsid w:val="00F60EF3"/>
    <w:rsid w:val="00F614D9"/>
    <w:rsid w:val="00F61BC8"/>
    <w:rsid w:val="00F6208F"/>
    <w:rsid w:val="00F6292F"/>
    <w:rsid w:val="00F62C4F"/>
    <w:rsid w:val="00F62CEF"/>
    <w:rsid w:val="00F63A78"/>
    <w:rsid w:val="00F6448B"/>
    <w:rsid w:val="00F645F9"/>
    <w:rsid w:val="00F6476A"/>
    <w:rsid w:val="00F64E1C"/>
    <w:rsid w:val="00F64EB4"/>
    <w:rsid w:val="00F651AC"/>
    <w:rsid w:val="00F652C8"/>
    <w:rsid w:val="00F66349"/>
    <w:rsid w:val="00F6665E"/>
    <w:rsid w:val="00F66CA1"/>
    <w:rsid w:val="00F7021E"/>
    <w:rsid w:val="00F70B76"/>
    <w:rsid w:val="00F71036"/>
    <w:rsid w:val="00F71237"/>
    <w:rsid w:val="00F7152A"/>
    <w:rsid w:val="00F7361F"/>
    <w:rsid w:val="00F73B30"/>
    <w:rsid w:val="00F73FD0"/>
    <w:rsid w:val="00F740E1"/>
    <w:rsid w:val="00F747F5"/>
    <w:rsid w:val="00F75119"/>
    <w:rsid w:val="00F758E5"/>
    <w:rsid w:val="00F75A32"/>
    <w:rsid w:val="00F75D8C"/>
    <w:rsid w:val="00F75F5D"/>
    <w:rsid w:val="00F7660C"/>
    <w:rsid w:val="00F7692B"/>
    <w:rsid w:val="00F76F6B"/>
    <w:rsid w:val="00F7718A"/>
    <w:rsid w:val="00F777A3"/>
    <w:rsid w:val="00F777AD"/>
    <w:rsid w:val="00F77B05"/>
    <w:rsid w:val="00F80526"/>
    <w:rsid w:val="00F8055E"/>
    <w:rsid w:val="00F80784"/>
    <w:rsid w:val="00F8159E"/>
    <w:rsid w:val="00F81762"/>
    <w:rsid w:val="00F8186E"/>
    <w:rsid w:val="00F82AF2"/>
    <w:rsid w:val="00F82E14"/>
    <w:rsid w:val="00F83BF9"/>
    <w:rsid w:val="00F83D7E"/>
    <w:rsid w:val="00F83D9E"/>
    <w:rsid w:val="00F8407E"/>
    <w:rsid w:val="00F8492C"/>
    <w:rsid w:val="00F855CD"/>
    <w:rsid w:val="00F860FB"/>
    <w:rsid w:val="00F864DB"/>
    <w:rsid w:val="00F8666A"/>
    <w:rsid w:val="00F87723"/>
    <w:rsid w:val="00F87824"/>
    <w:rsid w:val="00F90A7F"/>
    <w:rsid w:val="00F90B15"/>
    <w:rsid w:val="00F90BC8"/>
    <w:rsid w:val="00F910D3"/>
    <w:rsid w:val="00F9136D"/>
    <w:rsid w:val="00F91920"/>
    <w:rsid w:val="00F92BC0"/>
    <w:rsid w:val="00F93C66"/>
    <w:rsid w:val="00F9414A"/>
    <w:rsid w:val="00F94C8F"/>
    <w:rsid w:val="00F94D37"/>
    <w:rsid w:val="00F955B2"/>
    <w:rsid w:val="00F9667F"/>
    <w:rsid w:val="00F974D0"/>
    <w:rsid w:val="00F97790"/>
    <w:rsid w:val="00FA040A"/>
    <w:rsid w:val="00FA0488"/>
    <w:rsid w:val="00FA12C8"/>
    <w:rsid w:val="00FA14A6"/>
    <w:rsid w:val="00FA211E"/>
    <w:rsid w:val="00FA252F"/>
    <w:rsid w:val="00FA293A"/>
    <w:rsid w:val="00FA2F3F"/>
    <w:rsid w:val="00FA3562"/>
    <w:rsid w:val="00FA4811"/>
    <w:rsid w:val="00FA512E"/>
    <w:rsid w:val="00FA59D0"/>
    <w:rsid w:val="00FA5E77"/>
    <w:rsid w:val="00FA5FE2"/>
    <w:rsid w:val="00FA6A9A"/>
    <w:rsid w:val="00FA6D6F"/>
    <w:rsid w:val="00FA6DBB"/>
    <w:rsid w:val="00FA6F13"/>
    <w:rsid w:val="00FA7629"/>
    <w:rsid w:val="00FB00CE"/>
    <w:rsid w:val="00FB0C48"/>
    <w:rsid w:val="00FB197D"/>
    <w:rsid w:val="00FB1C6E"/>
    <w:rsid w:val="00FB3221"/>
    <w:rsid w:val="00FB38E8"/>
    <w:rsid w:val="00FB3C63"/>
    <w:rsid w:val="00FB4487"/>
    <w:rsid w:val="00FB48FE"/>
    <w:rsid w:val="00FB4A8E"/>
    <w:rsid w:val="00FB4E7D"/>
    <w:rsid w:val="00FB51F5"/>
    <w:rsid w:val="00FB6DE5"/>
    <w:rsid w:val="00FB72ED"/>
    <w:rsid w:val="00FC1316"/>
    <w:rsid w:val="00FC1E99"/>
    <w:rsid w:val="00FC2281"/>
    <w:rsid w:val="00FC249F"/>
    <w:rsid w:val="00FC2A8B"/>
    <w:rsid w:val="00FC2B59"/>
    <w:rsid w:val="00FC34B8"/>
    <w:rsid w:val="00FC425E"/>
    <w:rsid w:val="00FC4345"/>
    <w:rsid w:val="00FC4F28"/>
    <w:rsid w:val="00FC589D"/>
    <w:rsid w:val="00FC596B"/>
    <w:rsid w:val="00FC5E76"/>
    <w:rsid w:val="00FC670E"/>
    <w:rsid w:val="00FC7987"/>
    <w:rsid w:val="00FC7CC0"/>
    <w:rsid w:val="00FD190F"/>
    <w:rsid w:val="00FD19A9"/>
    <w:rsid w:val="00FD256E"/>
    <w:rsid w:val="00FD28BF"/>
    <w:rsid w:val="00FD365B"/>
    <w:rsid w:val="00FD36AB"/>
    <w:rsid w:val="00FD37AF"/>
    <w:rsid w:val="00FD4215"/>
    <w:rsid w:val="00FD436B"/>
    <w:rsid w:val="00FD5139"/>
    <w:rsid w:val="00FD572E"/>
    <w:rsid w:val="00FD5B35"/>
    <w:rsid w:val="00FD651B"/>
    <w:rsid w:val="00FD6DE4"/>
    <w:rsid w:val="00FD76A5"/>
    <w:rsid w:val="00FD7923"/>
    <w:rsid w:val="00FD7CA0"/>
    <w:rsid w:val="00FE01DB"/>
    <w:rsid w:val="00FE1A7E"/>
    <w:rsid w:val="00FE1BD3"/>
    <w:rsid w:val="00FE1E54"/>
    <w:rsid w:val="00FE245F"/>
    <w:rsid w:val="00FE2461"/>
    <w:rsid w:val="00FE27DF"/>
    <w:rsid w:val="00FE2C58"/>
    <w:rsid w:val="00FE2CE4"/>
    <w:rsid w:val="00FE36DF"/>
    <w:rsid w:val="00FE467D"/>
    <w:rsid w:val="00FE4B0D"/>
    <w:rsid w:val="00FE4FA1"/>
    <w:rsid w:val="00FE5538"/>
    <w:rsid w:val="00FE5601"/>
    <w:rsid w:val="00FE612D"/>
    <w:rsid w:val="00FE6150"/>
    <w:rsid w:val="00FE697A"/>
    <w:rsid w:val="00FE7900"/>
    <w:rsid w:val="00FE7DBB"/>
    <w:rsid w:val="00FE7DFB"/>
    <w:rsid w:val="00FF0F77"/>
    <w:rsid w:val="00FF1F41"/>
    <w:rsid w:val="00FF21CB"/>
    <w:rsid w:val="00FF2246"/>
    <w:rsid w:val="00FF3941"/>
    <w:rsid w:val="00FF422E"/>
    <w:rsid w:val="00FF5A85"/>
    <w:rsid w:val="00FF5ED8"/>
    <w:rsid w:val="00FF61EB"/>
    <w:rsid w:val="00FF6BA8"/>
    <w:rsid w:val="00FF7FE9"/>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5"/>
    <o:shapelayout v:ext="edit">
      <o:idmap v:ext="edit" data="2"/>
    </o:shapelayout>
  </w:shapeDefaults>
  <w:decimalSymbol w:val=","/>
  <w:listSeparator w:val=";"/>
  <w14:docId w14:val="0FC58B2C"/>
  <w15:docId w15:val="{3CD4CE51-C021-450E-9BA7-0AF701324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56784A"/>
  </w:style>
  <w:style w:type="paragraph" w:styleId="Nadpis1">
    <w:name w:val="heading 1"/>
    <w:basedOn w:val="Normln"/>
    <w:next w:val="Normln"/>
    <w:link w:val="Nadpis1Char"/>
    <w:uiPriority w:val="9"/>
    <w:qFormat/>
    <w:rsid w:val="00FE1E54"/>
    <w:pPr>
      <w:keepNext/>
      <w:keepLines/>
      <w:spacing w:before="480" w:after="0"/>
      <w:outlineLvl w:val="0"/>
    </w:pPr>
    <w:rPr>
      <w:rFonts w:asciiTheme="majorHAnsi" w:eastAsiaTheme="majorEastAsia" w:hAnsiTheme="majorHAnsi" w:cstheme="majorBidi"/>
      <w:b/>
      <w:bCs/>
      <w:color w:val="2E74B5" w:themeColor="accent1" w:themeShade="BF"/>
      <w:sz w:val="28"/>
      <w:szCs w:val="28"/>
    </w:rPr>
  </w:style>
  <w:style w:type="paragraph" w:styleId="Nadpis2">
    <w:name w:val="heading 2"/>
    <w:basedOn w:val="Normln"/>
    <w:next w:val="Normln"/>
    <w:link w:val="Nadpis2Char"/>
    <w:uiPriority w:val="9"/>
    <w:semiHidden/>
    <w:unhideWhenUsed/>
    <w:qFormat/>
    <w:rsid w:val="00974B9D"/>
    <w:pPr>
      <w:keepNext/>
      <w:keepLines/>
      <w:spacing w:before="200" w:after="0"/>
      <w:outlineLvl w:val="1"/>
    </w:pPr>
    <w:rPr>
      <w:rFonts w:asciiTheme="majorHAnsi" w:eastAsiaTheme="majorEastAsia" w:hAnsiTheme="majorHAnsi" w:cstheme="majorBidi"/>
      <w:b/>
      <w:bCs/>
      <w:color w:val="5B9BD5" w:themeColor="accent1"/>
      <w:sz w:val="26"/>
      <w:szCs w:val="26"/>
    </w:rPr>
  </w:style>
  <w:style w:type="paragraph" w:styleId="Nadpis3">
    <w:name w:val="heading 3"/>
    <w:basedOn w:val="Normln"/>
    <w:next w:val="Normln"/>
    <w:link w:val="Nadpis3Char"/>
    <w:uiPriority w:val="9"/>
    <w:semiHidden/>
    <w:unhideWhenUsed/>
    <w:qFormat/>
    <w:rsid w:val="00F747F5"/>
    <w:pPr>
      <w:keepNext/>
      <w:keepLines/>
      <w:spacing w:before="200" w:after="0"/>
      <w:outlineLvl w:val="2"/>
    </w:pPr>
    <w:rPr>
      <w:rFonts w:asciiTheme="majorHAnsi" w:eastAsiaTheme="majorEastAsia" w:hAnsiTheme="majorHAnsi" w:cstheme="majorBidi"/>
      <w:b/>
      <w:bCs/>
      <w:color w:val="5B9BD5" w:themeColor="accent1"/>
    </w:rPr>
  </w:style>
  <w:style w:type="paragraph" w:styleId="Nadpis8">
    <w:name w:val="heading 8"/>
    <w:basedOn w:val="Normln"/>
    <w:next w:val="Normln"/>
    <w:link w:val="Nadpis8Char"/>
    <w:uiPriority w:val="9"/>
    <w:semiHidden/>
    <w:unhideWhenUsed/>
    <w:qFormat/>
    <w:rsid w:val="000306C5"/>
    <w:pPr>
      <w:keepNext/>
      <w:keepLines/>
      <w:spacing w:before="40" w:after="0"/>
      <w:outlineLvl w:val="7"/>
    </w:pPr>
    <w:rPr>
      <w:rFonts w:asciiTheme="majorHAnsi" w:eastAsiaTheme="majorEastAsia" w:hAnsiTheme="majorHAnsi" w:cstheme="majorBidi"/>
      <w:color w:val="272727" w:themeColor="text1" w:themeTint="D8"/>
      <w:sz w:val="21"/>
      <w:szCs w:val="2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styleId="Zhlav">
    <w:name w:val="header"/>
    <w:basedOn w:val="Normln"/>
    <w:link w:val="ZhlavChar"/>
    <w:uiPriority w:val="99"/>
    <w:unhideWhenUsed/>
    <w:rsid w:val="00002556"/>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002556"/>
  </w:style>
  <w:style w:type="paragraph" w:styleId="Zpat">
    <w:name w:val="footer"/>
    <w:basedOn w:val="Normln"/>
    <w:link w:val="ZpatChar"/>
    <w:uiPriority w:val="99"/>
    <w:unhideWhenUsed/>
    <w:rsid w:val="00002556"/>
    <w:pPr>
      <w:tabs>
        <w:tab w:val="center" w:pos="4536"/>
        <w:tab w:val="right" w:pos="9072"/>
      </w:tabs>
      <w:spacing w:after="0" w:line="240" w:lineRule="auto"/>
    </w:pPr>
  </w:style>
  <w:style w:type="character" w:customStyle="1" w:styleId="ZpatChar">
    <w:name w:val="Zápatí Char"/>
    <w:basedOn w:val="Standardnpsmoodstavce"/>
    <w:link w:val="Zpat"/>
    <w:uiPriority w:val="99"/>
    <w:rsid w:val="00002556"/>
  </w:style>
  <w:style w:type="paragraph" w:styleId="Odstavecseseznamem">
    <w:name w:val="List Paragraph"/>
    <w:aliases w:val="Odrazka_body"/>
    <w:basedOn w:val="Normln"/>
    <w:link w:val="OdstavecseseznamemChar"/>
    <w:uiPriority w:val="34"/>
    <w:qFormat/>
    <w:rsid w:val="00002556"/>
    <w:pPr>
      <w:ind w:left="720"/>
      <w:contextualSpacing/>
    </w:pPr>
  </w:style>
  <w:style w:type="table" w:styleId="Mkatabulky">
    <w:name w:val="Table Grid"/>
    <w:basedOn w:val="Normlntabulka"/>
    <w:uiPriority w:val="39"/>
    <w:rsid w:val="00C227E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textovodkaz">
    <w:name w:val="Hyperlink"/>
    <w:basedOn w:val="Standardnpsmoodstavce"/>
    <w:uiPriority w:val="99"/>
    <w:unhideWhenUsed/>
    <w:rsid w:val="00420FC6"/>
    <w:rPr>
      <w:color w:val="0563C1" w:themeColor="hyperlink"/>
      <w:u w:val="single"/>
    </w:rPr>
  </w:style>
  <w:style w:type="paragraph" w:styleId="Obsah1">
    <w:name w:val="toc 1"/>
    <w:basedOn w:val="Normln"/>
    <w:next w:val="Normln"/>
    <w:autoRedefine/>
    <w:uiPriority w:val="39"/>
    <w:unhideWhenUsed/>
    <w:rsid w:val="0009152E"/>
    <w:pPr>
      <w:tabs>
        <w:tab w:val="left" w:pos="567"/>
        <w:tab w:val="right" w:leader="dot" w:pos="9060"/>
      </w:tabs>
      <w:spacing w:after="0"/>
      <w:ind w:left="567" w:hanging="567"/>
      <w:jc w:val="both"/>
    </w:pPr>
    <w:rPr>
      <w:rFonts w:asciiTheme="majorHAnsi" w:hAnsiTheme="majorHAnsi" w:cstheme="majorHAnsi"/>
      <w:bCs/>
      <w:caps/>
      <w:noProof/>
      <w:sz w:val="20"/>
      <w:szCs w:val="20"/>
    </w:rPr>
  </w:style>
  <w:style w:type="paragraph" w:styleId="Obsah2">
    <w:name w:val="toc 2"/>
    <w:basedOn w:val="Normln"/>
    <w:next w:val="Normln"/>
    <w:autoRedefine/>
    <w:uiPriority w:val="39"/>
    <w:unhideWhenUsed/>
    <w:rsid w:val="00034362"/>
    <w:pPr>
      <w:tabs>
        <w:tab w:val="left" w:pos="851"/>
        <w:tab w:val="right" w:leader="dot" w:pos="9060"/>
      </w:tabs>
      <w:spacing w:after="0"/>
      <w:ind w:left="851" w:hanging="567"/>
    </w:pPr>
    <w:rPr>
      <w:rFonts w:asciiTheme="majorHAnsi" w:hAnsiTheme="majorHAnsi" w:cstheme="majorHAnsi"/>
      <w:b/>
      <w:bCs/>
      <w:noProof/>
      <w:sz w:val="20"/>
      <w:szCs w:val="20"/>
    </w:rPr>
  </w:style>
  <w:style w:type="paragraph" w:styleId="Obsah3">
    <w:name w:val="toc 3"/>
    <w:basedOn w:val="Normln"/>
    <w:next w:val="Normln"/>
    <w:autoRedefine/>
    <w:uiPriority w:val="39"/>
    <w:unhideWhenUsed/>
    <w:rsid w:val="00EB4258"/>
    <w:pPr>
      <w:tabs>
        <w:tab w:val="left" w:pos="851"/>
        <w:tab w:val="right" w:leader="dot" w:pos="9060"/>
      </w:tabs>
      <w:spacing w:after="0"/>
      <w:ind w:left="1276" w:hanging="709"/>
    </w:pPr>
    <w:rPr>
      <w:rFonts w:ascii="Calibri" w:hAnsi="Calibri"/>
      <w:b/>
      <w:noProof/>
      <w:sz w:val="20"/>
      <w:szCs w:val="20"/>
    </w:rPr>
  </w:style>
  <w:style w:type="paragraph" w:customStyle="1" w:styleId="Vyhodnocensouladu">
    <w:name w:val="Vyhodnocení souladu"/>
    <w:basedOn w:val="Normln"/>
    <w:link w:val="VyhodnocensouladuChar"/>
    <w:qFormat/>
    <w:rsid w:val="007A73E8"/>
    <w:pPr>
      <w:pBdr>
        <w:left w:val="single" w:sz="12" w:space="4" w:color="D0CECE" w:themeColor="background2" w:themeShade="E6"/>
      </w:pBdr>
      <w:spacing w:after="0"/>
      <w:ind w:left="567"/>
      <w:jc w:val="both"/>
      <w:outlineLvl w:val="1"/>
    </w:pPr>
    <w:rPr>
      <w:rFonts w:ascii="Calibri" w:hAnsi="Calibri"/>
      <w:sz w:val="20"/>
      <w:szCs w:val="20"/>
    </w:rPr>
  </w:style>
  <w:style w:type="character" w:customStyle="1" w:styleId="VyhodnocensouladuChar">
    <w:name w:val="Vyhodnocení souladu Char"/>
    <w:basedOn w:val="Standardnpsmoodstavce"/>
    <w:link w:val="Vyhodnocensouladu"/>
    <w:rsid w:val="007A73E8"/>
    <w:rPr>
      <w:rFonts w:ascii="Calibri" w:hAnsi="Calibri"/>
      <w:sz w:val="20"/>
      <w:szCs w:val="20"/>
    </w:rPr>
  </w:style>
  <w:style w:type="paragraph" w:customStyle="1" w:styleId="Textpsmene">
    <w:name w:val="Text písmene"/>
    <w:basedOn w:val="Normln"/>
    <w:link w:val="TextpsmeneChar"/>
    <w:rsid w:val="00023596"/>
    <w:pPr>
      <w:tabs>
        <w:tab w:val="num" w:pos="0"/>
      </w:tabs>
      <w:suppressAutoHyphens/>
      <w:spacing w:after="0" w:line="240" w:lineRule="auto"/>
      <w:jc w:val="both"/>
      <w:outlineLvl w:val="7"/>
    </w:pPr>
    <w:rPr>
      <w:rFonts w:ascii="Times New Roman" w:eastAsia="Times New Roman" w:hAnsi="Times New Roman" w:cs="Times New Roman"/>
      <w:sz w:val="24"/>
      <w:szCs w:val="20"/>
      <w:lang w:eastAsia="ar-SA"/>
    </w:rPr>
  </w:style>
  <w:style w:type="character" w:customStyle="1" w:styleId="TextpsmeneChar">
    <w:name w:val="Text písmene Char"/>
    <w:link w:val="Textpsmene"/>
    <w:rsid w:val="00023596"/>
    <w:rPr>
      <w:rFonts w:ascii="Times New Roman" w:eastAsia="Times New Roman" w:hAnsi="Times New Roman" w:cs="Times New Roman"/>
      <w:sz w:val="24"/>
      <w:szCs w:val="20"/>
      <w:lang w:eastAsia="ar-SA"/>
    </w:rPr>
  </w:style>
  <w:style w:type="paragraph" w:customStyle="1" w:styleId="vrok">
    <w:name w:val="výrok"/>
    <w:basedOn w:val="Normln"/>
    <w:next w:val="Normln"/>
    <w:link w:val="vrokChar"/>
    <w:qFormat/>
    <w:rsid w:val="00023596"/>
    <w:pPr>
      <w:numPr>
        <w:numId w:val="3"/>
      </w:numPr>
      <w:suppressAutoHyphens/>
      <w:spacing w:before="120" w:after="120" w:line="240" w:lineRule="auto"/>
      <w:jc w:val="both"/>
    </w:pPr>
    <w:rPr>
      <w:rFonts w:ascii="Calibri" w:eastAsia="Times New Roman" w:hAnsi="Calibri" w:cs="Times New Roman"/>
      <w:sz w:val="18"/>
      <w:szCs w:val="20"/>
      <w:lang w:eastAsia="ar-SA"/>
    </w:rPr>
  </w:style>
  <w:style w:type="paragraph" w:customStyle="1" w:styleId="Mra-Vyjden">
    <w:name w:val="Míra - Vyjádření"/>
    <w:aliases w:val="reakce,apod."/>
    <w:basedOn w:val="Normln"/>
    <w:link w:val="Mra-VyjdenChar"/>
    <w:qFormat/>
    <w:rsid w:val="00023596"/>
    <w:pPr>
      <w:pBdr>
        <w:left w:val="single" w:sz="12" w:space="4" w:color="BFBFBF"/>
      </w:pBdr>
      <w:autoSpaceDE w:val="0"/>
      <w:autoSpaceDN w:val="0"/>
      <w:adjustRightInd w:val="0"/>
      <w:spacing w:before="120" w:after="0" w:line="240" w:lineRule="auto"/>
      <w:ind w:left="709"/>
      <w:jc w:val="both"/>
    </w:pPr>
    <w:rPr>
      <w:rFonts w:ascii="Calibri" w:eastAsia="Times New Roman" w:hAnsi="Calibri" w:cs="Times New Roman"/>
      <w:color w:val="FF0000"/>
      <w:sz w:val="18"/>
      <w:szCs w:val="18"/>
    </w:rPr>
  </w:style>
  <w:style w:type="paragraph" w:customStyle="1" w:styleId="Mra2-reakceern">
    <w:name w:val="Míra 2 - reakce černě"/>
    <w:basedOn w:val="Zkladntext2"/>
    <w:link w:val="Mra2-reakceernChar"/>
    <w:qFormat/>
    <w:rsid w:val="00023596"/>
    <w:pPr>
      <w:pBdr>
        <w:left w:val="single" w:sz="12" w:space="4" w:color="BFBFBF"/>
      </w:pBdr>
      <w:suppressAutoHyphens/>
      <w:spacing w:after="0" w:line="240" w:lineRule="auto"/>
      <w:ind w:left="709"/>
      <w:jc w:val="both"/>
    </w:pPr>
    <w:rPr>
      <w:rFonts w:ascii="Calibri" w:eastAsia="Times New Roman" w:hAnsi="Calibri" w:cs="Times New Roman"/>
      <w:bCs/>
      <w:iCs/>
      <w:color w:val="000000"/>
      <w:sz w:val="18"/>
      <w:szCs w:val="18"/>
      <w:lang w:eastAsia="ar-SA"/>
    </w:rPr>
  </w:style>
  <w:style w:type="character" w:customStyle="1" w:styleId="Mra-VyjdenChar">
    <w:name w:val="Míra - Vyjádření Char"/>
    <w:aliases w:val="reakce Char,apod. Char"/>
    <w:link w:val="Mra-Vyjden"/>
    <w:rsid w:val="00023596"/>
    <w:rPr>
      <w:rFonts w:ascii="Calibri" w:eastAsia="Times New Roman" w:hAnsi="Calibri" w:cs="Times New Roman"/>
      <w:color w:val="FF0000"/>
      <w:sz w:val="18"/>
      <w:szCs w:val="18"/>
    </w:rPr>
  </w:style>
  <w:style w:type="character" w:customStyle="1" w:styleId="Mra2-reakceernChar">
    <w:name w:val="Míra 2 - reakce černě Char"/>
    <w:link w:val="Mra2-reakceern"/>
    <w:rsid w:val="00023596"/>
    <w:rPr>
      <w:rFonts w:ascii="Calibri" w:eastAsia="Times New Roman" w:hAnsi="Calibri" w:cs="Times New Roman"/>
      <w:bCs/>
      <w:iCs/>
      <w:color w:val="000000"/>
      <w:sz w:val="18"/>
      <w:szCs w:val="18"/>
      <w:lang w:eastAsia="ar-SA"/>
    </w:rPr>
  </w:style>
  <w:style w:type="paragraph" w:styleId="Zkladntext2">
    <w:name w:val="Body Text 2"/>
    <w:basedOn w:val="Normln"/>
    <w:link w:val="Zkladntext2Char"/>
    <w:uiPriority w:val="99"/>
    <w:unhideWhenUsed/>
    <w:rsid w:val="00023596"/>
    <w:pPr>
      <w:spacing w:after="120" w:line="480" w:lineRule="auto"/>
    </w:pPr>
  </w:style>
  <w:style w:type="character" w:customStyle="1" w:styleId="Zkladntext2Char">
    <w:name w:val="Základní text 2 Char"/>
    <w:basedOn w:val="Standardnpsmoodstavce"/>
    <w:link w:val="Zkladntext2"/>
    <w:uiPriority w:val="99"/>
    <w:rsid w:val="00023596"/>
  </w:style>
  <w:style w:type="character" w:customStyle="1" w:styleId="vrokChar">
    <w:name w:val="výrok Char"/>
    <w:link w:val="vrok"/>
    <w:rsid w:val="00D51275"/>
    <w:rPr>
      <w:rFonts w:ascii="Calibri" w:eastAsia="Times New Roman" w:hAnsi="Calibri" w:cs="Times New Roman"/>
      <w:sz w:val="18"/>
      <w:szCs w:val="20"/>
      <w:lang w:eastAsia="ar-SA"/>
    </w:rPr>
  </w:style>
  <w:style w:type="paragraph" w:styleId="Textbubliny">
    <w:name w:val="Balloon Text"/>
    <w:basedOn w:val="Normln"/>
    <w:link w:val="TextbublinyChar"/>
    <w:uiPriority w:val="99"/>
    <w:semiHidden/>
    <w:unhideWhenUsed/>
    <w:rsid w:val="008F511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8F5117"/>
    <w:rPr>
      <w:rFonts w:ascii="Tahoma" w:hAnsi="Tahoma" w:cs="Tahoma"/>
      <w:sz w:val="16"/>
      <w:szCs w:val="16"/>
    </w:rPr>
  </w:style>
  <w:style w:type="paragraph" w:styleId="Obsah4">
    <w:name w:val="toc 4"/>
    <w:basedOn w:val="Normln"/>
    <w:next w:val="Normln"/>
    <w:autoRedefine/>
    <w:uiPriority w:val="39"/>
    <w:unhideWhenUsed/>
    <w:rsid w:val="00EB4258"/>
    <w:pPr>
      <w:tabs>
        <w:tab w:val="left" w:pos="1540"/>
        <w:tab w:val="right" w:leader="dot" w:pos="9060"/>
      </w:tabs>
      <w:spacing w:after="0"/>
      <w:ind w:left="2127" w:hanging="851"/>
    </w:pPr>
    <w:rPr>
      <w:sz w:val="20"/>
      <w:szCs w:val="20"/>
    </w:rPr>
  </w:style>
  <w:style w:type="paragraph" w:styleId="Obsah5">
    <w:name w:val="toc 5"/>
    <w:basedOn w:val="Normln"/>
    <w:next w:val="Normln"/>
    <w:autoRedefine/>
    <w:uiPriority w:val="39"/>
    <w:unhideWhenUsed/>
    <w:rsid w:val="00F1688F"/>
    <w:pPr>
      <w:spacing w:after="0"/>
      <w:ind w:left="660"/>
    </w:pPr>
    <w:rPr>
      <w:sz w:val="20"/>
      <w:szCs w:val="20"/>
    </w:rPr>
  </w:style>
  <w:style w:type="paragraph" w:styleId="Obsah6">
    <w:name w:val="toc 6"/>
    <w:basedOn w:val="Normln"/>
    <w:next w:val="Normln"/>
    <w:autoRedefine/>
    <w:uiPriority w:val="39"/>
    <w:unhideWhenUsed/>
    <w:rsid w:val="00F1688F"/>
    <w:pPr>
      <w:spacing w:after="0"/>
      <w:ind w:left="880"/>
    </w:pPr>
    <w:rPr>
      <w:sz w:val="20"/>
      <w:szCs w:val="20"/>
    </w:rPr>
  </w:style>
  <w:style w:type="paragraph" w:styleId="Obsah7">
    <w:name w:val="toc 7"/>
    <w:basedOn w:val="Normln"/>
    <w:next w:val="Normln"/>
    <w:autoRedefine/>
    <w:uiPriority w:val="39"/>
    <w:unhideWhenUsed/>
    <w:rsid w:val="00F1688F"/>
    <w:pPr>
      <w:spacing w:after="0"/>
      <w:ind w:left="1100"/>
    </w:pPr>
    <w:rPr>
      <w:sz w:val="20"/>
      <w:szCs w:val="20"/>
    </w:rPr>
  </w:style>
  <w:style w:type="paragraph" w:styleId="Obsah8">
    <w:name w:val="toc 8"/>
    <w:basedOn w:val="Normln"/>
    <w:next w:val="Normln"/>
    <w:autoRedefine/>
    <w:uiPriority w:val="39"/>
    <w:unhideWhenUsed/>
    <w:rsid w:val="00F1688F"/>
    <w:pPr>
      <w:spacing w:after="0"/>
      <w:ind w:left="1320"/>
    </w:pPr>
    <w:rPr>
      <w:sz w:val="20"/>
      <w:szCs w:val="20"/>
    </w:rPr>
  </w:style>
  <w:style w:type="paragraph" w:styleId="Obsah9">
    <w:name w:val="toc 9"/>
    <w:basedOn w:val="Normln"/>
    <w:next w:val="Normln"/>
    <w:autoRedefine/>
    <w:uiPriority w:val="39"/>
    <w:unhideWhenUsed/>
    <w:rsid w:val="00F1688F"/>
    <w:pPr>
      <w:spacing w:after="0"/>
      <w:ind w:left="1540"/>
    </w:pPr>
    <w:rPr>
      <w:sz w:val="20"/>
      <w:szCs w:val="20"/>
    </w:rPr>
  </w:style>
  <w:style w:type="character" w:styleId="Zstupntext">
    <w:name w:val="Placeholder Text"/>
    <w:basedOn w:val="Standardnpsmoodstavce"/>
    <w:uiPriority w:val="99"/>
    <w:semiHidden/>
    <w:rsid w:val="00825500"/>
    <w:rPr>
      <w:color w:val="808080"/>
    </w:rPr>
  </w:style>
  <w:style w:type="paragraph" w:customStyle="1" w:styleId="Default">
    <w:name w:val="Default"/>
    <w:rsid w:val="008E7169"/>
    <w:pPr>
      <w:autoSpaceDE w:val="0"/>
      <w:autoSpaceDN w:val="0"/>
      <w:adjustRightInd w:val="0"/>
      <w:spacing w:after="0" w:line="240" w:lineRule="auto"/>
    </w:pPr>
    <w:rPr>
      <w:rFonts w:ascii="Calibri" w:hAnsi="Calibri" w:cs="Calibri"/>
      <w:color w:val="000000"/>
      <w:sz w:val="24"/>
      <w:szCs w:val="24"/>
    </w:rPr>
  </w:style>
  <w:style w:type="paragraph" w:styleId="Textpoznpodarou">
    <w:name w:val="footnote text"/>
    <w:basedOn w:val="Normln"/>
    <w:link w:val="TextpoznpodarouChar"/>
    <w:uiPriority w:val="99"/>
    <w:semiHidden/>
    <w:unhideWhenUsed/>
    <w:rsid w:val="008C192E"/>
    <w:pPr>
      <w:spacing w:after="0" w:line="240" w:lineRule="auto"/>
    </w:pPr>
    <w:rPr>
      <w:sz w:val="20"/>
      <w:szCs w:val="20"/>
    </w:rPr>
  </w:style>
  <w:style w:type="character" w:customStyle="1" w:styleId="TextpoznpodarouChar">
    <w:name w:val="Text pozn. pod čarou Char"/>
    <w:basedOn w:val="Standardnpsmoodstavce"/>
    <w:link w:val="Textpoznpodarou"/>
    <w:uiPriority w:val="99"/>
    <w:semiHidden/>
    <w:rsid w:val="008C192E"/>
    <w:rPr>
      <w:sz w:val="20"/>
      <w:szCs w:val="20"/>
    </w:rPr>
  </w:style>
  <w:style w:type="character" w:styleId="Znakapoznpodarou">
    <w:name w:val="footnote reference"/>
    <w:basedOn w:val="Standardnpsmoodstavce"/>
    <w:uiPriority w:val="99"/>
    <w:semiHidden/>
    <w:unhideWhenUsed/>
    <w:rsid w:val="008C192E"/>
    <w:rPr>
      <w:vertAlign w:val="superscript"/>
    </w:rPr>
  </w:style>
  <w:style w:type="paragraph" w:customStyle="1" w:styleId="vrokpododstavec">
    <w:name w:val="výrok_pododstavec"/>
    <w:basedOn w:val="Normln"/>
    <w:next w:val="Normln"/>
    <w:link w:val="vrokpododstavecChar"/>
    <w:qFormat/>
    <w:rsid w:val="009137C1"/>
    <w:pPr>
      <w:numPr>
        <w:numId w:val="10"/>
      </w:numPr>
      <w:suppressAutoHyphens/>
      <w:spacing w:before="60" w:after="60" w:line="240" w:lineRule="auto"/>
      <w:outlineLvl w:val="0"/>
    </w:pPr>
    <w:rPr>
      <w:rFonts w:ascii="Calibri" w:eastAsia="Times New Roman" w:hAnsi="Calibri" w:cs="Times New Roman"/>
      <w:sz w:val="18"/>
      <w:szCs w:val="24"/>
      <w:lang w:eastAsia="ar-SA"/>
    </w:rPr>
  </w:style>
  <w:style w:type="character" w:customStyle="1" w:styleId="vrokpododstavecChar">
    <w:name w:val="výrok_pododstavec Char"/>
    <w:link w:val="vrokpododstavec"/>
    <w:rsid w:val="009137C1"/>
    <w:rPr>
      <w:rFonts w:ascii="Calibri" w:eastAsia="Times New Roman" w:hAnsi="Calibri" w:cs="Times New Roman"/>
      <w:sz w:val="18"/>
      <w:szCs w:val="24"/>
      <w:lang w:eastAsia="ar-SA"/>
    </w:rPr>
  </w:style>
  <w:style w:type="paragraph" w:customStyle="1" w:styleId="podminkyc">
    <w:name w:val="podminky_c"/>
    <w:basedOn w:val="Normln"/>
    <w:link w:val="podminkycChar"/>
    <w:qFormat/>
    <w:rsid w:val="00E01E26"/>
    <w:pPr>
      <w:numPr>
        <w:numId w:val="11"/>
      </w:numPr>
      <w:suppressAutoHyphens/>
      <w:spacing w:before="120" w:after="120" w:line="240" w:lineRule="auto"/>
      <w:jc w:val="both"/>
    </w:pPr>
    <w:rPr>
      <w:rFonts w:ascii="Calibri" w:eastAsia="Times New Roman" w:hAnsi="Calibri" w:cs="Arial"/>
      <w:bCs/>
      <w:sz w:val="18"/>
      <w:szCs w:val="20"/>
      <w:lang w:eastAsia="cs-CZ"/>
    </w:rPr>
  </w:style>
  <w:style w:type="character" w:customStyle="1" w:styleId="podminkycChar">
    <w:name w:val="podminky_c Char"/>
    <w:basedOn w:val="Standardnpsmoodstavce"/>
    <w:link w:val="podminkyc"/>
    <w:rsid w:val="00E01E26"/>
    <w:rPr>
      <w:rFonts w:ascii="Calibri" w:eastAsia="Times New Roman" w:hAnsi="Calibri" w:cs="Arial"/>
      <w:bCs/>
      <w:sz w:val="18"/>
      <w:szCs w:val="20"/>
      <w:lang w:eastAsia="cs-CZ"/>
    </w:rPr>
  </w:style>
  <w:style w:type="paragraph" w:customStyle="1" w:styleId="Styl4">
    <w:name w:val="Styl4"/>
    <w:basedOn w:val="Odstavecseseznamem"/>
    <w:link w:val="Styl4Char"/>
    <w:qFormat/>
    <w:rsid w:val="00B119A7"/>
    <w:pPr>
      <w:numPr>
        <w:numId w:val="12"/>
      </w:numPr>
      <w:suppressAutoHyphens/>
      <w:spacing w:after="0" w:line="240" w:lineRule="auto"/>
      <w:jc w:val="both"/>
    </w:pPr>
    <w:rPr>
      <w:rFonts w:eastAsia="Times New Roman" w:cs="Times New Roman"/>
      <w:b/>
      <w:sz w:val="18"/>
      <w:szCs w:val="24"/>
      <w:lang w:eastAsia="ar-SA"/>
    </w:rPr>
  </w:style>
  <w:style w:type="character" w:customStyle="1" w:styleId="Styl4Char">
    <w:name w:val="Styl4 Char"/>
    <w:basedOn w:val="Standardnpsmoodstavce"/>
    <w:link w:val="Styl4"/>
    <w:rsid w:val="00B119A7"/>
    <w:rPr>
      <w:rFonts w:eastAsia="Times New Roman" w:cs="Times New Roman"/>
      <w:b/>
      <w:sz w:val="18"/>
      <w:szCs w:val="24"/>
      <w:lang w:eastAsia="ar-SA"/>
    </w:rPr>
  </w:style>
  <w:style w:type="paragraph" w:customStyle="1" w:styleId="podminkyvyuziti">
    <w:name w:val="podminky_vyuziti"/>
    <w:basedOn w:val="Normln"/>
    <w:link w:val="podminkyvyuzitiChar"/>
    <w:qFormat/>
    <w:rsid w:val="00B119A7"/>
    <w:pPr>
      <w:numPr>
        <w:numId w:val="14"/>
      </w:numPr>
      <w:suppressAutoHyphens/>
      <w:spacing w:before="120" w:after="120" w:line="240" w:lineRule="auto"/>
      <w:jc w:val="both"/>
    </w:pPr>
    <w:rPr>
      <w:rFonts w:ascii="Calibri" w:eastAsia="Times New Roman" w:hAnsi="Calibri" w:cs="Arial"/>
      <w:bCs/>
      <w:sz w:val="18"/>
      <w:szCs w:val="20"/>
      <w:lang w:eastAsia="cs-CZ"/>
    </w:rPr>
  </w:style>
  <w:style w:type="paragraph" w:customStyle="1" w:styleId="nazvyvyuziti">
    <w:name w:val="nazvy_vyuziti"/>
    <w:basedOn w:val="Normln"/>
    <w:link w:val="nazvyvyuzitiChar"/>
    <w:qFormat/>
    <w:rsid w:val="00B119A7"/>
    <w:pPr>
      <w:numPr>
        <w:numId w:val="13"/>
      </w:numPr>
      <w:suppressAutoHyphens/>
      <w:spacing w:before="120" w:after="120" w:line="240" w:lineRule="auto"/>
      <w:jc w:val="both"/>
    </w:pPr>
    <w:rPr>
      <w:rFonts w:ascii="Calibri" w:eastAsia="Times New Roman" w:hAnsi="Calibri" w:cs="Arial"/>
      <w:b/>
      <w:bCs/>
      <w:sz w:val="18"/>
      <w:szCs w:val="20"/>
      <w:u w:val="single"/>
      <w:lang w:eastAsia="cs-CZ"/>
    </w:rPr>
  </w:style>
  <w:style w:type="character" w:customStyle="1" w:styleId="podminkyvyuzitiChar">
    <w:name w:val="podminky_vyuziti Char"/>
    <w:basedOn w:val="Standardnpsmoodstavce"/>
    <w:link w:val="podminkyvyuziti"/>
    <w:rsid w:val="00B119A7"/>
    <w:rPr>
      <w:rFonts w:ascii="Calibri" w:eastAsia="Times New Roman" w:hAnsi="Calibri" w:cs="Arial"/>
      <w:bCs/>
      <w:sz w:val="18"/>
      <w:szCs w:val="20"/>
      <w:lang w:eastAsia="cs-CZ"/>
    </w:rPr>
  </w:style>
  <w:style w:type="character" w:customStyle="1" w:styleId="nazvyvyuzitiChar">
    <w:name w:val="nazvy_vyuziti Char"/>
    <w:basedOn w:val="Standardnpsmoodstavce"/>
    <w:link w:val="nazvyvyuziti"/>
    <w:rsid w:val="00B119A7"/>
    <w:rPr>
      <w:rFonts w:ascii="Calibri" w:eastAsia="Times New Roman" w:hAnsi="Calibri" w:cs="Arial"/>
      <w:b/>
      <w:bCs/>
      <w:sz w:val="18"/>
      <w:szCs w:val="20"/>
      <w:u w:val="single"/>
      <w:lang w:eastAsia="cs-CZ"/>
    </w:rPr>
  </w:style>
  <w:style w:type="paragraph" w:customStyle="1" w:styleId="podminkyb">
    <w:name w:val="podminky_b"/>
    <w:basedOn w:val="Normln"/>
    <w:link w:val="podminkybChar"/>
    <w:qFormat/>
    <w:rsid w:val="00B119A7"/>
    <w:pPr>
      <w:numPr>
        <w:numId w:val="15"/>
      </w:numPr>
      <w:suppressAutoHyphens/>
      <w:spacing w:before="120" w:after="120" w:line="240" w:lineRule="auto"/>
      <w:jc w:val="both"/>
    </w:pPr>
    <w:rPr>
      <w:rFonts w:ascii="Calibri" w:eastAsia="Times New Roman" w:hAnsi="Calibri" w:cs="Arial"/>
      <w:bCs/>
      <w:sz w:val="18"/>
      <w:szCs w:val="20"/>
      <w:lang w:eastAsia="cs-CZ"/>
    </w:rPr>
  </w:style>
  <w:style w:type="character" w:customStyle="1" w:styleId="podminkybChar">
    <w:name w:val="podminky_b Char"/>
    <w:basedOn w:val="Standardnpsmoodstavce"/>
    <w:link w:val="podminkyb"/>
    <w:rsid w:val="00B119A7"/>
    <w:rPr>
      <w:rFonts w:ascii="Calibri" w:eastAsia="Times New Roman" w:hAnsi="Calibri" w:cs="Arial"/>
      <w:bCs/>
      <w:sz w:val="18"/>
      <w:szCs w:val="20"/>
      <w:lang w:eastAsia="cs-CZ"/>
    </w:rPr>
  </w:style>
  <w:style w:type="paragraph" w:customStyle="1" w:styleId="podminkyd">
    <w:name w:val="podminky_d"/>
    <w:basedOn w:val="Normln"/>
    <w:link w:val="podminkydChar"/>
    <w:qFormat/>
    <w:rsid w:val="00B119A7"/>
    <w:pPr>
      <w:numPr>
        <w:numId w:val="16"/>
      </w:numPr>
      <w:suppressAutoHyphens/>
      <w:spacing w:before="120" w:after="120" w:line="240" w:lineRule="auto"/>
      <w:jc w:val="both"/>
    </w:pPr>
    <w:rPr>
      <w:rFonts w:ascii="Calibri" w:eastAsia="Times New Roman" w:hAnsi="Calibri" w:cs="Arial"/>
      <w:bCs/>
      <w:sz w:val="18"/>
      <w:szCs w:val="20"/>
      <w:lang w:eastAsia="cs-CZ"/>
    </w:rPr>
  </w:style>
  <w:style w:type="paragraph" w:customStyle="1" w:styleId="podminkye">
    <w:name w:val="podminky_e"/>
    <w:basedOn w:val="Normln"/>
    <w:link w:val="podminkyeChar"/>
    <w:qFormat/>
    <w:rsid w:val="00B119A7"/>
    <w:pPr>
      <w:numPr>
        <w:numId w:val="17"/>
      </w:numPr>
      <w:suppressAutoHyphens/>
      <w:spacing w:before="120" w:after="120" w:line="240" w:lineRule="auto"/>
      <w:jc w:val="both"/>
    </w:pPr>
    <w:rPr>
      <w:rFonts w:ascii="Calibri" w:eastAsia="Times New Roman" w:hAnsi="Calibri" w:cs="Arial"/>
      <w:bCs/>
      <w:sz w:val="18"/>
      <w:szCs w:val="20"/>
      <w:lang w:eastAsia="cs-CZ"/>
    </w:rPr>
  </w:style>
  <w:style w:type="character" w:customStyle="1" w:styleId="podminkydChar">
    <w:name w:val="podminky_d Char"/>
    <w:basedOn w:val="Standardnpsmoodstavce"/>
    <w:link w:val="podminkyd"/>
    <w:rsid w:val="00B119A7"/>
    <w:rPr>
      <w:rFonts w:ascii="Calibri" w:eastAsia="Times New Roman" w:hAnsi="Calibri" w:cs="Arial"/>
      <w:bCs/>
      <w:sz w:val="18"/>
      <w:szCs w:val="20"/>
      <w:lang w:eastAsia="cs-CZ"/>
    </w:rPr>
  </w:style>
  <w:style w:type="character" w:customStyle="1" w:styleId="podminkyeChar">
    <w:name w:val="podminky_e Char"/>
    <w:basedOn w:val="Standardnpsmoodstavce"/>
    <w:link w:val="podminkye"/>
    <w:rsid w:val="00B119A7"/>
    <w:rPr>
      <w:rFonts w:ascii="Calibri" w:eastAsia="Times New Roman" w:hAnsi="Calibri" w:cs="Arial"/>
      <w:bCs/>
      <w:sz w:val="18"/>
      <w:szCs w:val="20"/>
      <w:lang w:eastAsia="cs-CZ"/>
    </w:rPr>
  </w:style>
  <w:style w:type="paragraph" w:customStyle="1" w:styleId="Norml">
    <w:name w:val="Normál"/>
    <w:basedOn w:val="Normln"/>
    <w:link w:val="NormlChar"/>
    <w:qFormat/>
    <w:rsid w:val="006645B5"/>
    <w:pPr>
      <w:suppressAutoHyphens/>
      <w:spacing w:before="120" w:after="120" w:line="240" w:lineRule="auto"/>
      <w:ind w:firstLine="720"/>
      <w:jc w:val="both"/>
    </w:pPr>
    <w:rPr>
      <w:rFonts w:ascii="Calibri" w:eastAsia="Times New Roman" w:hAnsi="Calibri" w:cs="Arial"/>
      <w:bCs/>
      <w:sz w:val="18"/>
      <w:szCs w:val="20"/>
      <w:lang w:eastAsia="cs-CZ"/>
    </w:rPr>
  </w:style>
  <w:style w:type="character" w:customStyle="1" w:styleId="NormlChar">
    <w:name w:val="Normál Char"/>
    <w:basedOn w:val="Standardnpsmoodstavce"/>
    <w:link w:val="Norml"/>
    <w:rsid w:val="006645B5"/>
    <w:rPr>
      <w:rFonts w:ascii="Calibri" w:eastAsia="Times New Roman" w:hAnsi="Calibri" w:cs="Arial"/>
      <w:bCs/>
      <w:sz w:val="18"/>
      <w:szCs w:val="20"/>
      <w:lang w:eastAsia="cs-CZ"/>
    </w:rPr>
  </w:style>
  <w:style w:type="paragraph" w:styleId="Bezmezer">
    <w:name w:val="No Spacing"/>
    <w:basedOn w:val="Normln"/>
    <w:link w:val="BezmezerChar"/>
    <w:uiPriority w:val="1"/>
    <w:qFormat/>
    <w:rsid w:val="00252D88"/>
    <w:pPr>
      <w:spacing w:after="0" w:line="240" w:lineRule="auto"/>
      <w:jc w:val="both"/>
    </w:pPr>
    <w:rPr>
      <w:rFonts w:eastAsiaTheme="majorEastAsia" w:cstheme="majorBidi"/>
      <w:sz w:val="18"/>
      <w:lang w:val="en-US" w:bidi="en-US"/>
    </w:rPr>
  </w:style>
  <w:style w:type="character" w:customStyle="1" w:styleId="BezmezerChar">
    <w:name w:val="Bez mezer Char"/>
    <w:basedOn w:val="Standardnpsmoodstavce"/>
    <w:link w:val="Bezmezer"/>
    <w:uiPriority w:val="1"/>
    <w:rsid w:val="00252D88"/>
    <w:rPr>
      <w:rFonts w:eastAsiaTheme="majorEastAsia" w:cstheme="majorBidi"/>
      <w:sz w:val="18"/>
      <w:lang w:val="en-US" w:bidi="en-US"/>
    </w:rPr>
  </w:style>
  <w:style w:type="paragraph" w:customStyle="1" w:styleId="Atext">
    <w:name w:val="A_text"/>
    <w:basedOn w:val="Zkladntext2"/>
    <w:link w:val="AtextChar"/>
    <w:qFormat/>
    <w:rsid w:val="008C5CB0"/>
    <w:pPr>
      <w:suppressAutoHyphens/>
      <w:spacing w:before="120" w:line="240" w:lineRule="auto"/>
      <w:ind w:firstLine="709"/>
      <w:jc w:val="both"/>
    </w:pPr>
    <w:rPr>
      <w:rFonts w:ascii="Calibri" w:eastAsia="Times New Roman" w:hAnsi="Calibri" w:cs="Times New Roman"/>
      <w:bCs/>
      <w:iCs/>
      <w:sz w:val="18"/>
      <w:szCs w:val="20"/>
      <w:lang w:eastAsia="ar-SA"/>
    </w:rPr>
  </w:style>
  <w:style w:type="paragraph" w:customStyle="1" w:styleId="Anadpispodtren">
    <w:name w:val="A_nadpis podtržený"/>
    <w:basedOn w:val="Normln"/>
    <w:link w:val="AnadpispodtrenChar"/>
    <w:qFormat/>
    <w:rsid w:val="008C5CB0"/>
    <w:pPr>
      <w:keepNext/>
      <w:suppressAutoHyphens/>
      <w:spacing w:before="120" w:after="120" w:line="240" w:lineRule="auto"/>
      <w:jc w:val="both"/>
    </w:pPr>
    <w:rPr>
      <w:rFonts w:ascii="Calibri" w:eastAsia="Times New Roman" w:hAnsi="Calibri" w:cs="Times New Roman"/>
      <w:sz w:val="18"/>
      <w:szCs w:val="20"/>
      <w:u w:val="single"/>
      <w:lang w:eastAsia="ar-SA"/>
    </w:rPr>
  </w:style>
  <w:style w:type="character" w:customStyle="1" w:styleId="AnadpispodtrenChar">
    <w:name w:val="A_nadpis podtržený Char"/>
    <w:link w:val="Anadpispodtren"/>
    <w:rsid w:val="008C5CB0"/>
    <w:rPr>
      <w:rFonts w:ascii="Calibri" w:eastAsia="Times New Roman" w:hAnsi="Calibri" w:cs="Times New Roman"/>
      <w:sz w:val="18"/>
      <w:szCs w:val="20"/>
      <w:u w:val="single"/>
      <w:lang w:eastAsia="ar-SA"/>
    </w:rPr>
  </w:style>
  <w:style w:type="paragraph" w:customStyle="1" w:styleId="Import1">
    <w:name w:val="Import 1"/>
    <w:basedOn w:val="Normln"/>
    <w:rsid w:val="008C5CB0"/>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after="0" w:line="228" w:lineRule="auto"/>
    </w:pPr>
    <w:rPr>
      <w:rFonts w:ascii="Arial" w:eastAsia="Times New Roman" w:hAnsi="Arial" w:cs="Times New Roman"/>
      <w:sz w:val="24"/>
      <w:szCs w:val="20"/>
      <w:lang w:eastAsia="ar-SA"/>
    </w:rPr>
  </w:style>
  <w:style w:type="character" w:customStyle="1" w:styleId="OdstavecseseznamemChar">
    <w:name w:val="Odstavec se seznamem Char"/>
    <w:aliases w:val="Odrazka_body Char"/>
    <w:link w:val="Odstavecseseznamem"/>
    <w:uiPriority w:val="34"/>
    <w:rsid w:val="00315222"/>
  </w:style>
  <w:style w:type="paragraph" w:styleId="Zkladntext">
    <w:name w:val="Body Text"/>
    <w:basedOn w:val="Normln"/>
    <w:link w:val="ZkladntextChar"/>
    <w:rsid w:val="00365276"/>
    <w:pPr>
      <w:suppressAutoHyphens/>
      <w:spacing w:after="120" w:line="240" w:lineRule="auto"/>
    </w:pPr>
    <w:rPr>
      <w:rFonts w:ascii="Times New Roman" w:eastAsia="Times New Roman" w:hAnsi="Times New Roman" w:cs="Times New Roman"/>
      <w:sz w:val="24"/>
      <w:szCs w:val="24"/>
      <w:lang w:eastAsia="ar-SA"/>
    </w:rPr>
  </w:style>
  <w:style w:type="character" w:customStyle="1" w:styleId="ZkladntextChar">
    <w:name w:val="Základní text Char"/>
    <w:basedOn w:val="Standardnpsmoodstavce"/>
    <w:link w:val="Zkladntext"/>
    <w:rsid w:val="00365276"/>
    <w:rPr>
      <w:rFonts w:ascii="Times New Roman" w:eastAsia="Times New Roman" w:hAnsi="Times New Roman" w:cs="Times New Roman"/>
      <w:sz w:val="24"/>
      <w:szCs w:val="24"/>
      <w:lang w:eastAsia="ar-SA"/>
    </w:rPr>
  </w:style>
  <w:style w:type="paragraph" w:customStyle="1" w:styleId="WW-Zkladntextodsazen31">
    <w:name w:val="WW-Základní text odsazený 31"/>
    <w:basedOn w:val="Normln"/>
    <w:rsid w:val="00365276"/>
    <w:pPr>
      <w:suppressAutoHyphens/>
      <w:spacing w:before="120" w:after="0" w:line="240" w:lineRule="auto"/>
      <w:ind w:firstLine="708"/>
      <w:jc w:val="both"/>
    </w:pPr>
    <w:rPr>
      <w:rFonts w:ascii="Arial" w:eastAsia="Times New Roman" w:hAnsi="Arial" w:cs="Times New Roman"/>
      <w:sz w:val="20"/>
      <w:szCs w:val="20"/>
      <w:lang w:eastAsia="ar-SA"/>
    </w:rPr>
  </w:style>
  <w:style w:type="paragraph" w:customStyle="1" w:styleId="Anadpistun">
    <w:name w:val="A_nadpis tučný"/>
    <w:basedOn w:val="Normln"/>
    <w:link w:val="AnadpistunChar"/>
    <w:qFormat/>
    <w:rsid w:val="00365276"/>
    <w:pPr>
      <w:keepNext/>
      <w:keepLines/>
      <w:suppressAutoHyphens/>
      <w:spacing w:before="120" w:after="120" w:line="240" w:lineRule="auto"/>
      <w:jc w:val="both"/>
    </w:pPr>
    <w:rPr>
      <w:rFonts w:ascii="Calibri" w:eastAsia="Times New Roman" w:hAnsi="Calibri" w:cs="Times New Roman"/>
      <w:b/>
      <w:sz w:val="18"/>
      <w:szCs w:val="20"/>
      <w:lang w:eastAsia="ar-SA"/>
    </w:rPr>
  </w:style>
  <w:style w:type="character" w:customStyle="1" w:styleId="AnadpistunChar">
    <w:name w:val="A_nadpis tučný Char"/>
    <w:link w:val="Anadpistun"/>
    <w:rsid w:val="00365276"/>
    <w:rPr>
      <w:rFonts w:ascii="Calibri" w:eastAsia="Times New Roman" w:hAnsi="Calibri" w:cs="Times New Roman"/>
      <w:b/>
      <w:sz w:val="18"/>
      <w:szCs w:val="20"/>
      <w:lang w:eastAsia="ar-SA"/>
    </w:rPr>
  </w:style>
  <w:style w:type="character" w:customStyle="1" w:styleId="ReakceChar">
    <w:name w:val="Reakce Char"/>
    <w:link w:val="Reakce"/>
    <w:locked/>
    <w:rsid w:val="00C40BA9"/>
    <w:rPr>
      <w:rFonts w:ascii="Calibri" w:hAnsi="Calibri"/>
      <w:sz w:val="18"/>
      <w:szCs w:val="18"/>
      <w:lang w:eastAsia="ar-SA"/>
    </w:rPr>
  </w:style>
  <w:style w:type="paragraph" w:customStyle="1" w:styleId="Reakce">
    <w:name w:val="Reakce"/>
    <w:basedOn w:val="Normln"/>
    <w:link w:val="ReakceChar"/>
    <w:qFormat/>
    <w:rsid w:val="00C40BA9"/>
    <w:pPr>
      <w:pBdr>
        <w:left w:val="single" w:sz="12" w:space="4" w:color="BFBFBF"/>
      </w:pBdr>
      <w:autoSpaceDE w:val="0"/>
      <w:autoSpaceDN w:val="0"/>
      <w:adjustRightInd w:val="0"/>
      <w:spacing w:before="60" w:after="0" w:line="240" w:lineRule="auto"/>
      <w:jc w:val="both"/>
    </w:pPr>
    <w:rPr>
      <w:rFonts w:ascii="Calibri" w:hAnsi="Calibri"/>
      <w:sz w:val="18"/>
      <w:szCs w:val="18"/>
      <w:lang w:eastAsia="ar-SA"/>
    </w:rPr>
  </w:style>
  <w:style w:type="character" w:customStyle="1" w:styleId="WW8Num9z0">
    <w:name w:val="WW8Num9z0"/>
    <w:rsid w:val="00984216"/>
    <w:rPr>
      <w:rFonts w:ascii="Wingdings" w:hAnsi="Wingdings"/>
    </w:rPr>
  </w:style>
  <w:style w:type="character" w:styleId="Odkaznakoment">
    <w:name w:val="annotation reference"/>
    <w:basedOn w:val="Standardnpsmoodstavce"/>
    <w:uiPriority w:val="99"/>
    <w:semiHidden/>
    <w:unhideWhenUsed/>
    <w:rsid w:val="00F93C66"/>
    <w:rPr>
      <w:sz w:val="16"/>
      <w:szCs w:val="16"/>
    </w:rPr>
  </w:style>
  <w:style w:type="paragraph" w:styleId="Textkomente">
    <w:name w:val="annotation text"/>
    <w:basedOn w:val="Normln"/>
    <w:link w:val="TextkomenteChar"/>
    <w:uiPriority w:val="99"/>
    <w:unhideWhenUsed/>
    <w:rsid w:val="00F93C66"/>
    <w:pPr>
      <w:spacing w:line="240" w:lineRule="auto"/>
    </w:pPr>
    <w:rPr>
      <w:sz w:val="20"/>
      <w:szCs w:val="20"/>
    </w:rPr>
  </w:style>
  <w:style w:type="character" w:customStyle="1" w:styleId="TextkomenteChar">
    <w:name w:val="Text komentáře Char"/>
    <w:basedOn w:val="Standardnpsmoodstavce"/>
    <w:link w:val="Textkomente"/>
    <w:uiPriority w:val="99"/>
    <w:rsid w:val="00F93C66"/>
    <w:rPr>
      <w:sz w:val="20"/>
      <w:szCs w:val="20"/>
    </w:rPr>
  </w:style>
  <w:style w:type="paragraph" w:styleId="Pedmtkomente">
    <w:name w:val="annotation subject"/>
    <w:basedOn w:val="Textkomente"/>
    <w:next w:val="Textkomente"/>
    <w:link w:val="PedmtkomenteChar"/>
    <w:uiPriority w:val="99"/>
    <w:semiHidden/>
    <w:unhideWhenUsed/>
    <w:rsid w:val="00F93C66"/>
    <w:rPr>
      <w:b/>
      <w:bCs/>
    </w:rPr>
  </w:style>
  <w:style w:type="character" w:customStyle="1" w:styleId="PedmtkomenteChar">
    <w:name w:val="Předmět komentáře Char"/>
    <w:basedOn w:val="TextkomenteChar"/>
    <w:link w:val="Pedmtkomente"/>
    <w:uiPriority w:val="99"/>
    <w:semiHidden/>
    <w:rsid w:val="00F93C66"/>
    <w:rPr>
      <w:b/>
      <w:bCs/>
      <w:sz w:val="20"/>
      <w:szCs w:val="20"/>
    </w:rPr>
  </w:style>
  <w:style w:type="paragraph" w:customStyle="1" w:styleId="Mra-REAKCE1">
    <w:name w:val="Míra-REAKCE1"/>
    <w:basedOn w:val="Normln"/>
    <w:link w:val="Mra-REAKCE1Char"/>
    <w:qFormat/>
    <w:rsid w:val="00BD79E4"/>
    <w:pPr>
      <w:pBdr>
        <w:left w:val="single" w:sz="12" w:space="4" w:color="BFBFBF"/>
      </w:pBdr>
      <w:autoSpaceDE w:val="0"/>
      <w:autoSpaceDN w:val="0"/>
      <w:adjustRightInd w:val="0"/>
      <w:spacing w:after="0" w:line="240" w:lineRule="auto"/>
      <w:ind w:left="709"/>
      <w:jc w:val="both"/>
    </w:pPr>
    <w:rPr>
      <w:rFonts w:ascii="Calibri" w:eastAsia="Times New Roman" w:hAnsi="Calibri" w:cs="Times New Roman"/>
      <w:color w:val="FF0000"/>
      <w:sz w:val="18"/>
      <w:szCs w:val="18"/>
      <w:lang w:eastAsia="ar-SA"/>
    </w:rPr>
  </w:style>
  <w:style w:type="character" w:customStyle="1" w:styleId="Mra-REAKCE1Char">
    <w:name w:val="Míra-REAKCE1 Char"/>
    <w:link w:val="Mra-REAKCE1"/>
    <w:rsid w:val="00BD79E4"/>
    <w:rPr>
      <w:rFonts w:ascii="Calibri" w:eastAsia="Times New Roman" w:hAnsi="Calibri" w:cs="Times New Roman"/>
      <w:color w:val="FF0000"/>
      <w:sz w:val="18"/>
      <w:szCs w:val="18"/>
      <w:lang w:eastAsia="ar-SA"/>
    </w:rPr>
  </w:style>
  <w:style w:type="numbering" w:customStyle="1" w:styleId="StylP1">
    <w:name w:val="Styl_P1"/>
    <w:uiPriority w:val="99"/>
    <w:rsid w:val="00BD79E4"/>
    <w:pPr>
      <w:numPr>
        <w:numId w:val="22"/>
      </w:numPr>
    </w:pPr>
  </w:style>
  <w:style w:type="character" w:customStyle="1" w:styleId="Nadpis1Char">
    <w:name w:val="Nadpis 1 Char"/>
    <w:basedOn w:val="Standardnpsmoodstavce"/>
    <w:link w:val="Nadpis1"/>
    <w:uiPriority w:val="9"/>
    <w:rsid w:val="00FE1E54"/>
    <w:rPr>
      <w:rFonts w:asciiTheme="majorHAnsi" w:eastAsiaTheme="majorEastAsia" w:hAnsiTheme="majorHAnsi" w:cstheme="majorBidi"/>
      <w:b/>
      <w:bCs/>
      <w:color w:val="2E74B5" w:themeColor="accent1" w:themeShade="BF"/>
      <w:sz w:val="28"/>
      <w:szCs w:val="28"/>
    </w:rPr>
  </w:style>
  <w:style w:type="paragraph" w:customStyle="1" w:styleId="Atextkurzva">
    <w:name w:val="A_text kurzíva"/>
    <w:basedOn w:val="Normln"/>
    <w:qFormat/>
    <w:rsid w:val="00FD256E"/>
    <w:pPr>
      <w:suppressAutoHyphens/>
      <w:spacing w:before="120" w:after="120" w:line="240" w:lineRule="auto"/>
      <w:jc w:val="both"/>
    </w:pPr>
    <w:rPr>
      <w:rFonts w:ascii="Calibri" w:eastAsia="Times New Roman" w:hAnsi="Calibri" w:cs="Arial"/>
      <w:i/>
      <w:sz w:val="18"/>
      <w:szCs w:val="20"/>
      <w:lang w:eastAsia="ar-SA"/>
    </w:rPr>
  </w:style>
  <w:style w:type="paragraph" w:customStyle="1" w:styleId="Anadpiskurzva">
    <w:name w:val="A_nadpis kurzíva"/>
    <w:basedOn w:val="Normln"/>
    <w:qFormat/>
    <w:rsid w:val="00E92BC7"/>
    <w:pPr>
      <w:keepNext/>
      <w:suppressAutoHyphens/>
      <w:spacing w:before="120" w:after="120" w:line="240" w:lineRule="auto"/>
      <w:jc w:val="both"/>
    </w:pPr>
    <w:rPr>
      <w:rFonts w:ascii="Calibri" w:eastAsia="Times New Roman" w:hAnsi="Calibri" w:cs="Arial"/>
      <w:i/>
      <w:sz w:val="18"/>
      <w:szCs w:val="20"/>
      <w:lang w:eastAsia="ar-SA"/>
    </w:rPr>
  </w:style>
  <w:style w:type="character" w:customStyle="1" w:styleId="Nadpis2Char">
    <w:name w:val="Nadpis 2 Char"/>
    <w:basedOn w:val="Standardnpsmoodstavce"/>
    <w:link w:val="Nadpis2"/>
    <w:uiPriority w:val="9"/>
    <w:semiHidden/>
    <w:rsid w:val="00974B9D"/>
    <w:rPr>
      <w:rFonts w:asciiTheme="majorHAnsi" w:eastAsiaTheme="majorEastAsia" w:hAnsiTheme="majorHAnsi" w:cstheme="majorBidi"/>
      <w:b/>
      <w:bCs/>
      <w:color w:val="5B9BD5" w:themeColor="accent1"/>
      <w:sz w:val="26"/>
      <w:szCs w:val="26"/>
    </w:rPr>
  </w:style>
  <w:style w:type="paragraph" w:styleId="Zkladntextodsazen3">
    <w:name w:val="Body Text Indent 3"/>
    <w:basedOn w:val="Normln"/>
    <w:link w:val="Zkladntextodsazen3Char"/>
    <w:uiPriority w:val="99"/>
    <w:unhideWhenUsed/>
    <w:rsid w:val="00DF25D1"/>
    <w:pPr>
      <w:spacing w:after="120"/>
      <w:ind w:left="283"/>
    </w:pPr>
    <w:rPr>
      <w:sz w:val="16"/>
      <w:szCs w:val="16"/>
    </w:rPr>
  </w:style>
  <w:style w:type="character" w:customStyle="1" w:styleId="Zkladntextodsazen3Char">
    <w:name w:val="Základní text odsazený 3 Char"/>
    <w:basedOn w:val="Standardnpsmoodstavce"/>
    <w:link w:val="Zkladntextodsazen3"/>
    <w:uiPriority w:val="99"/>
    <w:rsid w:val="00DF25D1"/>
    <w:rPr>
      <w:sz w:val="16"/>
      <w:szCs w:val="16"/>
    </w:rPr>
  </w:style>
  <w:style w:type="character" w:customStyle="1" w:styleId="Nadpis3Char">
    <w:name w:val="Nadpis 3 Char"/>
    <w:basedOn w:val="Standardnpsmoodstavce"/>
    <w:link w:val="Nadpis3"/>
    <w:uiPriority w:val="9"/>
    <w:semiHidden/>
    <w:rsid w:val="00F747F5"/>
    <w:rPr>
      <w:rFonts w:asciiTheme="majorHAnsi" w:eastAsiaTheme="majorEastAsia" w:hAnsiTheme="majorHAnsi" w:cstheme="majorBidi"/>
      <w:b/>
      <w:bCs/>
      <w:color w:val="5B9BD5" w:themeColor="accent1"/>
    </w:rPr>
  </w:style>
  <w:style w:type="paragraph" w:customStyle="1" w:styleId="MBpramen">
    <w:name w:val="MB pramen"/>
    <w:basedOn w:val="Normln"/>
    <w:rsid w:val="00567339"/>
    <w:pPr>
      <w:spacing w:after="0" w:line="240" w:lineRule="auto"/>
      <w:jc w:val="both"/>
    </w:pPr>
    <w:rPr>
      <w:rFonts w:ascii="Times New Roman" w:eastAsia="Times New Roman" w:hAnsi="Times New Roman" w:cs="Times New Roman"/>
      <w:sz w:val="20"/>
      <w:szCs w:val="20"/>
      <w:lang w:eastAsia="cs-CZ"/>
    </w:rPr>
  </w:style>
  <w:style w:type="character" w:styleId="Nevyeenzmnka">
    <w:name w:val="Unresolved Mention"/>
    <w:basedOn w:val="Standardnpsmoodstavce"/>
    <w:uiPriority w:val="99"/>
    <w:semiHidden/>
    <w:unhideWhenUsed/>
    <w:rsid w:val="00A02C4E"/>
    <w:rPr>
      <w:color w:val="808080"/>
      <w:shd w:val="clear" w:color="auto" w:fill="E6E6E6"/>
    </w:rPr>
  </w:style>
  <w:style w:type="character" w:customStyle="1" w:styleId="Nadpis8Char">
    <w:name w:val="Nadpis 8 Char"/>
    <w:basedOn w:val="Standardnpsmoodstavce"/>
    <w:link w:val="Nadpis8"/>
    <w:uiPriority w:val="9"/>
    <w:semiHidden/>
    <w:rsid w:val="000306C5"/>
    <w:rPr>
      <w:rFonts w:asciiTheme="majorHAnsi" w:eastAsiaTheme="majorEastAsia" w:hAnsiTheme="majorHAnsi" w:cstheme="majorBidi"/>
      <w:color w:val="272727" w:themeColor="text1" w:themeTint="D8"/>
      <w:sz w:val="21"/>
      <w:szCs w:val="21"/>
    </w:rPr>
  </w:style>
  <w:style w:type="character" w:customStyle="1" w:styleId="apple-converted-space">
    <w:name w:val="apple-converted-space"/>
    <w:basedOn w:val="Standardnpsmoodstavce"/>
    <w:rsid w:val="00E90389"/>
  </w:style>
  <w:style w:type="paragraph" w:customStyle="1" w:styleId="a">
    <w:uiPriority w:val="20"/>
    <w:qFormat/>
    <w:rsid w:val="00151744"/>
    <w:pPr>
      <w:suppressAutoHyphens/>
      <w:spacing w:after="0" w:line="240" w:lineRule="auto"/>
    </w:pPr>
    <w:rPr>
      <w:rFonts w:ascii="Times New Roman" w:eastAsia="Times New Roman" w:hAnsi="Times New Roman" w:cs="Times New Roman"/>
      <w:sz w:val="24"/>
      <w:szCs w:val="24"/>
      <w:lang w:eastAsia="ar-SA"/>
    </w:rPr>
  </w:style>
  <w:style w:type="character" w:styleId="Zdraznn">
    <w:name w:val="Emphasis"/>
    <w:basedOn w:val="Standardnpsmoodstavce"/>
    <w:uiPriority w:val="20"/>
    <w:qFormat/>
    <w:rsid w:val="00151744"/>
    <w:rPr>
      <w:i/>
      <w:iCs/>
    </w:rPr>
  </w:style>
  <w:style w:type="character" w:customStyle="1" w:styleId="Nadpis3Char0">
    <w:name w:val="Nadpis3 Char"/>
    <w:link w:val="Nadpis30"/>
    <w:locked/>
    <w:rsid w:val="0024056D"/>
    <w:rPr>
      <w:rFonts w:ascii="Calibri" w:hAnsi="Calibri"/>
      <w:b/>
      <w:bCs/>
      <w:sz w:val="18"/>
      <w:lang w:val="x-none" w:eastAsia="x-none"/>
    </w:rPr>
  </w:style>
  <w:style w:type="paragraph" w:customStyle="1" w:styleId="Nadpis30">
    <w:name w:val="Nadpis3"/>
    <w:basedOn w:val="Normln"/>
    <w:link w:val="Nadpis3Char0"/>
    <w:qFormat/>
    <w:rsid w:val="0024056D"/>
    <w:pPr>
      <w:keepNext/>
      <w:suppressAutoHyphens/>
      <w:spacing w:before="120" w:after="120" w:line="240" w:lineRule="auto"/>
      <w:jc w:val="both"/>
    </w:pPr>
    <w:rPr>
      <w:rFonts w:ascii="Calibri" w:hAnsi="Calibri"/>
      <w:b/>
      <w:bCs/>
      <w:sz w:val="18"/>
      <w:lang w:val="x-none" w:eastAsia="x-none"/>
    </w:rPr>
  </w:style>
  <w:style w:type="paragraph" w:customStyle="1" w:styleId="Import25">
    <w:name w:val="Import 25"/>
    <w:basedOn w:val="Normln"/>
    <w:rsid w:val="0024056D"/>
    <w:pPr>
      <w:tabs>
        <w:tab w:val="left" w:pos="5184"/>
      </w:tabs>
      <w:suppressAutoHyphens/>
      <w:spacing w:after="0" w:line="228" w:lineRule="auto"/>
    </w:pPr>
    <w:rPr>
      <w:rFonts w:ascii="Arial" w:eastAsia="Times New Roman" w:hAnsi="Arial" w:cs="Times New Roman"/>
      <w:sz w:val="24"/>
      <w:szCs w:val="20"/>
      <w:lang w:eastAsia="ar-SA"/>
    </w:rPr>
  </w:style>
  <w:style w:type="paragraph" w:customStyle="1" w:styleId="Import11">
    <w:name w:val="Import 11"/>
    <w:basedOn w:val="Normln"/>
    <w:rsid w:val="00213A5E"/>
    <w:pPr>
      <w:tabs>
        <w:tab w:val="left" w:pos="720"/>
        <w:tab w:val="left" w:pos="1584"/>
        <w:tab w:val="left" w:pos="2448"/>
        <w:tab w:val="left" w:pos="3312"/>
        <w:tab w:val="left" w:pos="4176"/>
        <w:tab w:val="left" w:pos="5040"/>
        <w:tab w:val="left" w:pos="5904"/>
        <w:tab w:val="left" w:pos="6768"/>
        <w:tab w:val="left" w:pos="7632"/>
        <w:tab w:val="left" w:pos="8496"/>
        <w:tab w:val="left" w:pos="9360"/>
        <w:tab w:val="left" w:pos="10224"/>
        <w:tab w:val="left" w:pos="11088"/>
        <w:tab w:val="left" w:pos="11952"/>
        <w:tab w:val="left" w:pos="12816"/>
        <w:tab w:val="left" w:pos="13680"/>
        <w:tab w:val="left" w:pos="14544"/>
        <w:tab w:val="left" w:pos="15408"/>
        <w:tab w:val="left" w:pos="16272"/>
        <w:tab w:val="left" w:pos="17136"/>
        <w:tab w:val="left" w:pos="18000"/>
        <w:tab w:val="left" w:pos="18864"/>
      </w:tabs>
      <w:suppressAutoHyphens/>
      <w:spacing w:after="0" w:line="228" w:lineRule="auto"/>
      <w:ind w:left="144"/>
    </w:pPr>
    <w:rPr>
      <w:rFonts w:ascii="Arial" w:eastAsia="Times New Roman" w:hAnsi="Arial" w:cs="Times New Roman"/>
      <w:sz w:val="24"/>
      <w:szCs w:val="20"/>
      <w:lang w:eastAsia="ar-SA"/>
    </w:rPr>
  </w:style>
  <w:style w:type="paragraph" w:customStyle="1" w:styleId="Poznmka">
    <w:name w:val="Poznámka"/>
    <w:basedOn w:val="Normln"/>
    <w:link w:val="PoznmkaChar"/>
    <w:qFormat/>
    <w:rsid w:val="009E5E88"/>
    <w:pPr>
      <w:spacing w:before="60" w:after="60" w:line="240" w:lineRule="auto"/>
      <w:jc w:val="both"/>
    </w:pPr>
    <w:rPr>
      <w:rFonts w:ascii="Calibri" w:eastAsia="Calibri" w:hAnsi="Calibri" w:cs="Times New Roman"/>
      <w:i/>
      <w:sz w:val="18"/>
      <w:lang w:val="x-none"/>
    </w:rPr>
  </w:style>
  <w:style w:type="character" w:customStyle="1" w:styleId="PoznmkaChar">
    <w:name w:val="Poznámka Char"/>
    <w:link w:val="Poznmka"/>
    <w:rsid w:val="009E5E88"/>
    <w:rPr>
      <w:rFonts w:ascii="Calibri" w:eastAsia="Calibri" w:hAnsi="Calibri" w:cs="Times New Roman"/>
      <w:i/>
      <w:sz w:val="18"/>
      <w:lang w:val="x-none"/>
    </w:rPr>
  </w:style>
  <w:style w:type="paragraph" w:customStyle="1" w:styleId="UPnadpis5">
    <w:name w:val="UP_nadpis5"/>
    <w:basedOn w:val="Normln"/>
    <w:next w:val="Normln"/>
    <w:qFormat/>
    <w:rsid w:val="00374649"/>
    <w:pPr>
      <w:spacing w:before="240" w:after="120" w:line="240" w:lineRule="auto"/>
      <w:jc w:val="both"/>
    </w:pPr>
    <w:rPr>
      <w:b/>
    </w:rPr>
  </w:style>
  <w:style w:type="paragraph" w:customStyle="1" w:styleId="citace">
    <w:name w:val="citace"/>
    <w:basedOn w:val="Normln"/>
    <w:qFormat/>
    <w:rsid w:val="00374649"/>
    <w:pPr>
      <w:pBdr>
        <w:left w:val="single" w:sz="24" w:space="4" w:color="595959" w:themeColor="text1" w:themeTint="A6"/>
      </w:pBdr>
      <w:shd w:val="clear" w:color="auto" w:fill="FFFFFF" w:themeFill="background1"/>
      <w:spacing w:before="120" w:after="120" w:line="240" w:lineRule="auto"/>
      <w:ind w:left="340" w:right="340"/>
      <w:jc w:val="both"/>
    </w:pPr>
    <w:rPr>
      <w:i/>
      <w:color w:val="262626" w:themeColor="text1" w:themeTint="D9"/>
      <w:sz w:val="20"/>
    </w:rPr>
  </w:style>
  <w:style w:type="character" w:styleId="Sledovanodkaz">
    <w:name w:val="FollowedHyperlink"/>
    <w:basedOn w:val="Standardnpsmoodstavce"/>
    <w:uiPriority w:val="99"/>
    <w:semiHidden/>
    <w:unhideWhenUsed/>
    <w:rsid w:val="00CF1108"/>
    <w:rPr>
      <w:color w:val="954F72"/>
      <w:u w:val="single"/>
    </w:rPr>
  </w:style>
  <w:style w:type="paragraph" w:customStyle="1" w:styleId="msonormal0">
    <w:name w:val="msonormal"/>
    <w:basedOn w:val="Normln"/>
    <w:rsid w:val="00CF1108"/>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63">
    <w:name w:val="xl63"/>
    <w:basedOn w:val="Normln"/>
    <w:rsid w:val="00CF1108"/>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xl64">
    <w:name w:val="xl64"/>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Light" w:eastAsia="Times New Roman" w:hAnsi="Calibri Light" w:cs="Calibri Light"/>
      <w:sz w:val="18"/>
      <w:szCs w:val="18"/>
      <w:lang w:eastAsia="cs-CZ"/>
    </w:rPr>
  </w:style>
  <w:style w:type="paragraph" w:customStyle="1" w:styleId="xl65">
    <w:name w:val="xl65"/>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Light" w:eastAsia="Times New Roman" w:hAnsi="Calibri Light" w:cs="Calibri Light"/>
      <w:sz w:val="18"/>
      <w:szCs w:val="18"/>
      <w:lang w:eastAsia="cs-CZ"/>
    </w:rPr>
  </w:style>
  <w:style w:type="paragraph" w:customStyle="1" w:styleId="xl66">
    <w:name w:val="xl66"/>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Light" w:eastAsia="Times New Roman" w:hAnsi="Calibri Light" w:cs="Calibri Light"/>
      <w:sz w:val="18"/>
      <w:szCs w:val="18"/>
      <w:lang w:eastAsia="cs-CZ"/>
    </w:rPr>
  </w:style>
  <w:style w:type="paragraph" w:customStyle="1" w:styleId="xl67">
    <w:name w:val="xl67"/>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Light" w:eastAsia="Times New Roman" w:hAnsi="Calibri Light" w:cs="Calibri Light"/>
      <w:sz w:val="18"/>
      <w:szCs w:val="18"/>
      <w:lang w:eastAsia="cs-CZ"/>
    </w:rPr>
  </w:style>
  <w:style w:type="paragraph" w:customStyle="1" w:styleId="xl68">
    <w:name w:val="xl68"/>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Light" w:eastAsia="Times New Roman" w:hAnsi="Calibri Light" w:cs="Calibri Light"/>
      <w:sz w:val="18"/>
      <w:szCs w:val="18"/>
      <w:lang w:eastAsia="cs-CZ"/>
    </w:rPr>
  </w:style>
  <w:style w:type="paragraph" w:customStyle="1" w:styleId="xl69">
    <w:name w:val="xl69"/>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Light" w:eastAsia="Times New Roman" w:hAnsi="Calibri Light" w:cs="Calibri Light"/>
      <w:sz w:val="18"/>
      <w:szCs w:val="18"/>
      <w:lang w:eastAsia="cs-CZ"/>
    </w:rPr>
  </w:style>
  <w:style w:type="paragraph" w:customStyle="1" w:styleId="xl70">
    <w:name w:val="xl70"/>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Light" w:eastAsia="Times New Roman" w:hAnsi="Calibri Light" w:cs="Calibri Light"/>
      <w:sz w:val="18"/>
      <w:szCs w:val="18"/>
      <w:lang w:eastAsia="cs-CZ"/>
    </w:rPr>
  </w:style>
  <w:style w:type="paragraph" w:customStyle="1" w:styleId="xl71">
    <w:name w:val="xl71"/>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Light" w:eastAsia="Times New Roman" w:hAnsi="Calibri Light" w:cs="Calibri Light"/>
      <w:sz w:val="18"/>
      <w:szCs w:val="18"/>
      <w:lang w:eastAsia="cs-CZ"/>
    </w:rPr>
  </w:style>
  <w:style w:type="paragraph" w:customStyle="1" w:styleId="xl72">
    <w:name w:val="xl72"/>
    <w:basedOn w:val="Normln"/>
    <w:rsid w:val="00CF1108"/>
    <w:pPr>
      <w:pBdr>
        <w:top w:val="single" w:sz="4" w:space="0" w:color="auto"/>
        <w:left w:val="single" w:sz="4" w:space="0" w:color="auto"/>
        <w:bottom w:val="single" w:sz="4" w:space="0" w:color="auto"/>
        <w:right w:val="single" w:sz="4" w:space="0" w:color="auto"/>
      </w:pBdr>
      <w:shd w:val="clear" w:color="000000" w:fill="D9E1F2"/>
      <w:spacing w:before="100" w:beforeAutospacing="1" w:after="100" w:afterAutospacing="1" w:line="240" w:lineRule="auto"/>
    </w:pPr>
    <w:rPr>
      <w:rFonts w:ascii="Calibri Light" w:eastAsia="Times New Roman" w:hAnsi="Calibri Light" w:cs="Calibri Light"/>
      <w:sz w:val="18"/>
      <w:szCs w:val="18"/>
      <w:lang w:eastAsia="cs-CZ"/>
    </w:rPr>
  </w:style>
  <w:style w:type="paragraph" w:customStyle="1" w:styleId="xl73">
    <w:name w:val="xl73"/>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Calibri Light" w:eastAsia="Times New Roman" w:hAnsi="Calibri Light" w:cs="Calibri Light"/>
      <w:sz w:val="18"/>
      <w:szCs w:val="18"/>
      <w:lang w:eastAsia="cs-CZ"/>
    </w:rPr>
  </w:style>
  <w:style w:type="paragraph" w:customStyle="1" w:styleId="xl74">
    <w:name w:val="xl74"/>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Light" w:eastAsia="Times New Roman" w:hAnsi="Calibri Light" w:cs="Calibri Light"/>
      <w:sz w:val="18"/>
      <w:szCs w:val="18"/>
      <w:lang w:eastAsia="cs-CZ"/>
    </w:rPr>
  </w:style>
  <w:style w:type="paragraph" w:customStyle="1" w:styleId="xl75">
    <w:name w:val="xl75"/>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Light" w:eastAsia="Times New Roman" w:hAnsi="Calibri Light" w:cs="Calibri Light"/>
      <w:sz w:val="18"/>
      <w:szCs w:val="18"/>
      <w:lang w:eastAsia="cs-CZ"/>
    </w:rPr>
  </w:style>
  <w:style w:type="paragraph" w:customStyle="1" w:styleId="xl76">
    <w:name w:val="xl76"/>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Calibri Light" w:eastAsia="Times New Roman" w:hAnsi="Calibri Light" w:cs="Calibri Light"/>
      <w:sz w:val="18"/>
      <w:szCs w:val="18"/>
      <w:lang w:eastAsia="cs-CZ"/>
    </w:rPr>
  </w:style>
  <w:style w:type="paragraph" w:customStyle="1" w:styleId="xl77">
    <w:name w:val="xl77"/>
    <w:basedOn w:val="Normln"/>
    <w:rsid w:val="00CF1108"/>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Calibri Light" w:eastAsia="Times New Roman" w:hAnsi="Calibri Light" w:cs="Calibri Light"/>
      <w:b/>
      <w:bCs/>
      <w:sz w:val="18"/>
      <w:szCs w:val="18"/>
      <w:lang w:eastAsia="cs-CZ"/>
    </w:rPr>
  </w:style>
  <w:style w:type="character" w:customStyle="1" w:styleId="AtextChar">
    <w:name w:val="A_text Char"/>
    <w:basedOn w:val="Zkladntext2Char"/>
    <w:link w:val="Atext"/>
    <w:rsid w:val="00BA0668"/>
    <w:rPr>
      <w:rFonts w:ascii="Calibri" w:eastAsia="Times New Roman" w:hAnsi="Calibri" w:cs="Times New Roman"/>
      <w:bCs/>
      <w:iCs/>
      <w:sz w:val="18"/>
      <w:szCs w:val="20"/>
      <w:lang w:eastAsia="ar-SA"/>
    </w:rPr>
  </w:style>
  <w:style w:type="paragraph" w:customStyle="1" w:styleId="ANADPIS4">
    <w:name w:val="A_NADPIS_4"/>
    <w:basedOn w:val="Anadpistun"/>
    <w:link w:val="ANADPIS4Char"/>
    <w:qFormat/>
    <w:rsid w:val="002D0BDA"/>
    <w:pPr>
      <w:shd w:val="clear" w:color="auto" w:fill="F2F2F2" w:themeFill="background1" w:themeFillShade="F2"/>
      <w:spacing w:before="240"/>
    </w:pPr>
    <w:rPr>
      <w:caps/>
      <w:sz w:val="20"/>
    </w:rPr>
  </w:style>
  <w:style w:type="character" w:customStyle="1" w:styleId="ANADPIS4Char">
    <w:name w:val="A_NADPIS_4 Char"/>
    <w:basedOn w:val="AnadpistunChar"/>
    <w:link w:val="ANADPIS4"/>
    <w:rsid w:val="002D0BDA"/>
    <w:rPr>
      <w:rFonts w:ascii="Calibri" w:eastAsia="Times New Roman" w:hAnsi="Calibri" w:cs="Times New Roman"/>
      <w:b/>
      <w:caps/>
      <w:sz w:val="20"/>
      <w:szCs w:val="20"/>
      <w:shd w:val="clear" w:color="auto" w:fill="F2F2F2" w:themeFill="background1" w:themeFillShade="F2"/>
      <w:lang w:eastAsia="ar-SA"/>
    </w:rPr>
  </w:style>
  <w:style w:type="table" w:customStyle="1" w:styleId="Mkatabulky2">
    <w:name w:val="Mřížka tabulky2"/>
    <w:basedOn w:val="Normlntabulka"/>
    <w:next w:val="Mkatabulky"/>
    <w:uiPriority w:val="59"/>
    <w:rsid w:val="002D0BD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NADPIS1">
    <w:name w:val="A_NADPIS_1"/>
    <w:basedOn w:val="Odstavecseseznamem"/>
    <w:qFormat/>
    <w:rsid w:val="000C5FD9"/>
    <w:pPr>
      <w:keepNext/>
      <w:keepLines/>
      <w:pBdr>
        <w:top w:val="single" w:sz="8" w:space="1" w:color="auto"/>
        <w:left w:val="single" w:sz="8" w:space="4" w:color="auto"/>
        <w:bottom w:val="single" w:sz="8" w:space="1" w:color="auto"/>
        <w:right w:val="single" w:sz="8" w:space="4" w:color="auto"/>
      </w:pBdr>
      <w:shd w:val="clear" w:color="auto" w:fill="F2F2F2" w:themeFill="background1" w:themeFillShade="F2"/>
      <w:tabs>
        <w:tab w:val="num" w:pos="360"/>
      </w:tabs>
      <w:spacing w:before="360" w:after="200" w:line="240" w:lineRule="auto"/>
      <w:contextualSpacing w:val="0"/>
      <w:jc w:val="both"/>
      <w:outlineLvl w:val="0"/>
    </w:pPr>
    <w:rPr>
      <w:rFonts w:cstheme="minorHAnsi"/>
      <w:b/>
      <w:sz w:val="24"/>
      <w:szCs w:val="28"/>
    </w:rPr>
  </w:style>
  <w:style w:type="paragraph" w:customStyle="1" w:styleId="ANADPIS2">
    <w:name w:val="A_NADPIS_2"/>
    <w:basedOn w:val="Odstavecseseznamem"/>
    <w:qFormat/>
    <w:rsid w:val="000C5FD9"/>
    <w:pPr>
      <w:keepNext/>
      <w:keepLines/>
      <w:tabs>
        <w:tab w:val="num" w:pos="360"/>
      </w:tabs>
      <w:spacing w:before="240" w:after="120" w:line="240" w:lineRule="auto"/>
      <w:contextualSpacing w:val="0"/>
      <w:outlineLvl w:val="1"/>
    </w:pPr>
    <w:rPr>
      <w:rFonts w:cstheme="minorHAnsi"/>
      <w:b/>
      <w:sz w:val="24"/>
      <w:szCs w:val="20"/>
    </w:rPr>
  </w:style>
  <w:style w:type="paragraph" w:customStyle="1" w:styleId="ANADPIS3">
    <w:name w:val="A_NADPIS_3"/>
    <w:basedOn w:val="Odstavecseseznamem"/>
    <w:link w:val="ANADPIS3Char"/>
    <w:qFormat/>
    <w:rsid w:val="000C5FD9"/>
    <w:pPr>
      <w:keepNext/>
      <w:spacing w:before="160" w:after="120" w:line="240" w:lineRule="auto"/>
      <w:ind w:left="709" w:hanging="709"/>
      <w:contextualSpacing w:val="0"/>
      <w:outlineLvl w:val="2"/>
    </w:pPr>
    <w:rPr>
      <w:rFonts w:cstheme="minorHAnsi"/>
      <w:b/>
    </w:rPr>
  </w:style>
  <w:style w:type="character" w:customStyle="1" w:styleId="ANADPIS3Char">
    <w:name w:val="A_NADPIS_3 Char"/>
    <w:basedOn w:val="Standardnpsmoodstavce"/>
    <w:link w:val="ANADPIS3"/>
    <w:rsid w:val="000C5FD9"/>
    <w:rPr>
      <w:rFonts w:cstheme="minorHAnsi"/>
      <w:b/>
    </w:rPr>
  </w:style>
  <w:style w:type="paragraph" w:styleId="Revize">
    <w:name w:val="Revision"/>
    <w:hidden/>
    <w:uiPriority w:val="99"/>
    <w:semiHidden/>
    <w:rsid w:val="00E9244D"/>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915640">
      <w:bodyDiv w:val="1"/>
      <w:marLeft w:val="0"/>
      <w:marRight w:val="0"/>
      <w:marTop w:val="0"/>
      <w:marBottom w:val="0"/>
      <w:divBdr>
        <w:top w:val="none" w:sz="0" w:space="0" w:color="auto"/>
        <w:left w:val="none" w:sz="0" w:space="0" w:color="auto"/>
        <w:bottom w:val="none" w:sz="0" w:space="0" w:color="auto"/>
        <w:right w:val="none" w:sz="0" w:space="0" w:color="auto"/>
      </w:divBdr>
    </w:div>
    <w:div w:id="11731383">
      <w:bodyDiv w:val="1"/>
      <w:marLeft w:val="0"/>
      <w:marRight w:val="0"/>
      <w:marTop w:val="0"/>
      <w:marBottom w:val="0"/>
      <w:divBdr>
        <w:top w:val="none" w:sz="0" w:space="0" w:color="auto"/>
        <w:left w:val="none" w:sz="0" w:space="0" w:color="auto"/>
        <w:bottom w:val="none" w:sz="0" w:space="0" w:color="auto"/>
        <w:right w:val="none" w:sz="0" w:space="0" w:color="auto"/>
      </w:divBdr>
    </w:div>
    <w:div w:id="16080738">
      <w:bodyDiv w:val="1"/>
      <w:marLeft w:val="0"/>
      <w:marRight w:val="0"/>
      <w:marTop w:val="0"/>
      <w:marBottom w:val="0"/>
      <w:divBdr>
        <w:top w:val="none" w:sz="0" w:space="0" w:color="auto"/>
        <w:left w:val="none" w:sz="0" w:space="0" w:color="auto"/>
        <w:bottom w:val="none" w:sz="0" w:space="0" w:color="auto"/>
        <w:right w:val="none" w:sz="0" w:space="0" w:color="auto"/>
      </w:divBdr>
    </w:div>
    <w:div w:id="18044819">
      <w:bodyDiv w:val="1"/>
      <w:marLeft w:val="0"/>
      <w:marRight w:val="0"/>
      <w:marTop w:val="0"/>
      <w:marBottom w:val="0"/>
      <w:divBdr>
        <w:top w:val="none" w:sz="0" w:space="0" w:color="auto"/>
        <w:left w:val="none" w:sz="0" w:space="0" w:color="auto"/>
        <w:bottom w:val="none" w:sz="0" w:space="0" w:color="auto"/>
        <w:right w:val="none" w:sz="0" w:space="0" w:color="auto"/>
      </w:divBdr>
    </w:div>
    <w:div w:id="36861264">
      <w:bodyDiv w:val="1"/>
      <w:marLeft w:val="0"/>
      <w:marRight w:val="0"/>
      <w:marTop w:val="0"/>
      <w:marBottom w:val="0"/>
      <w:divBdr>
        <w:top w:val="none" w:sz="0" w:space="0" w:color="auto"/>
        <w:left w:val="none" w:sz="0" w:space="0" w:color="auto"/>
        <w:bottom w:val="none" w:sz="0" w:space="0" w:color="auto"/>
        <w:right w:val="none" w:sz="0" w:space="0" w:color="auto"/>
      </w:divBdr>
    </w:div>
    <w:div w:id="42411634">
      <w:bodyDiv w:val="1"/>
      <w:marLeft w:val="0"/>
      <w:marRight w:val="0"/>
      <w:marTop w:val="0"/>
      <w:marBottom w:val="0"/>
      <w:divBdr>
        <w:top w:val="none" w:sz="0" w:space="0" w:color="auto"/>
        <w:left w:val="none" w:sz="0" w:space="0" w:color="auto"/>
        <w:bottom w:val="none" w:sz="0" w:space="0" w:color="auto"/>
        <w:right w:val="none" w:sz="0" w:space="0" w:color="auto"/>
      </w:divBdr>
    </w:div>
    <w:div w:id="50009685">
      <w:bodyDiv w:val="1"/>
      <w:marLeft w:val="0"/>
      <w:marRight w:val="0"/>
      <w:marTop w:val="0"/>
      <w:marBottom w:val="0"/>
      <w:divBdr>
        <w:top w:val="none" w:sz="0" w:space="0" w:color="auto"/>
        <w:left w:val="none" w:sz="0" w:space="0" w:color="auto"/>
        <w:bottom w:val="none" w:sz="0" w:space="0" w:color="auto"/>
        <w:right w:val="none" w:sz="0" w:space="0" w:color="auto"/>
      </w:divBdr>
    </w:div>
    <w:div w:id="61831665">
      <w:bodyDiv w:val="1"/>
      <w:marLeft w:val="0"/>
      <w:marRight w:val="0"/>
      <w:marTop w:val="0"/>
      <w:marBottom w:val="0"/>
      <w:divBdr>
        <w:top w:val="none" w:sz="0" w:space="0" w:color="auto"/>
        <w:left w:val="none" w:sz="0" w:space="0" w:color="auto"/>
        <w:bottom w:val="none" w:sz="0" w:space="0" w:color="auto"/>
        <w:right w:val="none" w:sz="0" w:space="0" w:color="auto"/>
      </w:divBdr>
    </w:div>
    <w:div w:id="85662307">
      <w:bodyDiv w:val="1"/>
      <w:marLeft w:val="0"/>
      <w:marRight w:val="0"/>
      <w:marTop w:val="0"/>
      <w:marBottom w:val="0"/>
      <w:divBdr>
        <w:top w:val="none" w:sz="0" w:space="0" w:color="auto"/>
        <w:left w:val="none" w:sz="0" w:space="0" w:color="auto"/>
        <w:bottom w:val="none" w:sz="0" w:space="0" w:color="auto"/>
        <w:right w:val="none" w:sz="0" w:space="0" w:color="auto"/>
      </w:divBdr>
    </w:div>
    <w:div w:id="86266754">
      <w:bodyDiv w:val="1"/>
      <w:marLeft w:val="0"/>
      <w:marRight w:val="0"/>
      <w:marTop w:val="0"/>
      <w:marBottom w:val="0"/>
      <w:divBdr>
        <w:top w:val="none" w:sz="0" w:space="0" w:color="auto"/>
        <w:left w:val="none" w:sz="0" w:space="0" w:color="auto"/>
        <w:bottom w:val="none" w:sz="0" w:space="0" w:color="auto"/>
        <w:right w:val="none" w:sz="0" w:space="0" w:color="auto"/>
      </w:divBdr>
    </w:div>
    <w:div w:id="97797851">
      <w:bodyDiv w:val="1"/>
      <w:marLeft w:val="0"/>
      <w:marRight w:val="0"/>
      <w:marTop w:val="0"/>
      <w:marBottom w:val="0"/>
      <w:divBdr>
        <w:top w:val="none" w:sz="0" w:space="0" w:color="auto"/>
        <w:left w:val="none" w:sz="0" w:space="0" w:color="auto"/>
        <w:bottom w:val="none" w:sz="0" w:space="0" w:color="auto"/>
        <w:right w:val="none" w:sz="0" w:space="0" w:color="auto"/>
      </w:divBdr>
    </w:div>
    <w:div w:id="104886336">
      <w:bodyDiv w:val="1"/>
      <w:marLeft w:val="0"/>
      <w:marRight w:val="0"/>
      <w:marTop w:val="0"/>
      <w:marBottom w:val="0"/>
      <w:divBdr>
        <w:top w:val="none" w:sz="0" w:space="0" w:color="auto"/>
        <w:left w:val="none" w:sz="0" w:space="0" w:color="auto"/>
        <w:bottom w:val="none" w:sz="0" w:space="0" w:color="auto"/>
        <w:right w:val="none" w:sz="0" w:space="0" w:color="auto"/>
      </w:divBdr>
    </w:div>
    <w:div w:id="107624099">
      <w:bodyDiv w:val="1"/>
      <w:marLeft w:val="0"/>
      <w:marRight w:val="0"/>
      <w:marTop w:val="0"/>
      <w:marBottom w:val="0"/>
      <w:divBdr>
        <w:top w:val="none" w:sz="0" w:space="0" w:color="auto"/>
        <w:left w:val="none" w:sz="0" w:space="0" w:color="auto"/>
        <w:bottom w:val="none" w:sz="0" w:space="0" w:color="auto"/>
        <w:right w:val="none" w:sz="0" w:space="0" w:color="auto"/>
      </w:divBdr>
    </w:div>
    <w:div w:id="110248617">
      <w:bodyDiv w:val="1"/>
      <w:marLeft w:val="0"/>
      <w:marRight w:val="0"/>
      <w:marTop w:val="0"/>
      <w:marBottom w:val="0"/>
      <w:divBdr>
        <w:top w:val="none" w:sz="0" w:space="0" w:color="auto"/>
        <w:left w:val="none" w:sz="0" w:space="0" w:color="auto"/>
        <w:bottom w:val="none" w:sz="0" w:space="0" w:color="auto"/>
        <w:right w:val="none" w:sz="0" w:space="0" w:color="auto"/>
      </w:divBdr>
    </w:div>
    <w:div w:id="112597626">
      <w:bodyDiv w:val="1"/>
      <w:marLeft w:val="0"/>
      <w:marRight w:val="0"/>
      <w:marTop w:val="0"/>
      <w:marBottom w:val="0"/>
      <w:divBdr>
        <w:top w:val="none" w:sz="0" w:space="0" w:color="auto"/>
        <w:left w:val="none" w:sz="0" w:space="0" w:color="auto"/>
        <w:bottom w:val="none" w:sz="0" w:space="0" w:color="auto"/>
        <w:right w:val="none" w:sz="0" w:space="0" w:color="auto"/>
      </w:divBdr>
    </w:div>
    <w:div w:id="127818134">
      <w:bodyDiv w:val="1"/>
      <w:marLeft w:val="0"/>
      <w:marRight w:val="0"/>
      <w:marTop w:val="0"/>
      <w:marBottom w:val="0"/>
      <w:divBdr>
        <w:top w:val="none" w:sz="0" w:space="0" w:color="auto"/>
        <w:left w:val="none" w:sz="0" w:space="0" w:color="auto"/>
        <w:bottom w:val="none" w:sz="0" w:space="0" w:color="auto"/>
        <w:right w:val="none" w:sz="0" w:space="0" w:color="auto"/>
      </w:divBdr>
    </w:div>
    <w:div w:id="130363248">
      <w:bodyDiv w:val="1"/>
      <w:marLeft w:val="0"/>
      <w:marRight w:val="0"/>
      <w:marTop w:val="0"/>
      <w:marBottom w:val="0"/>
      <w:divBdr>
        <w:top w:val="none" w:sz="0" w:space="0" w:color="auto"/>
        <w:left w:val="none" w:sz="0" w:space="0" w:color="auto"/>
        <w:bottom w:val="none" w:sz="0" w:space="0" w:color="auto"/>
        <w:right w:val="none" w:sz="0" w:space="0" w:color="auto"/>
      </w:divBdr>
    </w:div>
    <w:div w:id="137844273">
      <w:bodyDiv w:val="1"/>
      <w:marLeft w:val="0"/>
      <w:marRight w:val="0"/>
      <w:marTop w:val="0"/>
      <w:marBottom w:val="0"/>
      <w:divBdr>
        <w:top w:val="none" w:sz="0" w:space="0" w:color="auto"/>
        <w:left w:val="none" w:sz="0" w:space="0" w:color="auto"/>
        <w:bottom w:val="none" w:sz="0" w:space="0" w:color="auto"/>
        <w:right w:val="none" w:sz="0" w:space="0" w:color="auto"/>
      </w:divBdr>
    </w:div>
    <w:div w:id="143862236">
      <w:bodyDiv w:val="1"/>
      <w:marLeft w:val="0"/>
      <w:marRight w:val="0"/>
      <w:marTop w:val="0"/>
      <w:marBottom w:val="0"/>
      <w:divBdr>
        <w:top w:val="none" w:sz="0" w:space="0" w:color="auto"/>
        <w:left w:val="none" w:sz="0" w:space="0" w:color="auto"/>
        <w:bottom w:val="none" w:sz="0" w:space="0" w:color="auto"/>
        <w:right w:val="none" w:sz="0" w:space="0" w:color="auto"/>
      </w:divBdr>
    </w:div>
    <w:div w:id="149295097">
      <w:bodyDiv w:val="1"/>
      <w:marLeft w:val="0"/>
      <w:marRight w:val="0"/>
      <w:marTop w:val="0"/>
      <w:marBottom w:val="0"/>
      <w:divBdr>
        <w:top w:val="none" w:sz="0" w:space="0" w:color="auto"/>
        <w:left w:val="none" w:sz="0" w:space="0" w:color="auto"/>
        <w:bottom w:val="none" w:sz="0" w:space="0" w:color="auto"/>
        <w:right w:val="none" w:sz="0" w:space="0" w:color="auto"/>
      </w:divBdr>
    </w:div>
    <w:div w:id="153566477">
      <w:bodyDiv w:val="1"/>
      <w:marLeft w:val="0"/>
      <w:marRight w:val="0"/>
      <w:marTop w:val="0"/>
      <w:marBottom w:val="0"/>
      <w:divBdr>
        <w:top w:val="none" w:sz="0" w:space="0" w:color="auto"/>
        <w:left w:val="none" w:sz="0" w:space="0" w:color="auto"/>
        <w:bottom w:val="none" w:sz="0" w:space="0" w:color="auto"/>
        <w:right w:val="none" w:sz="0" w:space="0" w:color="auto"/>
      </w:divBdr>
    </w:div>
    <w:div w:id="159584333">
      <w:bodyDiv w:val="1"/>
      <w:marLeft w:val="0"/>
      <w:marRight w:val="0"/>
      <w:marTop w:val="0"/>
      <w:marBottom w:val="0"/>
      <w:divBdr>
        <w:top w:val="none" w:sz="0" w:space="0" w:color="auto"/>
        <w:left w:val="none" w:sz="0" w:space="0" w:color="auto"/>
        <w:bottom w:val="none" w:sz="0" w:space="0" w:color="auto"/>
        <w:right w:val="none" w:sz="0" w:space="0" w:color="auto"/>
      </w:divBdr>
    </w:div>
    <w:div w:id="173881795">
      <w:bodyDiv w:val="1"/>
      <w:marLeft w:val="0"/>
      <w:marRight w:val="0"/>
      <w:marTop w:val="0"/>
      <w:marBottom w:val="0"/>
      <w:divBdr>
        <w:top w:val="none" w:sz="0" w:space="0" w:color="auto"/>
        <w:left w:val="none" w:sz="0" w:space="0" w:color="auto"/>
        <w:bottom w:val="none" w:sz="0" w:space="0" w:color="auto"/>
        <w:right w:val="none" w:sz="0" w:space="0" w:color="auto"/>
      </w:divBdr>
    </w:div>
    <w:div w:id="179392751">
      <w:bodyDiv w:val="1"/>
      <w:marLeft w:val="0"/>
      <w:marRight w:val="0"/>
      <w:marTop w:val="0"/>
      <w:marBottom w:val="0"/>
      <w:divBdr>
        <w:top w:val="none" w:sz="0" w:space="0" w:color="auto"/>
        <w:left w:val="none" w:sz="0" w:space="0" w:color="auto"/>
        <w:bottom w:val="none" w:sz="0" w:space="0" w:color="auto"/>
        <w:right w:val="none" w:sz="0" w:space="0" w:color="auto"/>
      </w:divBdr>
    </w:div>
    <w:div w:id="183137626">
      <w:bodyDiv w:val="1"/>
      <w:marLeft w:val="0"/>
      <w:marRight w:val="0"/>
      <w:marTop w:val="0"/>
      <w:marBottom w:val="0"/>
      <w:divBdr>
        <w:top w:val="none" w:sz="0" w:space="0" w:color="auto"/>
        <w:left w:val="none" w:sz="0" w:space="0" w:color="auto"/>
        <w:bottom w:val="none" w:sz="0" w:space="0" w:color="auto"/>
        <w:right w:val="none" w:sz="0" w:space="0" w:color="auto"/>
      </w:divBdr>
    </w:div>
    <w:div w:id="185338551">
      <w:bodyDiv w:val="1"/>
      <w:marLeft w:val="0"/>
      <w:marRight w:val="0"/>
      <w:marTop w:val="0"/>
      <w:marBottom w:val="0"/>
      <w:divBdr>
        <w:top w:val="none" w:sz="0" w:space="0" w:color="auto"/>
        <w:left w:val="none" w:sz="0" w:space="0" w:color="auto"/>
        <w:bottom w:val="none" w:sz="0" w:space="0" w:color="auto"/>
        <w:right w:val="none" w:sz="0" w:space="0" w:color="auto"/>
      </w:divBdr>
    </w:div>
    <w:div w:id="188491551">
      <w:bodyDiv w:val="1"/>
      <w:marLeft w:val="0"/>
      <w:marRight w:val="0"/>
      <w:marTop w:val="0"/>
      <w:marBottom w:val="0"/>
      <w:divBdr>
        <w:top w:val="none" w:sz="0" w:space="0" w:color="auto"/>
        <w:left w:val="none" w:sz="0" w:space="0" w:color="auto"/>
        <w:bottom w:val="none" w:sz="0" w:space="0" w:color="auto"/>
        <w:right w:val="none" w:sz="0" w:space="0" w:color="auto"/>
      </w:divBdr>
    </w:div>
    <w:div w:id="202330161">
      <w:bodyDiv w:val="1"/>
      <w:marLeft w:val="0"/>
      <w:marRight w:val="0"/>
      <w:marTop w:val="0"/>
      <w:marBottom w:val="0"/>
      <w:divBdr>
        <w:top w:val="none" w:sz="0" w:space="0" w:color="auto"/>
        <w:left w:val="none" w:sz="0" w:space="0" w:color="auto"/>
        <w:bottom w:val="none" w:sz="0" w:space="0" w:color="auto"/>
        <w:right w:val="none" w:sz="0" w:space="0" w:color="auto"/>
      </w:divBdr>
    </w:div>
    <w:div w:id="218370741">
      <w:bodyDiv w:val="1"/>
      <w:marLeft w:val="0"/>
      <w:marRight w:val="0"/>
      <w:marTop w:val="0"/>
      <w:marBottom w:val="0"/>
      <w:divBdr>
        <w:top w:val="none" w:sz="0" w:space="0" w:color="auto"/>
        <w:left w:val="none" w:sz="0" w:space="0" w:color="auto"/>
        <w:bottom w:val="none" w:sz="0" w:space="0" w:color="auto"/>
        <w:right w:val="none" w:sz="0" w:space="0" w:color="auto"/>
      </w:divBdr>
    </w:div>
    <w:div w:id="237525549">
      <w:bodyDiv w:val="1"/>
      <w:marLeft w:val="0"/>
      <w:marRight w:val="0"/>
      <w:marTop w:val="0"/>
      <w:marBottom w:val="0"/>
      <w:divBdr>
        <w:top w:val="none" w:sz="0" w:space="0" w:color="auto"/>
        <w:left w:val="none" w:sz="0" w:space="0" w:color="auto"/>
        <w:bottom w:val="none" w:sz="0" w:space="0" w:color="auto"/>
        <w:right w:val="none" w:sz="0" w:space="0" w:color="auto"/>
      </w:divBdr>
    </w:div>
    <w:div w:id="239557349">
      <w:bodyDiv w:val="1"/>
      <w:marLeft w:val="0"/>
      <w:marRight w:val="0"/>
      <w:marTop w:val="0"/>
      <w:marBottom w:val="0"/>
      <w:divBdr>
        <w:top w:val="none" w:sz="0" w:space="0" w:color="auto"/>
        <w:left w:val="none" w:sz="0" w:space="0" w:color="auto"/>
        <w:bottom w:val="none" w:sz="0" w:space="0" w:color="auto"/>
        <w:right w:val="none" w:sz="0" w:space="0" w:color="auto"/>
      </w:divBdr>
    </w:div>
    <w:div w:id="246814944">
      <w:bodyDiv w:val="1"/>
      <w:marLeft w:val="0"/>
      <w:marRight w:val="0"/>
      <w:marTop w:val="0"/>
      <w:marBottom w:val="0"/>
      <w:divBdr>
        <w:top w:val="none" w:sz="0" w:space="0" w:color="auto"/>
        <w:left w:val="none" w:sz="0" w:space="0" w:color="auto"/>
        <w:bottom w:val="none" w:sz="0" w:space="0" w:color="auto"/>
        <w:right w:val="none" w:sz="0" w:space="0" w:color="auto"/>
      </w:divBdr>
    </w:div>
    <w:div w:id="249200427">
      <w:bodyDiv w:val="1"/>
      <w:marLeft w:val="0"/>
      <w:marRight w:val="0"/>
      <w:marTop w:val="0"/>
      <w:marBottom w:val="0"/>
      <w:divBdr>
        <w:top w:val="none" w:sz="0" w:space="0" w:color="auto"/>
        <w:left w:val="none" w:sz="0" w:space="0" w:color="auto"/>
        <w:bottom w:val="none" w:sz="0" w:space="0" w:color="auto"/>
        <w:right w:val="none" w:sz="0" w:space="0" w:color="auto"/>
      </w:divBdr>
    </w:div>
    <w:div w:id="250313496">
      <w:bodyDiv w:val="1"/>
      <w:marLeft w:val="0"/>
      <w:marRight w:val="0"/>
      <w:marTop w:val="0"/>
      <w:marBottom w:val="0"/>
      <w:divBdr>
        <w:top w:val="none" w:sz="0" w:space="0" w:color="auto"/>
        <w:left w:val="none" w:sz="0" w:space="0" w:color="auto"/>
        <w:bottom w:val="none" w:sz="0" w:space="0" w:color="auto"/>
        <w:right w:val="none" w:sz="0" w:space="0" w:color="auto"/>
      </w:divBdr>
    </w:div>
    <w:div w:id="266696317">
      <w:bodyDiv w:val="1"/>
      <w:marLeft w:val="0"/>
      <w:marRight w:val="0"/>
      <w:marTop w:val="0"/>
      <w:marBottom w:val="0"/>
      <w:divBdr>
        <w:top w:val="none" w:sz="0" w:space="0" w:color="auto"/>
        <w:left w:val="none" w:sz="0" w:space="0" w:color="auto"/>
        <w:bottom w:val="none" w:sz="0" w:space="0" w:color="auto"/>
        <w:right w:val="none" w:sz="0" w:space="0" w:color="auto"/>
      </w:divBdr>
    </w:div>
    <w:div w:id="271206685">
      <w:bodyDiv w:val="1"/>
      <w:marLeft w:val="0"/>
      <w:marRight w:val="0"/>
      <w:marTop w:val="0"/>
      <w:marBottom w:val="0"/>
      <w:divBdr>
        <w:top w:val="none" w:sz="0" w:space="0" w:color="auto"/>
        <w:left w:val="none" w:sz="0" w:space="0" w:color="auto"/>
        <w:bottom w:val="none" w:sz="0" w:space="0" w:color="auto"/>
        <w:right w:val="none" w:sz="0" w:space="0" w:color="auto"/>
      </w:divBdr>
    </w:div>
    <w:div w:id="271860493">
      <w:bodyDiv w:val="1"/>
      <w:marLeft w:val="0"/>
      <w:marRight w:val="0"/>
      <w:marTop w:val="0"/>
      <w:marBottom w:val="0"/>
      <w:divBdr>
        <w:top w:val="none" w:sz="0" w:space="0" w:color="auto"/>
        <w:left w:val="none" w:sz="0" w:space="0" w:color="auto"/>
        <w:bottom w:val="none" w:sz="0" w:space="0" w:color="auto"/>
        <w:right w:val="none" w:sz="0" w:space="0" w:color="auto"/>
      </w:divBdr>
    </w:div>
    <w:div w:id="276328519">
      <w:bodyDiv w:val="1"/>
      <w:marLeft w:val="0"/>
      <w:marRight w:val="0"/>
      <w:marTop w:val="0"/>
      <w:marBottom w:val="0"/>
      <w:divBdr>
        <w:top w:val="none" w:sz="0" w:space="0" w:color="auto"/>
        <w:left w:val="none" w:sz="0" w:space="0" w:color="auto"/>
        <w:bottom w:val="none" w:sz="0" w:space="0" w:color="auto"/>
        <w:right w:val="none" w:sz="0" w:space="0" w:color="auto"/>
      </w:divBdr>
    </w:div>
    <w:div w:id="276521191">
      <w:bodyDiv w:val="1"/>
      <w:marLeft w:val="0"/>
      <w:marRight w:val="0"/>
      <w:marTop w:val="0"/>
      <w:marBottom w:val="0"/>
      <w:divBdr>
        <w:top w:val="none" w:sz="0" w:space="0" w:color="auto"/>
        <w:left w:val="none" w:sz="0" w:space="0" w:color="auto"/>
        <w:bottom w:val="none" w:sz="0" w:space="0" w:color="auto"/>
        <w:right w:val="none" w:sz="0" w:space="0" w:color="auto"/>
      </w:divBdr>
    </w:div>
    <w:div w:id="280042140">
      <w:bodyDiv w:val="1"/>
      <w:marLeft w:val="0"/>
      <w:marRight w:val="0"/>
      <w:marTop w:val="0"/>
      <w:marBottom w:val="0"/>
      <w:divBdr>
        <w:top w:val="none" w:sz="0" w:space="0" w:color="auto"/>
        <w:left w:val="none" w:sz="0" w:space="0" w:color="auto"/>
        <w:bottom w:val="none" w:sz="0" w:space="0" w:color="auto"/>
        <w:right w:val="none" w:sz="0" w:space="0" w:color="auto"/>
      </w:divBdr>
    </w:div>
    <w:div w:id="292487886">
      <w:bodyDiv w:val="1"/>
      <w:marLeft w:val="0"/>
      <w:marRight w:val="0"/>
      <w:marTop w:val="0"/>
      <w:marBottom w:val="0"/>
      <w:divBdr>
        <w:top w:val="none" w:sz="0" w:space="0" w:color="auto"/>
        <w:left w:val="none" w:sz="0" w:space="0" w:color="auto"/>
        <w:bottom w:val="none" w:sz="0" w:space="0" w:color="auto"/>
        <w:right w:val="none" w:sz="0" w:space="0" w:color="auto"/>
      </w:divBdr>
    </w:div>
    <w:div w:id="308293708">
      <w:bodyDiv w:val="1"/>
      <w:marLeft w:val="0"/>
      <w:marRight w:val="0"/>
      <w:marTop w:val="0"/>
      <w:marBottom w:val="0"/>
      <w:divBdr>
        <w:top w:val="none" w:sz="0" w:space="0" w:color="auto"/>
        <w:left w:val="none" w:sz="0" w:space="0" w:color="auto"/>
        <w:bottom w:val="none" w:sz="0" w:space="0" w:color="auto"/>
        <w:right w:val="none" w:sz="0" w:space="0" w:color="auto"/>
      </w:divBdr>
    </w:div>
    <w:div w:id="320084740">
      <w:bodyDiv w:val="1"/>
      <w:marLeft w:val="0"/>
      <w:marRight w:val="0"/>
      <w:marTop w:val="0"/>
      <w:marBottom w:val="0"/>
      <w:divBdr>
        <w:top w:val="none" w:sz="0" w:space="0" w:color="auto"/>
        <w:left w:val="none" w:sz="0" w:space="0" w:color="auto"/>
        <w:bottom w:val="none" w:sz="0" w:space="0" w:color="auto"/>
        <w:right w:val="none" w:sz="0" w:space="0" w:color="auto"/>
      </w:divBdr>
    </w:div>
    <w:div w:id="322702498">
      <w:bodyDiv w:val="1"/>
      <w:marLeft w:val="0"/>
      <w:marRight w:val="0"/>
      <w:marTop w:val="0"/>
      <w:marBottom w:val="0"/>
      <w:divBdr>
        <w:top w:val="none" w:sz="0" w:space="0" w:color="auto"/>
        <w:left w:val="none" w:sz="0" w:space="0" w:color="auto"/>
        <w:bottom w:val="none" w:sz="0" w:space="0" w:color="auto"/>
        <w:right w:val="none" w:sz="0" w:space="0" w:color="auto"/>
      </w:divBdr>
    </w:div>
    <w:div w:id="343747359">
      <w:bodyDiv w:val="1"/>
      <w:marLeft w:val="0"/>
      <w:marRight w:val="0"/>
      <w:marTop w:val="0"/>
      <w:marBottom w:val="0"/>
      <w:divBdr>
        <w:top w:val="none" w:sz="0" w:space="0" w:color="auto"/>
        <w:left w:val="none" w:sz="0" w:space="0" w:color="auto"/>
        <w:bottom w:val="none" w:sz="0" w:space="0" w:color="auto"/>
        <w:right w:val="none" w:sz="0" w:space="0" w:color="auto"/>
      </w:divBdr>
    </w:div>
    <w:div w:id="345210018">
      <w:bodyDiv w:val="1"/>
      <w:marLeft w:val="0"/>
      <w:marRight w:val="0"/>
      <w:marTop w:val="0"/>
      <w:marBottom w:val="0"/>
      <w:divBdr>
        <w:top w:val="none" w:sz="0" w:space="0" w:color="auto"/>
        <w:left w:val="none" w:sz="0" w:space="0" w:color="auto"/>
        <w:bottom w:val="none" w:sz="0" w:space="0" w:color="auto"/>
        <w:right w:val="none" w:sz="0" w:space="0" w:color="auto"/>
      </w:divBdr>
    </w:div>
    <w:div w:id="359090260">
      <w:bodyDiv w:val="1"/>
      <w:marLeft w:val="0"/>
      <w:marRight w:val="0"/>
      <w:marTop w:val="0"/>
      <w:marBottom w:val="0"/>
      <w:divBdr>
        <w:top w:val="none" w:sz="0" w:space="0" w:color="auto"/>
        <w:left w:val="none" w:sz="0" w:space="0" w:color="auto"/>
        <w:bottom w:val="none" w:sz="0" w:space="0" w:color="auto"/>
        <w:right w:val="none" w:sz="0" w:space="0" w:color="auto"/>
      </w:divBdr>
    </w:div>
    <w:div w:id="367219101">
      <w:bodyDiv w:val="1"/>
      <w:marLeft w:val="0"/>
      <w:marRight w:val="0"/>
      <w:marTop w:val="0"/>
      <w:marBottom w:val="0"/>
      <w:divBdr>
        <w:top w:val="none" w:sz="0" w:space="0" w:color="auto"/>
        <w:left w:val="none" w:sz="0" w:space="0" w:color="auto"/>
        <w:bottom w:val="none" w:sz="0" w:space="0" w:color="auto"/>
        <w:right w:val="none" w:sz="0" w:space="0" w:color="auto"/>
      </w:divBdr>
    </w:div>
    <w:div w:id="372997131">
      <w:bodyDiv w:val="1"/>
      <w:marLeft w:val="0"/>
      <w:marRight w:val="0"/>
      <w:marTop w:val="0"/>
      <w:marBottom w:val="0"/>
      <w:divBdr>
        <w:top w:val="none" w:sz="0" w:space="0" w:color="auto"/>
        <w:left w:val="none" w:sz="0" w:space="0" w:color="auto"/>
        <w:bottom w:val="none" w:sz="0" w:space="0" w:color="auto"/>
        <w:right w:val="none" w:sz="0" w:space="0" w:color="auto"/>
      </w:divBdr>
    </w:div>
    <w:div w:id="373425599">
      <w:bodyDiv w:val="1"/>
      <w:marLeft w:val="0"/>
      <w:marRight w:val="0"/>
      <w:marTop w:val="0"/>
      <w:marBottom w:val="0"/>
      <w:divBdr>
        <w:top w:val="none" w:sz="0" w:space="0" w:color="auto"/>
        <w:left w:val="none" w:sz="0" w:space="0" w:color="auto"/>
        <w:bottom w:val="none" w:sz="0" w:space="0" w:color="auto"/>
        <w:right w:val="none" w:sz="0" w:space="0" w:color="auto"/>
      </w:divBdr>
    </w:div>
    <w:div w:id="374474550">
      <w:bodyDiv w:val="1"/>
      <w:marLeft w:val="0"/>
      <w:marRight w:val="0"/>
      <w:marTop w:val="0"/>
      <w:marBottom w:val="0"/>
      <w:divBdr>
        <w:top w:val="none" w:sz="0" w:space="0" w:color="auto"/>
        <w:left w:val="none" w:sz="0" w:space="0" w:color="auto"/>
        <w:bottom w:val="none" w:sz="0" w:space="0" w:color="auto"/>
        <w:right w:val="none" w:sz="0" w:space="0" w:color="auto"/>
      </w:divBdr>
    </w:div>
    <w:div w:id="407121071">
      <w:bodyDiv w:val="1"/>
      <w:marLeft w:val="0"/>
      <w:marRight w:val="0"/>
      <w:marTop w:val="0"/>
      <w:marBottom w:val="0"/>
      <w:divBdr>
        <w:top w:val="none" w:sz="0" w:space="0" w:color="auto"/>
        <w:left w:val="none" w:sz="0" w:space="0" w:color="auto"/>
        <w:bottom w:val="none" w:sz="0" w:space="0" w:color="auto"/>
        <w:right w:val="none" w:sz="0" w:space="0" w:color="auto"/>
      </w:divBdr>
    </w:div>
    <w:div w:id="408037513">
      <w:bodyDiv w:val="1"/>
      <w:marLeft w:val="0"/>
      <w:marRight w:val="0"/>
      <w:marTop w:val="0"/>
      <w:marBottom w:val="0"/>
      <w:divBdr>
        <w:top w:val="none" w:sz="0" w:space="0" w:color="auto"/>
        <w:left w:val="none" w:sz="0" w:space="0" w:color="auto"/>
        <w:bottom w:val="none" w:sz="0" w:space="0" w:color="auto"/>
        <w:right w:val="none" w:sz="0" w:space="0" w:color="auto"/>
      </w:divBdr>
    </w:div>
    <w:div w:id="414479554">
      <w:bodyDiv w:val="1"/>
      <w:marLeft w:val="0"/>
      <w:marRight w:val="0"/>
      <w:marTop w:val="0"/>
      <w:marBottom w:val="0"/>
      <w:divBdr>
        <w:top w:val="none" w:sz="0" w:space="0" w:color="auto"/>
        <w:left w:val="none" w:sz="0" w:space="0" w:color="auto"/>
        <w:bottom w:val="none" w:sz="0" w:space="0" w:color="auto"/>
        <w:right w:val="none" w:sz="0" w:space="0" w:color="auto"/>
      </w:divBdr>
    </w:div>
    <w:div w:id="414522587">
      <w:bodyDiv w:val="1"/>
      <w:marLeft w:val="0"/>
      <w:marRight w:val="0"/>
      <w:marTop w:val="0"/>
      <w:marBottom w:val="0"/>
      <w:divBdr>
        <w:top w:val="none" w:sz="0" w:space="0" w:color="auto"/>
        <w:left w:val="none" w:sz="0" w:space="0" w:color="auto"/>
        <w:bottom w:val="none" w:sz="0" w:space="0" w:color="auto"/>
        <w:right w:val="none" w:sz="0" w:space="0" w:color="auto"/>
      </w:divBdr>
    </w:div>
    <w:div w:id="428476890">
      <w:bodyDiv w:val="1"/>
      <w:marLeft w:val="0"/>
      <w:marRight w:val="0"/>
      <w:marTop w:val="0"/>
      <w:marBottom w:val="0"/>
      <w:divBdr>
        <w:top w:val="none" w:sz="0" w:space="0" w:color="auto"/>
        <w:left w:val="none" w:sz="0" w:space="0" w:color="auto"/>
        <w:bottom w:val="none" w:sz="0" w:space="0" w:color="auto"/>
        <w:right w:val="none" w:sz="0" w:space="0" w:color="auto"/>
      </w:divBdr>
    </w:div>
    <w:div w:id="440338215">
      <w:bodyDiv w:val="1"/>
      <w:marLeft w:val="0"/>
      <w:marRight w:val="0"/>
      <w:marTop w:val="0"/>
      <w:marBottom w:val="0"/>
      <w:divBdr>
        <w:top w:val="none" w:sz="0" w:space="0" w:color="auto"/>
        <w:left w:val="none" w:sz="0" w:space="0" w:color="auto"/>
        <w:bottom w:val="none" w:sz="0" w:space="0" w:color="auto"/>
        <w:right w:val="none" w:sz="0" w:space="0" w:color="auto"/>
      </w:divBdr>
    </w:div>
    <w:div w:id="455411893">
      <w:bodyDiv w:val="1"/>
      <w:marLeft w:val="0"/>
      <w:marRight w:val="0"/>
      <w:marTop w:val="0"/>
      <w:marBottom w:val="0"/>
      <w:divBdr>
        <w:top w:val="none" w:sz="0" w:space="0" w:color="auto"/>
        <w:left w:val="none" w:sz="0" w:space="0" w:color="auto"/>
        <w:bottom w:val="none" w:sz="0" w:space="0" w:color="auto"/>
        <w:right w:val="none" w:sz="0" w:space="0" w:color="auto"/>
      </w:divBdr>
    </w:div>
    <w:div w:id="464856145">
      <w:bodyDiv w:val="1"/>
      <w:marLeft w:val="0"/>
      <w:marRight w:val="0"/>
      <w:marTop w:val="0"/>
      <w:marBottom w:val="0"/>
      <w:divBdr>
        <w:top w:val="none" w:sz="0" w:space="0" w:color="auto"/>
        <w:left w:val="none" w:sz="0" w:space="0" w:color="auto"/>
        <w:bottom w:val="none" w:sz="0" w:space="0" w:color="auto"/>
        <w:right w:val="none" w:sz="0" w:space="0" w:color="auto"/>
      </w:divBdr>
    </w:div>
    <w:div w:id="469981079">
      <w:bodyDiv w:val="1"/>
      <w:marLeft w:val="0"/>
      <w:marRight w:val="0"/>
      <w:marTop w:val="0"/>
      <w:marBottom w:val="0"/>
      <w:divBdr>
        <w:top w:val="none" w:sz="0" w:space="0" w:color="auto"/>
        <w:left w:val="none" w:sz="0" w:space="0" w:color="auto"/>
        <w:bottom w:val="none" w:sz="0" w:space="0" w:color="auto"/>
        <w:right w:val="none" w:sz="0" w:space="0" w:color="auto"/>
      </w:divBdr>
    </w:div>
    <w:div w:id="482280421">
      <w:bodyDiv w:val="1"/>
      <w:marLeft w:val="0"/>
      <w:marRight w:val="0"/>
      <w:marTop w:val="0"/>
      <w:marBottom w:val="0"/>
      <w:divBdr>
        <w:top w:val="none" w:sz="0" w:space="0" w:color="auto"/>
        <w:left w:val="none" w:sz="0" w:space="0" w:color="auto"/>
        <w:bottom w:val="none" w:sz="0" w:space="0" w:color="auto"/>
        <w:right w:val="none" w:sz="0" w:space="0" w:color="auto"/>
      </w:divBdr>
    </w:div>
    <w:div w:id="510223092">
      <w:bodyDiv w:val="1"/>
      <w:marLeft w:val="0"/>
      <w:marRight w:val="0"/>
      <w:marTop w:val="0"/>
      <w:marBottom w:val="0"/>
      <w:divBdr>
        <w:top w:val="none" w:sz="0" w:space="0" w:color="auto"/>
        <w:left w:val="none" w:sz="0" w:space="0" w:color="auto"/>
        <w:bottom w:val="none" w:sz="0" w:space="0" w:color="auto"/>
        <w:right w:val="none" w:sz="0" w:space="0" w:color="auto"/>
      </w:divBdr>
    </w:div>
    <w:div w:id="511728656">
      <w:bodyDiv w:val="1"/>
      <w:marLeft w:val="0"/>
      <w:marRight w:val="0"/>
      <w:marTop w:val="0"/>
      <w:marBottom w:val="0"/>
      <w:divBdr>
        <w:top w:val="none" w:sz="0" w:space="0" w:color="auto"/>
        <w:left w:val="none" w:sz="0" w:space="0" w:color="auto"/>
        <w:bottom w:val="none" w:sz="0" w:space="0" w:color="auto"/>
        <w:right w:val="none" w:sz="0" w:space="0" w:color="auto"/>
      </w:divBdr>
    </w:div>
    <w:div w:id="526410055">
      <w:bodyDiv w:val="1"/>
      <w:marLeft w:val="0"/>
      <w:marRight w:val="0"/>
      <w:marTop w:val="0"/>
      <w:marBottom w:val="0"/>
      <w:divBdr>
        <w:top w:val="none" w:sz="0" w:space="0" w:color="auto"/>
        <w:left w:val="none" w:sz="0" w:space="0" w:color="auto"/>
        <w:bottom w:val="none" w:sz="0" w:space="0" w:color="auto"/>
        <w:right w:val="none" w:sz="0" w:space="0" w:color="auto"/>
      </w:divBdr>
    </w:div>
    <w:div w:id="533619770">
      <w:bodyDiv w:val="1"/>
      <w:marLeft w:val="0"/>
      <w:marRight w:val="0"/>
      <w:marTop w:val="0"/>
      <w:marBottom w:val="0"/>
      <w:divBdr>
        <w:top w:val="none" w:sz="0" w:space="0" w:color="auto"/>
        <w:left w:val="none" w:sz="0" w:space="0" w:color="auto"/>
        <w:bottom w:val="none" w:sz="0" w:space="0" w:color="auto"/>
        <w:right w:val="none" w:sz="0" w:space="0" w:color="auto"/>
      </w:divBdr>
    </w:div>
    <w:div w:id="539824609">
      <w:bodyDiv w:val="1"/>
      <w:marLeft w:val="0"/>
      <w:marRight w:val="0"/>
      <w:marTop w:val="0"/>
      <w:marBottom w:val="0"/>
      <w:divBdr>
        <w:top w:val="none" w:sz="0" w:space="0" w:color="auto"/>
        <w:left w:val="none" w:sz="0" w:space="0" w:color="auto"/>
        <w:bottom w:val="none" w:sz="0" w:space="0" w:color="auto"/>
        <w:right w:val="none" w:sz="0" w:space="0" w:color="auto"/>
      </w:divBdr>
    </w:div>
    <w:div w:id="557282662">
      <w:bodyDiv w:val="1"/>
      <w:marLeft w:val="0"/>
      <w:marRight w:val="0"/>
      <w:marTop w:val="0"/>
      <w:marBottom w:val="0"/>
      <w:divBdr>
        <w:top w:val="none" w:sz="0" w:space="0" w:color="auto"/>
        <w:left w:val="none" w:sz="0" w:space="0" w:color="auto"/>
        <w:bottom w:val="none" w:sz="0" w:space="0" w:color="auto"/>
        <w:right w:val="none" w:sz="0" w:space="0" w:color="auto"/>
      </w:divBdr>
    </w:div>
    <w:div w:id="568267395">
      <w:bodyDiv w:val="1"/>
      <w:marLeft w:val="0"/>
      <w:marRight w:val="0"/>
      <w:marTop w:val="0"/>
      <w:marBottom w:val="0"/>
      <w:divBdr>
        <w:top w:val="none" w:sz="0" w:space="0" w:color="auto"/>
        <w:left w:val="none" w:sz="0" w:space="0" w:color="auto"/>
        <w:bottom w:val="none" w:sz="0" w:space="0" w:color="auto"/>
        <w:right w:val="none" w:sz="0" w:space="0" w:color="auto"/>
      </w:divBdr>
    </w:div>
    <w:div w:id="598296536">
      <w:bodyDiv w:val="1"/>
      <w:marLeft w:val="0"/>
      <w:marRight w:val="0"/>
      <w:marTop w:val="0"/>
      <w:marBottom w:val="0"/>
      <w:divBdr>
        <w:top w:val="none" w:sz="0" w:space="0" w:color="auto"/>
        <w:left w:val="none" w:sz="0" w:space="0" w:color="auto"/>
        <w:bottom w:val="none" w:sz="0" w:space="0" w:color="auto"/>
        <w:right w:val="none" w:sz="0" w:space="0" w:color="auto"/>
      </w:divBdr>
    </w:div>
    <w:div w:id="605190094">
      <w:bodyDiv w:val="1"/>
      <w:marLeft w:val="0"/>
      <w:marRight w:val="0"/>
      <w:marTop w:val="0"/>
      <w:marBottom w:val="0"/>
      <w:divBdr>
        <w:top w:val="none" w:sz="0" w:space="0" w:color="auto"/>
        <w:left w:val="none" w:sz="0" w:space="0" w:color="auto"/>
        <w:bottom w:val="none" w:sz="0" w:space="0" w:color="auto"/>
        <w:right w:val="none" w:sz="0" w:space="0" w:color="auto"/>
      </w:divBdr>
    </w:div>
    <w:div w:id="612709996">
      <w:bodyDiv w:val="1"/>
      <w:marLeft w:val="0"/>
      <w:marRight w:val="0"/>
      <w:marTop w:val="0"/>
      <w:marBottom w:val="0"/>
      <w:divBdr>
        <w:top w:val="none" w:sz="0" w:space="0" w:color="auto"/>
        <w:left w:val="none" w:sz="0" w:space="0" w:color="auto"/>
        <w:bottom w:val="none" w:sz="0" w:space="0" w:color="auto"/>
        <w:right w:val="none" w:sz="0" w:space="0" w:color="auto"/>
      </w:divBdr>
    </w:div>
    <w:div w:id="621496796">
      <w:bodyDiv w:val="1"/>
      <w:marLeft w:val="0"/>
      <w:marRight w:val="0"/>
      <w:marTop w:val="0"/>
      <w:marBottom w:val="0"/>
      <w:divBdr>
        <w:top w:val="none" w:sz="0" w:space="0" w:color="auto"/>
        <w:left w:val="none" w:sz="0" w:space="0" w:color="auto"/>
        <w:bottom w:val="none" w:sz="0" w:space="0" w:color="auto"/>
        <w:right w:val="none" w:sz="0" w:space="0" w:color="auto"/>
      </w:divBdr>
    </w:div>
    <w:div w:id="632446145">
      <w:bodyDiv w:val="1"/>
      <w:marLeft w:val="0"/>
      <w:marRight w:val="0"/>
      <w:marTop w:val="0"/>
      <w:marBottom w:val="0"/>
      <w:divBdr>
        <w:top w:val="none" w:sz="0" w:space="0" w:color="auto"/>
        <w:left w:val="none" w:sz="0" w:space="0" w:color="auto"/>
        <w:bottom w:val="none" w:sz="0" w:space="0" w:color="auto"/>
        <w:right w:val="none" w:sz="0" w:space="0" w:color="auto"/>
      </w:divBdr>
    </w:div>
    <w:div w:id="638876575">
      <w:bodyDiv w:val="1"/>
      <w:marLeft w:val="0"/>
      <w:marRight w:val="0"/>
      <w:marTop w:val="0"/>
      <w:marBottom w:val="0"/>
      <w:divBdr>
        <w:top w:val="none" w:sz="0" w:space="0" w:color="auto"/>
        <w:left w:val="none" w:sz="0" w:space="0" w:color="auto"/>
        <w:bottom w:val="none" w:sz="0" w:space="0" w:color="auto"/>
        <w:right w:val="none" w:sz="0" w:space="0" w:color="auto"/>
      </w:divBdr>
    </w:div>
    <w:div w:id="642733835">
      <w:bodyDiv w:val="1"/>
      <w:marLeft w:val="0"/>
      <w:marRight w:val="0"/>
      <w:marTop w:val="0"/>
      <w:marBottom w:val="0"/>
      <w:divBdr>
        <w:top w:val="none" w:sz="0" w:space="0" w:color="auto"/>
        <w:left w:val="none" w:sz="0" w:space="0" w:color="auto"/>
        <w:bottom w:val="none" w:sz="0" w:space="0" w:color="auto"/>
        <w:right w:val="none" w:sz="0" w:space="0" w:color="auto"/>
      </w:divBdr>
    </w:div>
    <w:div w:id="652758429">
      <w:bodyDiv w:val="1"/>
      <w:marLeft w:val="0"/>
      <w:marRight w:val="0"/>
      <w:marTop w:val="0"/>
      <w:marBottom w:val="0"/>
      <w:divBdr>
        <w:top w:val="none" w:sz="0" w:space="0" w:color="auto"/>
        <w:left w:val="none" w:sz="0" w:space="0" w:color="auto"/>
        <w:bottom w:val="none" w:sz="0" w:space="0" w:color="auto"/>
        <w:right w:val="none" w:sz="0" w:space="0" w:color="auto"/>
      </w:divBdr>
    </w:div>
    <w:div w:id="666371830">
      <w:bodyDiv w:val="1"/>
      <w:marLeft w:val="0"/>
      <w:marRight w:val="0"/>
      <w:marTop w:val="0"/>
      <w:marBottom w:val="0"/>
      <w:divBdr>
        <w:top w:val="none" w:sz="0" w:space="0" w:color="auto"/>
        <w:left w:val="none" w:sz="0" w:space="0" w:color="auto"/>
        <w:bottom w:val="none" w:sz="0" w:space="0" w:color="auto"/>
        <w:right w:val="none" w:sz="0" w:space="0" w:color="auto"/>
      </w:divBdr>
    </w:div>
    <w:div w:id="674915677">
      <w:bodyDiv w:val="1"/>
      <w:marLeft w:val="0"/>
      <w:marRight w:val="0"/>
      <w:marTop w:val="0"/>
      <w:marBottom w:val="0"/>
      <w:divBdr>
        <w:top w:val="none" w:sz="0" w:space="0" w:color="auto"/>
        <w:left w:val="none" w:sz="0" w:space="0" w:color="auto"/>
        <w:bottom w:val="none" w:sz="0" w:space="0" w:color="auto"/>
        <w:right w:val="none" w:sz="0" w:space="0" w:color="auto"/>
      </w:divBdr>
    </w:div>
    <w:div w:id="681277039">
      <w:bodyDiv w:val="1"/>
      <w:marLeft w:val="0"/>
      <w:marRight w:val="0"/>
      <w:marTop w:val="0"/>
      <w:marBottom w:val="0"/>
      <w:divBdr>
        <w:top w:val="none" w:sz="0" w:space="0" w:color="auto"/>
        <w:left w:val="none" w:sz="0" w:space="0" w:color="auto"/>
        <w:bottom w:val="none" w:sz="0" w:space="0" w:color="auto"/>
        <w:right w:val="none" w:sz="0" w:space="0" w:color="auto"/>
      </w:divBdr>
    </w:div>
    <w:div w:id="685207699">
      <w:bodyDiv w:val="1"/>
      <w:marLeft w:val="0"/>
      <w:marRight w:val="0"/>
      <w:marTop w:val="0"/>
      <w:marBottom w:val="0"/>
      <w:divBdr>
        <w:top w:val="none" w:sz="0" w:space="0" w:color="auto"/>
        <w:left w:val="none" w:sz="0" w:space="0" w:color="auto"/>
        <w:bottom w:val="none" w:sz="0" w:space="0" w:color="auto"/>
        <w:right w:val="none" w:sz="0" w:space="0" w:color="auto"/>
      </w:divBdr>
    </w:div>
    <w:div w:id="693069179">
      <w:bodyDiv w:val="1"/>
      <w:marLeft w:val="0"/>
      <w:marRight w:val="0"/>
      <w:marTop w:val="0"/>
      <w:marBottom w:val="0"/>
      <w:divBdr>
        <w:top w:val="none" w:sz="0" w:space="0" w:color="auto"/>
        <w:left w:val="none" w:sz="0" w:space="0" w:color="auto"/>
        <w:bottom w:val="none" w:sz="0" w:space="0" w:color="auto"/>
        <w:right w:val="none" w:sz="0" w:space="0" w:color="auto"/>
      </w:divBdr>
    </w:div>
    <w:div w:id="697240897">
      <w:bodyDiv w:val="1"/>
      <w:marLeft w:val="0"/>
      <w:marRight w:val="0"/>
      <w:marTop w:val="0"/>
      <w:marBottom w:val="0"/>
      <w:divBdr>
        <w:top w:val="none" w:sz="0" w:space="0" w:color="auto"/>
        <w:left w:val="none" w:sz="0" w:space="0" w:color="auto"/>
        <w:bottom w:val="none" w:sz="0" w:space="0" w:color="auto"/>
        <w:right w:val="none" w:sz="0" w:space="0" w:color="auto"/>
      </w:divBdr>
    </w:div>
    <w:div w:id="698048620">
      <w:bodyDiv w:val="1"/>
      <w:marLeft w:val="0"/>
      <w:marRight w:val="0"/>
      <w:marTop w:val="0"/>
      <w:marBottom w:val="0"/>
      <w:divBdr>
        <w:top w:val="none" w:sz="0" w:space="0" w:color="auto"/>
        <w:left w:val="none" w:sz="0" w:space="0" w:color="auto"/>
        <w:bottom w:val="none" w:sz="0" w:space="0" w:color="auto"/>
        <w:right w:val="none" w:sz="0" w:space="0" w:color="auto"/>
      </w:divBdr>
    </w:div>
    <w:div w:id="706760794">
      <w:bodyDiv w:val="1"/>
      <w:marLeft w:val="0"/>
      <w:marRight w:val="0"/>
      <w:marTop w:val="0"/>
      <w:marBottom w:val="0"/>
      <w:divBdr>
        <w:top w:val="none" w:sz="0" w:space="0" w:color="auto"/>
        <w:left w:val="none" w:sz="0" w:space="0" w:color="auto"/>
        <w:bottom w:val="none" w:sz="0" w:space="0" w:color="auto"/>
        <w:right w:val="none" w:sz="0" w:space="0" w:color="auto"/>
      </w:divBdr>
    </w:div>
    <w:div w:id="737243760">
      <w:bodyDiv w:val="1"/>
      <w:marLeft w:val="0"/>
      <w:marRight w:val="0"/>
      <w:marTop w:val="0"/>
      <w:marBottom w:val="0"/>
      <w:divBdr>
        <w:top w:val="none" w:sz="0" w:space="0" w:color="auto"/>
        <w:left w:val="none" w:sz="0" w:space="0" w:color="auto"/>
        <w:bottom w:val="none" w:sz="0" w:space="0" w:color="auto"/>
        <w:right w:val="none" w:sz="0" w:space="0" w:color="auto"/>
      </w:divBdr>
    </w:div>
    <w:div w:id="737634858">
      <w:bodyDiv w:val="1"/>
      <w:marLeft w:val="0"/>
      <w:marRight w:val="0"/>
      <w:marTop w:val="0"/>
      <w:marBottom w:val="0"/>
      <w:divBdr>
        <w:top w:val="none" w:sz="0" w:space="0" w:color="auto"/>
        <w:left w:val="none" w:sz="0" w:space="0" w:color="auto"/>
        <w:bottom w:val="none" w:sz="0" w:space="0" w:color="auto"/>
        <w:right w:val="none" w:sz="0" w:space="0" w:color="auto"/>
      </w:divBdr>
    </w:div>
    <w:div w:id="744306902">
      <w:bodyDiv w:val="1"/>
      <w:marLeft w:val="0"/>
      <w:marRight w:val="0"/>
      <w:marTop w:val="0"/>
      <w:marBottom w:val="0"/>
      <w:divBdr>
        <w:top w:val="none" w:sz="0" w:space="0" w:color="auto"/>
        <w:left w:val="none" w:sz="0" w:space="0" w:color="auto"/>
        <w:bottom w:val="none" w:sz="0" w:space="0" w:color="auto"/>
        <w:right w:val="none" w:sz="0" w:space="0" w:color="auto"/>
      </w:divBdr>
    </w:div>
    <w:div w:id="768542836">
      <w:bodyDiv w:val="1"/>
      <w:marLeft w:val="0"/>
      <w:marRight w:val="0"/>
      <w:marTop w:val="0"/>
      <w:marBottom w:val="0"/>
      <w:divBdr>
        <w:top w:val="none" w:sz="0" w:space="0" w:color="auto"/>
        <w:left w:val="none" w:sz="0" w:space="0" w:color="auto"/>
        <w:bottom w:val="none" w:sz="0" w:space="0" w:color="auto"/>
        <w:right w:val="none" w:sz="0" w:space="0" w:color="auto"/>
      </w:divBdr>
    </w:div>
    <w:div w:id="817654170">
      <w:bodyDiv w:val="1"/>
      <w:marLeft w:val="0"/>
      <w:marRight w:val="0"/>
      <w:marTop w:val="0"/>
      <w:marBottom w:val="0"/>
      <w:divBdr>
        <w:top w:val="none" w:sz="0" w:space="0" w:color="auto"/>
        <w:left w:val="none" w:sz="0" w:space="0" w:color="auto"/>
        <w:bottom w:val="none" w:sz="0" w:space="0" w:color="auto"/>
        <w:right w:val="none" w:sz="0" w:space="0" w:color="auto"/>
      </w:divBdr>
    </w:div>
    <w:div w:id="822088202">
      <w:bodyDiv w:val="1"/>
      <w:marLeft w:val="0"/>
      <w:marRight w:val="0"/>
      <w:marTop w:val="0"/>
      <w:marBottom w:val="0"/>
      <w:divBdr>
        <w:top w:val="none" w:sz="0" w:space="0" w:color="auto"/>
        <w:left w:val="none" w:sz="0" w:space="0" w:color="auto"/>
        <w:bottom w:val="none" w:sz="0" w:space="0" w:color="auto"/>
        <w:right w:val="none" w:sz="0" w:space="0" w:color="auto"/>
      </w:divBdr>
    </w:div>
    <w:div w:id="823082615">
      <w:bodyDiv w:val="1"/>
      <w:marLeft w:val="0"/>
      <w:marRight w:val="0"/>
      <w:marTop w:val="0"/>
      <w:marBottom w:val="0"/>
      <w:divBdr>
        <w:top w:val="none" w:sz="0" w:space="0" w:color="auto"/>
        <w:left w:val="none" w:sz="0" w:space="0" w:color="auto"/>
        <w:bottom w:val="none" w:sz="0" w:space="0" w:color="auto"/>
        <w:right w:val="none" w:sz="0" w:space="0" w:color="auto"/>
      </w:divBdr>
    </w:div>
    <w:div w:id="834807291">
      <w:bodyDiv w:val="1"/>
      <w:marLeft w:val="0"/>
      <w:marRight w:val="0"/>
      <w:marTop w:val="0"/>
      <w:marBottom w:val="0"/>
      <w:divBdr>
        <w:top w:val="none" w:sz="0" w:space="0" w:color="auto"/>
        <w:left w:val="none" w:sz="0" w:space="0" w:color="auto"/>
        <w:bottom w:val="none" w:sz="0" w:space="0" w:color="auto"/>
        <w:right w:val="none" w:sz="0" w:space="0" w:color="auto"/>
      </w:divBdr>
    </w:div>
    <w:div w:id="851803775">
      <w:bodyDiv w:val="1"/>
      <w:marLeft w:val="0"/>
      <w:marRight w:val="0"/>
      <w:marTop w:val="0"/>
      <w:marBottom w:val="0"/>
      <w:divBdr>
        <w:top w:val="none" w:sz="0" w:space="0" w:color="auto"/>
        <w:left w:val="none" w:sz="0" w:space="0" w:color="auto"/>
        <w:bottom w:val="none" w:sz="0" w:space="0" w:color="auto"/>
        <w:right w:val="none" w:sz="0" w:space="0" w:color="auto"/>
      </w:divBdr>
    </w:div>
    <w:div w:id="868570110">
      <w:bodyDiv w:val="1"/>
      <w:marLeft w:val="0"/>
      <w:marRight w:val="0"/>
      <w:marTop w:val="0"/>
      <w:marBottom w:val="0"/>
      <w:divBdr>
        <w:top w:val="none" w:sz="0" w:space="0" w:color="auto"/>
        <w:left w:val="none" w:sz="0" w:space="0" w:color="auto"/>
        <w:bottom w:val="none" w:sz="0" w:space="0" w:color="auto"/>
        <w:right w:val="none" w:sz="0" w:space="0" w:color="auto"/>
      </w:divBdr>
    </w:div>
    <w:div w:id="890651507">
      <w:bodyDiv w:val="1"/>
      <w:marLeft w:val="0"/>
      <w:marRight w:val="0"/>
      <w:marTop w:val="0"/>
      <w:marBottom w:val="0"/>
      <w:divBdr>
        <w:top w:val="none" w:sz="0" w:space="0" w:color="auto"/>
        <w:left w:val="none" w:sz="0" w:space="0" w:color="auto"/>
        <w:bottom w:val="none" w:sz="0" w:space="0" w:color="auto"/>
        <w:right w:val="none" w:sz="0" w:space="0" w:color="auto"/>
      </w:divBdr>
    </w:div>
    <w:div w:id="891844305">
      <w:bodyDiv w:val="1"/>
      <w:marLeft w:val="0"/>
      <w:marRight w:val="0"/>
      <w:marTop w:val="0"/>
      <w:marBottom w:val="0"/>
      <w:divBdr>
        <w:top w:val="none" w:sz="0" w:space="0" w:color="auto"/>
        <w:left w:val="none" w:sz="0" w:space="0" w:color="auto"/>
        <w:bottom w:val="none" w:sz="0" w:space="0" w:color="auto"/>
        <w:right w:val="none" w:sz="0" w:space="0" w:color="auto"/>
      </w:divBdr>
    </w:div>
    <w:div w:id="898826549">
      <w:bodyDiv w:val="1"/>
      <w:marLeft w:val="0"/>
      <w:marRight w:val="0"/>
      <w:marTop w:val="0"/>
      <w:marBottom w:val="0"/>
      <w:divBdr>
        <w:top w:val="none" w:sz="0" w:space="0" w:color="auto"/>
        <w:left w:val="none" w:sz="0" w:space="0" w:color="auto"/>
        <w:bottom w:val="none" w:sz="0" w:space="0" w:color="auto"/>
        <w:right w:val="none" w:sz="0" w:space="0" w:color="auto"/>
      </w:divBdr>
    </w:div>
    <w:div w:id="902714936">
      <w:bodyDiv w:val="1"/>
      <w:marLeft w:val="0"/>
      <w:marRight w:val="0"/>
      <w:marTop w:val="0"/>
      <w:marBottom w:val="0"/>
      <w:divBdr>
        <w:top w:val="none" w:sz="0" w:space="0" w:color="auto"/>
        <w:left w:val="none" w:sz="0" w:space="0" w:color="auto"/>
        <w:bottom w:val="none" w:sz="0" w:space="0" w:color="auto"/>
        <w:right w:val="none" w:sz="0" w:space="0" w:color="auto"/>
      </w:divBdr>
    </w:div>
    <w:div w:id="905384675">
      <w:bodyDiv w:val="1"/>
      <w:marLeft w:val="0"/>
      <w:marRight w:val="0"/>
      <w:marTop w:val="0"/>
      <w:marBottom w:val="0"/>
      <w:divBdr>
        <w:top w:val="none" w:sz="0" w:space="0" w:color="auto"/>
        <w:left w:val="none" w:sz="0" w:space="0" w:color="auto"/>
        <w:bottom w:val="none" w:sz="0" w:space="0" w:color="auto"/>
        <w:right w:val="none" w:sz="0" w:space="0" w:color="auto"/>
      </w:divBdr>
    </w:div>
    <w:div w:id="916062214">
      <w:bodyDiv w:val="1"/>
      <w:marLeft w:val="0"/>
      <w:marRight w:val="0"/>
      <w:marTop w:val="0"/>
      <w:marBottom w:val="0"/>
      <w:divBdr>
        <w:top w:val="none" w:sz="0" w:space="0" w:color="auto"/>
        <w:left w:val="none" w:sz="0" w:space="0" w:color="auto"/>
        <w:bottom w:val="none" w:sz="0" w:space="0" w:color="auto"/>
        <w:right w:val="none" w:sz="0" w:space="0" w:color="auto"/>
      </w:divBdr>
    </w:div>
    <w:div w:id="921449022">
      <w:bodyDiv w:val="1"/>
      <w:marLeft w:val="0"/>
      <w:marRight w:val="0"/>
      <w:marTop w:val="0"/>
      <w:marBottom w:val="0"/>
      <w:divBdr>
        <w:top w:val="none" w:sz="0" w:space="0" w:color="auto"/>
        <w:left w:val="none" w:sz="0" w:space="0" w:color="auto"/>
        <w:bottom w:val="none" w:sz="0" w:space="0" w:color="auto"/>
        <w:right w:val="none" w:sz="0" w:space="0" w:color="auto"/>
      </w:divBdr>
    </w:div>
    <w:div w:id="927349998">
      <w:bodyDiv w:val="1"/>
      <w:marLeft w:val="0"/>
      <w:marRight w:val="0"/>
      <w:marTop w:val="0"/>
      <w:marBottom w:val="0"/>
      <w:divBdr>
        <w:top w:val="none" w:sz="0" w:space="0" w:color="auto"/>
        <w:left w:val="none" w:sz="0" w:space="0" w:color="auto"/>
        <w:bottom w:val="none" w:sz="0" w:space="0" w:color="auto"/>
        <w:right w:val="none" w:sz="0" w:space="0" w:color="auto"/>
      </w:divBdr>
    </w:div>
    <w:div w:id="928083221">
      <w:bodyDiv w:val="1"/>
      <w:marLeft w:val="0"/>
      <w:marRight w:val="0"/>
      <w:marTop w:val="0"/>
      <w:marBottom w:val="0"/>
      <w:divBdr>
        <w:top w:val="none" w:sz="0" w:space="0" w:color="auto"/>
        <w:left w:val="none" w:sz="0" w:space="0" w:color="auto"/>
        <w:bottom w:val="none" w:sz="0" w:space="0" w:color="auto"/>
        <w:right w:val="none" w:sz="0" w:space="0" w:color="auto"/>
      </w:divBdr>
    </w:div>
    <w:div w:id="939871765">
      <w:bodyDiv w:val="1"/>
      <w:marLeft w:val="0"/>
      <w:marRight w:val="0"/>
      <w:marTop w:val="0"/>
      <w:marBottom w:val="0"/>
      <w:divBdr>
        <w:top w:val="none" w:sz="0" w:space="0" w:color="auto"/>
        <w:left w:val="none" w:sz="0" w:space="0" w:color="auto"/>
        <w:bottom w:val="none" w:sz="0" w:space="0" w:color="auto"/>
        <w:right w:val="none" w:sz="0" w:space="0" w:color="auto"/>
      </w:divBdr>
    </w:div>
    <w:div w:id="944114278">
      <w:bodyDiv w:val="1"/>
      <w:marLeft w:val="0"/>
      <w:marRight w:val="0"/>
      <w:marTop w:val="0"/>
      <w:marBottom w:val="0"/>
      <w:divBdr>
        <w:top w:val="none" w:sz="0" w:space="0" w:color="auto"/>
        <w:left w:val="none" w:sz="0" w:space="0" w:color="auto"/>
        <w:bottom w:val="none" w:sz="0" w:space="0" w:color="auto"/>
        <w:right w:val="none" w:sz="0" w:space="0" w:color="auto"/>
      </w:divBdr>
    </w:div>
    <w:div w:id="949044045">
      <w:bodyDiv w:val="1"/>
      <w:marLeft w:val="0"/>
      <w:marRight w:val="0"/>
      <w:marTop w:val="0"/>
      <w:marBottom w:val="0"/>
      <w:divBdr>
        <w:top w:val="none" w:sz="0" w:space="0" w:color="auto"/>
        <w:left w:val="none" w:sz="0" w:space="0" w:color="auto"/>
        <w:bottom w:val="none" w:sz="0" w:space="0" w:color="auto"/>
        <w:right w:val="none" w:sz="0" w:space="0" w:color="auto"/>
      </w:divBdr>
    </w:div>
    <w:div w:id="953244057">
      <w:bodyDiv w:val="1"/>
      <w:marLeft w:val="0"/>
      <w:marRight w:val="0"/>
      <w:marTop w:val="0"/>
      <w:marBottom w:val="0"/>
      <w:divBdr>
        <w:top w:val="none" w:sz="0" w:space="0" w:color="auto"/>
        <w:left w:val="none" w:sz="0" w:space="0" w:color="auto"/>
        <w:bottom w:val="none" w:sz="0" w:space="0" w:color="auto"/>
        <w:right w:val="none" w:sz="0" w:space="0" w:color="auto"/>
      </w:divBdr>
    </w:div>
    <w:div w:id="959799494">
      <w:bodyDiv w:val="1"/>
      <w:marLeft w:val="0"/>
      <w:marRight w:val="0"/>
      <w:marTop w:val="0"/>
      <w:marBottom w:val="0"/>
      <w:divBdr>
        <w:top w:val="none" w:sz="0" w:space="0" w:color="auto"/>
        <w:left w:val="none" w:sz="0" w:space="0" w:color="auto"/>
        <w:bottom w:val="none" w:sz="0" w:space="0" w:color="auto"/>
        <w:right w:val="none" w:sz="0" w:space="0" w:color="auto"/>
      </w:divBdr>
    </w:div>
    <w:div w:id="977102963">
      <w:bodyDiv w:val="1"/>
      <w:marLeft w:val="0"/>
      <w:marRight w:val="0"/>
      <w:marTop w:val="0"/>
      <w:marBottom w:val="0"/>
      <w:divBdr>
        <w:top w:val="none" w:sz="0" w:space="0" w:color="auto"/>
        <w:left w:val="none" w:sz="0" w:space="0" w:color="auto"/>
        <w:bottom w:val="none" w:sz="0" w:space="0" w:color="auto"/>
        <w:right w:val="none" w:sz="0" w:space="0" w:color="auto"/>
      </w:divBdr>
    </w:div>
    <w:div w:id="992488918">
      <w:bodyDiv w:val="1"/>
      <w:marLeft w:val="0"/>
      <w:marRight w:val="0"/>
      <w:marTop w:val="0"/>
      <w:marBottom w:val="0"/>
      <w:divBdr>
        <w:top w:val="none" w:sz="0" w:space="0" w:color="auto"/>
        <w:left w:val="none" w:sz="0" w:space="0" w:color="auto"/>
        <w:bottom w:val="none" w:sz="0" w:space="0" w:color="auto"/>
        <w:right w:val="none" w:sz="0" w:space="0" w:color="auto"/>
      </w:divBdr>
    </w:div>
    <w:div w:id="1000814091">
      <w:bodyDiv w:val="1"/>
      <w:marLeft w:val="0"/>
      <w:marRight w:val="0"/>
      <w:marTop w:val="0"/>
      <w:marBottom w:val="0"/>
      <w:divBdr>
        <w:top w:val="none" w:sz="0" w:space="0" w:color="auto"/>
        <w:left w:val="none" w:sz="0" w:space="0" w:color="auto"/>
        <w:bottom w:val="none" w:sz="0" w:space="0" w:color="auto"/>
        <w:right w:val="none" w:sz="0" w:space="0" w:color="auto"/>
      </w:divBdr>
    </w:div>
    <w:div w:id="1005789384">
      <w:bodyDiv w:val="1"/>
      <w:marLeft w:val="0"/>
      <w:marRight w:val="0"/>
      <w:marTop w:val="0"/>
      <w:marBottom w:val="0"/>
      <w:divBdr>
        <w:top w:val="none" w:sz="0" w:space="0" w:color="auto"/>
        <w:left w:val="none" w:sz="0" w:space="0" w:color="auto"/>
        <w:bottom w:val="none" w:sz="0" w:space="0" w:color="auto"/>
        <w:right w:val="none" w:sz="0" w:space="0" w:color="auto"/>
      </w:divBdr>
    </w:div>
    <w:div w:id="1015573000">
      <w:bodyDiv w:val="1"/>
      <w:marLeft w:val="0"/>
      <w:marRight w:val="0"/>
      <w:marTop w:val="0"/>
      <w:marBottom w:val="0"/>
      <w:divBdr>
        <w:top w:val="none" w:sz="0" w:space="0" w:color="auto"/>
        <w:left w:val="none" w:sz="0" w:space="0" w:color="auto"/>
        <w:bottom w:val="none" w:sz="0" w:space="0" w:color="auto"/>
        <w:right w:val="none" w:sz="0" w:space="0" w:color="auto"/>
      </w:divBdr>
    </w:div>
    <w:div w:id="1027029117">
      <w:bodyDiv w:val="1"/>
      <w:marLeft w:val="0"/>
      <w:marRight w:val="0"/>
      <w:marTop w:val="0"/>
      <w:marBottom w:val="0"/>
      <w:divBdr>
        <w:top w:val="none" w:sz="0" w:space="0" w:color="auto"/>
        <w:left w:val="none" w:sz="0" w:space="0" w:color="auto"/>
        <w:bottom w:val="none" w:sz="0" w:space="0" w:color="auto"/>
        <w:right w:val="none" w:sz="0" w:space="0" w:color="auto"/>
      </w:divBdr>
    </w:div>
    <w:div w:id="1043138128">
      <w:bodyDiv w:val="1"/>
      <w:marLeft w:val="0"/>
      <w:marRight w:val="0"/>
      <w:marTop w:val="0"/>
      <w:marBottom w:val="0"/>
      <w:divBdr>
        <w:top w:val="none" w:sz="0" w:space="0" w:color="auto"/>
        <w:left w:val="none" w:sz="0" w:space="0" w:color="auto"/>
        <w:bottom w:val="none" w:sz="0" w:space="0" w:color="auto"/>
        <w:right w:val="none" w:sz="0" w:space="0" w:color="auto"/>
      </w:divBdr>
    </w:div>
    <w:div w:id="1064832829">
      <w:bodyDiv w:val="1"/>
      <w:marLeft w:val="0"/>
      <w:marRight w:val="0"/>
      <w:marTop w:val="0"/>
      <w:marBottom w:val="0"/>
      <w:divBdr>
        <w:top w:val="none" w:sz="0" w:space="0" w:color="auto"/>
        <w:left w:val="none" w:sz="0" w:space="0" w:color="auto"/>
        <w:bottom w:val="none" w:sz="0" w:space="0" w:color="auto"/>
        <w:right w:val="none" w:sz="0" w:space="0" w:color="auto"/>
      </w:divBdr>
    </w:div>
    <w:div w:id="1067535723">
      <w:bodyDiv w:val="1"/>
      <w:marLeft w:val="0"/>
      <w:marRight w:val="0"/>
      <w:marTop w:val="0"/>
      <w:marBottom w:val="0"/>
      <w:divBdr>
        <w:top w:val="none" w:sz="0" w:space="0" w:color="auto"/>
        <w:left w:val="none" w:sz="0" w:space="0" w:color="auto"/>
        <w:bottom w:val="none" w:sz="0" w:space="0" w:color="auto"/>
        <w:right w:val="none" w:sz="0" w:space="0" w:color="auto"/>
      </w:divBdr>
    </w:div>
    <w:div w:id="1136487847">
      <w:bodyDiv w:val="1"/>
      <w:marLeft w:val="0"/>
      <w:marRight w:val="0"/>
      <w:marTop w:val="0"/>
      <w:marBottom w:val="0"/>
      <w:divBdr>
        <w:top w:val="none" w:sz="0" w:space="0" w:color="auto"/>
        <w:left w:val="none" w:sz="0" w:space="0" w:color="auto"/>
        <w:bottom w:val="none" w:sz="0" w:space="0" w:color="auto"/>
        <w:right w:val="none" w:sz="0" w:space="0" w:color="auto"/>
      </w:divBdr>
    </w:div>
    <w:div w:id="1138380517">
      <w:bodyDiv w:val="1"/>
      <w:marLeft w:val="0"/>
      <w:marRight w:val="0"/>
      <w:marTop w:val="0"/>
      <w:marBottom w:val="0"/>
      <w:divBdr>
        <w:top w:val="none" w:sz="0" w:space="0" w:color="auto"/>
        <w:left w:val="none" w:sz="0" w:space="0" w:color="auto"/>
        <w:bottom w:val="none" w:sz="0" w:space="0" w:color="auto"/>
        <w:right w:val="none" w:sz="0" w:space="0" w:color="auto"/>
      </w:divBdr>
    </w:div>
    <w:div w:id="1164010842">
      <w:bodyDiv w:val="1"/>
      <w:marLeft w:val="0"/>
      <w:marRight w:val="0"/>
      <w:marTop w:val="0"/>
      <w:marBottom w:val="0"/>
      <w:divBdr>
        <w:top w:val="none" w:sz="0" w:space="0" w:color="auto"/>
        <w:left w:val="none" w:sz="0" w:space="0" w:color="auto"/>
        <w:bottom w:val="none" w:sz="0" w:space="0" w:color="auto"/>
        <w:right w:val="none" w:sz="0" w:space="0" w:color="auto"/>
      </w:divBdr>
    </w:div>
    <w:div w:id="1165050830">
      <w:bodyDiv w:val="1"/>
      <w:marLeft w:val="0"/>
      <w:marRight w:val="0"/>
      <w:marTop w:val="0"/>
      <w:marBottom w:val="0"/>
      <w:divBdr>
        <w:top w:val="none" w:sz="0" w:space="0" w:color="auto"/>
        <w:left w:val="none" w:sz="0" w:space="0" w:color="auto"/>
        <w:bottom w:val="none" w:sz="0" w:space="0" w:color="auto"/>
        <w:right w:val="none" w:sz="0" w:space="0" w:color="auto"/>
      </w:divBdr>
    </w:div>
    <w:div w:id="1166632349">
      <w:bodyDiv w:val="1"/>
      <w:marLeft w:val="0"/>
      <w:marRight w:val="0"/>
      <w:marTop w:val="0"/>
      <w:marBottom w:val="0"/>
      <w:divBdr>
        <w:top w:val="none" w:sz="0" w:space="0" w:color="auto"/>
        <w:left w:val="none" w:sz="0" w:space="0" w:color="auto"/>
        <w:bottom w:val="none" w:sz="0" w:space="0" w:color="auto"/>
        <w:right w:val="none" w:sz="0" w:space="0" w:color="auto"/>
      </w:divBdr>
    </w:div>
    <w:div w:id="1167750402">
      <w:bodyDiv w:val="1"/>
      <w:marLeft w:val="0"/>
      <w:marRight w:val="0"/>
      <w:marTop w:val="0"/>
      <w:marBottom w:val="0"/>
      <w:divBdr>
        <w:top w:val="none" w:sz="0" w:space="0" w:color="auto"/>
        <w:left w:val="none" w:sz="0" w:space="0" w:color="auto"/>
        <w:bottom w:val="none" w:sz="0" w:space="0" w:color="auto"/>
        <w:right w:val="none" w:sz="0" w:space="0" w:color="auto"/>
      </w:divBdr>
    </w:div>
    <w:div w:id="1178156251">
      <w:bodyDiv w:val="1"/>
      <w:marLeft w:val="0"/>
      <w:marRight w:val="0"/>
      <w:marTop w:val="0"/>
      <w:marBottom w:val="0"/>
      <w:divBdr>
        <w:top w:val="none" w:sz="0" w:space="0" w:color="auto"/>
        <w:left w:val="none" w:sz="0" w:space="0" w:color="auto"/>
        <w:bottom w:val="none" w:sz="0" w:space="0" w:color="auto"/>
        <w:right w:val="none" w:sz="0" w:space="0" w:color="auto"/>
      </w:divBdr>
    </w:div>
    <w:div w:id="1197695827">
      <w:bodyDiv w:val="1"/>
      <w:marLeft w:val="0"/>
      <w:marRight w:val="0"/>
      <w:marTop w:val="0"/>
      <w:marBottom w:val="0"/>
      <w:divBdr>
        <w:top w:val="none" w:sz="0" w:space="0" w:color="auto"/>
        <w:left w:val="none" w:sz="0" w:space="0" w:color="auto"/>
        <w:bottom w:val="none" w:sz="0" w:space="0" w:color="auto"/>
        <w:right w:val="none" w:sz="0" w:space="0" w:color="auto"/>
      </w:divBdr>
    </w:div>
    <w:div w:id="1216314985">
      <w:bodyDiv w:val="1"/>
      <w:marLeft w:val="0"/>
      <w:marRight w:val="0"/>
      <w:marTop w:val="0"/>
      <w:marBottom w:val="0"/>
      <w:divBdr>
        <w:top w:val="none" w:sz="0" w:space="0" w:color="auto"/>
        <w:left w:val="none" w:sz="0" w:space="0" w:color="auto"/>
        <w:bottom w:val="none" w:sz="0" w:space="0" w:color="auto"/>
        <w:right w:val="none" w:sz="0" w:space="0" w:color="auto"/>
      </w:divBdr>
    </w:div>
    <w:div w:id="1222669948">
      <w:bodyDiv w:val="1"/>
      <w:marLeft w:val="0"/>
      <w:marRight w:val="0"/>
      <w:marTop w:val="0"/>
      <w:marBottom w:val="0"/>
      <w:divBdr>
        <w:top w:val="none" w:sz="0" w:space="0" w:color="auto"/>
        <w:left w:val="none" w:sz="0" w:space="0" w:color="auto"/>
        <w:bottom w:val="none" w:sz="0" w:space="0" w:color="auto"/>
        <w:right w:val="none" w:sz="0" w:space="0" w:color="auto"/>
      </w:divBdr>
    </w:div>
    <w:div w:id="1235048987">
      <w:bodyDiv w:val="1"/>
      <w:marLeft w:val="0"/>
      <w:marRight w:val="0"/>
      <w:marTop w:val="0"/>
      <w:marBottom w:val="0"/>
      <w:divBdr>
        <w:top w:val="none" w:sz="0" w:space="0" w:color="auto"/>
        <w:left w:val="none" w:sz="0" w:space="0" w:color="auto"/>
        <w:bottom w:val="none" w:sz="0" w:space="0" w:color="auto"/>
        <w:right w:val="none" w:sz="0" w:space="0" w:color="auto"/>
      </w:divBdr>
    </w:div>
    <w:div w:id="1241409612">
      <w:bodyDiv w:val="1"/>
      <w:marLeft w:val="0"/>
      <w:marRight w:val="0"/>
      <w:marTop w:val="0"/>
      <w:marBottom w:val="0"/>
      <w:divBdr>
        <w:top w:val="none" w:sz="0" w:space="0" w:color="auto"/>
        <w:left w:val="none" w:sz="0" w:space="0" w:color="auto"/>
        <w:bottom w:val="none" w:sz="0" w:space="0" w:color="auto"/>
        <w:right w:val="none" w:sz="0" w:space="0" w:color="auto"/>
      </w:divBdr>
    </w:div>
    <w:div w:id="1242833853">
      <w:bodyDiv w:val="1"/>
      <w:marLeft w:val="0"/>
      <w:marRight w:val="0"/>
      <w:marTop w:val="0"/>
      <w:marBottom w:val="0"/>
      <w:divBdr>
        <w:top w:val="none" w:sz="0" w:space="0" w:color="auto"/>
        <w:left w:val="none" w:sz="0" w:space="0" w:color="auto"/>
        <w:bottom w:val="none" w:sz="0" w:space="0" w:color="auto"/>
        <w:right w:val="none" w:sz="0" w:space="0" w:color="auto"/>
      </w:divBdr>
    </w:div>
    <w:div w:id="1244604205">
      <w:bodyDiv w:val="1"/>
      <w:marLeft w:val="0"/>
      <w:marRight w:val="0"/>
      <w:marTop w:val="0"/>
      <w:marBottom w:val="0"/>
      <w:divBdr>
        <w:top w:val="none" w:sz="0" w:space="0" w:color="auto"/>
        <w:left w:val="none" w:sz="0" w:space="0" w:color="auto"/>
        <w:bottom w:val="none" w:sz="0" w:space="0" w:color="auto"/>
        <w:right w:val="none" w:sz="0" w:space="0" w:color="auto"/>
      </w:divBdr>
    </w:div>
    <w:div w:id="1258754973">
      <w:bodyDiv w:val="1"/>
      <w:marLeft w:val="0"/>
      <w:marRight w:val="0"/>
      <w:marTop w:val="0"/>
      <w:marBottom w:val="0"/>
      <w:divBdr>
        <w:top w:val="none" w:sz="0" w:space="0" w:color="auto"/>
        <w:left w:val="none" w:sz="0" w:space="0" w:color="auto"/>
        <w:bottom w:val="none" w:sz="0" w:space="0" w:color="auto"/>
        <w:right w:val="none" w:sz="0" w:space="0" w:color="auto"/>
      </w:divBdr>
    </w:div>
    <w:div w:id="1277254276">
      <w:bodyDiv w:val="1"/>
      <w:marLeft w:val="0"/>
      <w:marRight w:val="0"/>
      <w:marTop w:val="0"/>
      <w:marBottom w:val="0"/>
      <w:divBdr>
        <w:top w:val="none" w:sz="0" w:space="0" w:color="auto"/>
        <w:left w:val="none" w:sz="0" w:space="0" w:color="auto"/>
        <w:bottom w:val="none" w:sz="0" w:space="0" w:color="auto"/>
        <w:right w:val="none" w:sz="0" w:space="0" w:color="auto"/>
      </w:divBdr>
    </w:div>
    <w:div w:id="1280062028">
      <w:bodyDiv w:val="1"/>
      <w:marLeft w:val="0"/>
      <w:marRight w:val="0"/>
      <w:marTop w:val="0"/>
      <w:marBottom w:val="0"/>
      <w:divBdr>
        <w:top w:val="none" w:sz="0" w:space="0" w:color="auto"/>
        <w:left w:val="none" w:sz="0" w:space="0" w:color="auto"/>
        <w:bottom w:val="none" w:sz="0" w:space="0" w:color="auto"/>
        <w:right w:val="none" w:sz="0" w:space="0" w:color="auto"/>
      </w:divBdr>
    </w:div>
    <w:div w:id="1285306383">
      <w:bodyDiv w:val="1"/>
      <w:marLeft w:val="0"/>
      <w:marRight w:val="0"/>
      <w:marTop w:val="0"/>
      <w:marBottom w:val="0"/>
      <w:divBdr>
        <w:top w:val="none" w:sz="0" w:space="0" w:color="auto"/>
        <w:left w:val="none" w:sz="0" w:space="0" w:color="auto"/>
        <w:bottom w:val="none" w:sz="0" w:space="0" w:color="auto"/>
        <w:right w:val="none" w:sz="0" w:space="0" w:color="auto"/>
      </w:divBdr>
    </w:div>
    <w:div w:id="1289243042">
      <w:bodyDiv w:val="1"/>
      <w:marLeft w:val="0"/>
      <w:marRight w:val="0"/>
      <w:marTop w:val="0"/>
      <w:marBottom w:val="0"/>
      <w:divBdr>
        <w:top w:val="none" w:sz="0" w:space="0" w:color="auto"/>
        <w:left w:val="none" w:sz="0" w:space="0" w:color="auto"/>
        <w:bottom w:val="none" w:sz="0" w:space="0" w:color="auto"/>
        <w:right w:val="none" w:sz="0" w:space="0" w:color="auto"/>
      </w:divBdr>
    </w:div>
    <w:div w:id="1296835349">
      <w:bodyDiv w:val="1"/>
      <w:marLeft w:val="0"/>
      <w:marRight w:val="0"/>
      <w:marTop w:val="0"/>
      <w:marBottom w:val="0"/>
      <w:divBdr>
        <w:top w:val="none" w:sz="0" w:space="0" w:color="auto"/>
        <w:left w:val="none" w:sz="0" w:space="0" w:color="auto"/>
        <w:bottom w:val="none" w:sz="0" w:space="0" w:color="auto"/>
        <w:right w:val="none" w:sz="0" w:space="0" w:color="auto"/>
      </w:divBdr>
    </w:div>
    <w:div w:id="1303341735">
      <w:bodyDiv w:val="1"/>
      <w:marLeft w:val="0"/>
      <w:marRight w:val="0"/>
      <w:marTop w:val="0"/>
      <w:marBottom w:val="0"/>
      <w:divBdr>
        <w:top w:val="none" w:sz="0" w:space="0" w:color="auto"/>
        <w:left w:val="none" w:sz="0" w:space="0" w:color="auto"/>
        <w:bottom w:val="none" w:sz="0" w:space="0" w:color="auto"/>
        <w:right w:val="none" w:sz="0" w:space="0" w:color="auto"/>
      </w:divBdr>
    </w:div>
    <w:div w:id="1304459279">
      <w:bodyDiv w:val="1"/>
      <w:marLeft w:val="0"/>
      <w:marRight w:val="0"/>
      <w:marTop w:val="0"/>
      <w:marBottom w:val="0"/>
      <w:divBdr>
        <w:top w:val="none" w:sz="0" w:space="0" w:color="auto"/>
        <w:left w:val="none" w:sz="0" w:space="0" w:color="auto"/>
        <w:bottom w:val="none" w:sz="0" w:space="0" w:color="auto"/>
        <w:right w:val="none" w:sz="0" w:space="0" w:color="auto"/>
      </w:divBdr>
    </w:div>
    <w:div w:id="1307474395">
      <w:bodyDiv w:val="1"/>
      <w:marLeft w:val="0"/>
      <w:marRight w:val="0"/>
      <w:marTop w:val="0"/>
      <w:marBottom w:val="0"/>
      <w:divBdr>
        <w:top w:val="none" w:sz="0" w:space="0" w:color="auto"/>
        <w:left w:val="none" w:sz="0" w:space="0" w:color="auto"/>
        <w:bottom w:val="none" w:sz="0" w:space="0" w:color="auto"/>
        <w:right w:val="none" w:sz="0" w:space="0" w:color="auto"/>
      </w:divBdr>
    </w:div>
    <w:div w:id="1309214602">
      <w:bodyDiv w:val="1"/>
      <w:marLeft w:val="0"/>
      <w:marRight w:val="0"/>
      <w:marTop w:val="0"/>
      <w:marBottom w:val="0"/>
      <w:divBdr>
        <w:top w:val="none" w:sz="0" w:space="0" w:color="auto"/>
        <w:left w:val="none" w:sz="0" w:space="0" w:color="auto"/>
        <w:bottom w:val="none" w:sz="0" w:space="0" w:color="auto"/>
        <w:right w:val="none" w:sz="0" w:space="0" w:color="auto"/>
      </w:divBdr>
    </w:div>
    <w:div w:id="1314069566">
      <w:bodyDiv w:val="1"/>
      <w:marLeft w:val="0"/>
      <w:marRight w:val="0"/>
      <w:marTop w:val="0"/>
      <w:marBottom w:val="0"/>
      <w:divBdr>
        <w:top w:val="none" w:sz="0" w:space="0" w:color="auto"/>
        <w:left w:val="none" w:sz="0" w:space="0" w:color="auto"/>
        <w:bottom w:val="none" w:sz="0" w:space="0" w:color="auto"/>
        <w:right w:val="none" w:sz="0" w:space="0" w:color="auto"/>
      </w:divBdr>
    </w:div>
    <w:div w:id="1315916969">
      <w:bodyDiv w:val="1"/>
      <w:marLeft w:val="0"/>
      <w:marRight w:val="0"/>
      <w:marTop w:val="0"/>
      <w:marBottom w:val="0"/>
      <w:divBdr>
        <w:top w:val="none" w:sz="0" w:space="0" w:color="auto"/>
        <w:left w:val="none" w:sz="0" w:space="0" w:color="auto"/>
        <w:bottom w:val="none" w:sz="0" w:space="0" w:color="auto"/>
        <w:right w:val="none" w:sz="0" w:space="0" w:color="auto"/>
      </w:divBdr>
    </w:div>
    <w:div w:id="1320502150">
      <w:bodyDiv w:val="1"/>
      <w:marLeft w:val="0"/>
      <w:marRight w:val="0"/>
      <w:marTop w:val="0"/>
      <w:marBottom w:val="0"/>
      <w:divBdr>
        <w:top w:val="none" w:sz="0" w:space="0" w:color="auto"/>
        <w:left w:val="none" w:sz="0" w:space="0" w:color="auto"/>
        <w:bottom w:val="none" w:sz="0" w:space="0" w:color="auto"/>
        <w:right w:val="none" w:sz="0" w:space="0" w:color="auto"/>
      </w:divBdr>
    </w:div>
    <w:div w:id="1327586384">
      <w:bodyDiv w:val="1"/>
      <w:marLeft w:val="0"/>
      <w:marRight w:val="0"/>
      <w:marTop w:val="0"/>
      <w:marBottom w:val="0"/>
      <w:divBdr>
        <w:top w:val="none" w:sz="0" w:space="0" w:color="auto"/>
        <w:left w:val="none" w:sz="0" w:space="0" w:color="auto"/>
        <w:bottom w:val="none" w:sz="0" w:space="0" w:color="auto"/>
        <w:right w:val="none" w:sz="0" w:space="0" w:color="auto"/>
      </w:divBdr>
    </w:div>
    <w:div w:id="1333024167">
      <w:bodyDiv w:val="1"/>
      <w:marLeft w:val="0"/>
      <w:marRight w:val="0"/>
      <w:marTop w:val="0"/>
      <w:marBottom w:val="0"/>
      <w:divBdr>
        <w:top w:val="none" w:sz="0" w:space="0" w:color="auto"/>
        <w:left w:val="none" w:sz="0" w:space="0" w:color="auto"/>
        <w:bottom w:val="none" w:sz="0" w:space="0" w:color="auto"/>
        <w:right w:val="none" w:sz="0" w:space="0" w:color="auto"/>
      </w:divBdr>
    </w:div>
    <w:div w:id="1343632734">
      <w:bodyDiv w:val="1"/>
      <w:marLeft w:val="0"/>
      <w:marRight w:val="0"/>
      <w:marTop w:val="0"/>
      <w:marBottom w:val="0"/>
      <w:divBdr>
        <w:top w:val="none" w:sz="0" w:space="0" w:color="auto"/>
        <w:left w:val="none" w:sz="0" w:space="0" w:color="auto"/>
        <w:bottom w:val="none" w:sz="0" w:space="0" w:color="auto"/>
        <w:right w:val="none" w:sz="0" w:space="0" w:color="auto"/>
      </w:divBdr>
    </w:div>
    <w:div w:id="1349020946">
      <w:bodyDiv w:val="1"/>
      <w:marLeft w:val="0"/>
      <w:marRight w:val="0"/>
      <w:marTop w:val="0"/>
      <w:marBottom w:val="0"/>
      <w:divBdr>
        <w:top w:val="none" w:sz="0" w:space="0" w:color="auto"/>
        <w:left w:val="none" w:sz="0" w:space="0" w:color="auto"/>
        <w:bottom w:val="none" w:sz="0" w:space="0" w:color="auto"/>
        <w:right w:val="none" w:sz="0" w:space="0" w:color="auto"/>
      </w:divBdr>
    </w:div>
    <w:div w:id="1362171094">
      <w:bodyDiv w:val="1"/>
      <w:marLeft w:val="0"/>
      <w:marRight w:val="0"/>
      <w:marTop w:val="0"/>
      <w:marBottom w:val="0"/>
      <w:divBdr>
        <w:top w:val="none" w:sz="0" w:space="0" w:color="auto"/>
        <w:left w:val="none" w:sz="0" w:space="0" w:color="auto"/>
        <w:bottom w:val="none" w:sz="0" w:space="0" w:color="auto"/>
        <w:right w:val="none" w:sz="0" w:space="0" w:color="auto"/>
      </w:divBdr>
    </w:div>
    <w:div w:id="1378626728">
      <w:bodyDiv w:val="1"/>
      <w:marLeft w:val="0"/>
      <w:marRight w:val="0"/>
      <w:marTop w:val="0"/>
      <w:marBottom w:val="0"/>
      <w:divBdr>
        <w:top w:val="none" w:sz="0" w:space="0" w:color="auto"/>
        <w:left w:val="none" w:sz="0" w:space="0" w:color="auto"/>
        <w:bottom w:val="none" w:sz="0" w:space="0" w:color="auto"/>
        <w:right w:val="none" w:sz="0" w:space="0" w:color="auto"/>
      </w:divBdr>
    </w:div>
    <w:div w:id="1380594316">
      <w:bodyDiv w:val="1"/>
      <w:marLeft w:val="0"/>
      <w:marRight w:val="0"/>
      <w:marTop w:val="0"/>
      <w:marBottom w:val="0"/>
      <w:divBdr>
        <w:top w:val="none" w:sz="0" w:space="0" w:color="auto"/>
        <w:left w:val="none" w:sz="0" w:space="0" w:color="auto"/>
        <w:bottom w:val="none" w:sz="0" w:space="0" w:color="auto"/>
        <w:right w:val="none" w:sz="0" w:space="0" w:color="auto"/>
      </w:divBdr>
    </w:div>
    <w:div w:id="1385107341">
      <w:bodyDiv w:val="1"/>
      <w:marLeft w:val="0"/>
      <w:marRight w:val="0"/>
      <w:marTop w:val="0"/>
      <w:marBottom w:val="0"/>
      <w:divBdr>
        <w:top w:val="none" w:sz="0" w:space="0" w:color="auto"/>
        <w:left w:val="none" w:sz="0" w:space="0" w:color="auto"/>
        <w:bottom w:val="none" w:sz="0" w:space="0" w:color="auto"/>
        <w:right w:val="none" w:sz="0" w:space="0" w:color="auto"/>
      </w:divBdr>
    </w:div>
    <w:div w:id="1389066866">
      <w:bodyDiv w:val="1"/>
      <w:marLeft w:val="0"/>
      <w:marRight w:val="0"/>
      <w:marTop w:val="0"/>
      <w:marBottom w:val="0"/>
      <w:divBdr>
        <w:top w:val="none" w:sz="0" w:space="0" w:color="auto"/>
        <w:left w:val="none" w:sz="0" w:space="0" w:color="auto"/>
        <w:bottom w:val="none" w:sz="0" w:space="0" w:color="auto"/>
        <w:right w:val="none" w:sz="0" w:space="0" w:color="auto"/>
      </w:divBdr>
    </w:div>
    <w:div w:id="1395933821">
      <w:bodyDiv w:val="1"/>
      <w:marLeft w:val="0"/>
      <w:marRight w:val="0"/>
      <w:marTop w:val="0"/>
      <w:marBottom w:val="0"/>
      <w:divBdr>
        <w:top w:val="none" w:sz="0" w:space="0" w:color="auto"/>
        <w:left w:val="none" w:sz="0" w:space="0" w:color="auto"/>
        <w:bottom w:val="none" w:sz="0" w:space="0" w:color="auto"/>
        <w:right w:val="none" w:sz="0" w:space="0" w:color="auto"/>
      </w:divBdr>
    </w:div>
    <w:div w:id="1403796995">
      <w:bodyDiv w:val="1"/>
      <w:marLeft w:val="0"/>
      <w:marRight w:val="0"/>
      <w:marTop w:val="0"/>
      <w:marBottom w:val="0"/>
      <w:divBdr>
        <w:top w:val="none" w:sz="0" w:space="0" w:color="auto"/>
        <w:left w:val="none" w:sz="0" w:space="0" w:color="auto"/>
        <w:bottom w:val="none" w:sz="0" w:space="0" w:color="auto"/>
        <w:right w:val="none" w:sz="0" w:space="0" w:color="auto"/>
      </w:divBdr>
    </w:div>
    <w:div w:id="1404716283">
      <w:bodyDiv w:val="1"/>
      <w:marLeft w:val="0"/>
      <w:marRight w:val="0"/>
      <w:marTop w:val="0"/>
      <w:marBottom w:val="0"/>
      <w:divBdr>
        <w:top w:val="none" w:sz="0" w:space="0" w:color="auto"/>
        <w:left w:val="none" w:sz="0" w:space="0" w:color="auto"/>
        <w:bottom w:val="none" w:sz="0" w:space="0" w:color="auto"/>
        <w:right w:val="none" w:sz="0" w:space="0" w:color="auto"/>
      </w:divBdr>
    </w:div>
    <w:div w:id="1409691833">
      <w:bodyDiv w:val="1"/>
      <w:marLeft w:val="0"/>
      <w:marRight w:val="0"/>
      <w:marTop w:val="0"/>
      <w:marBottom w:val="0"/>
      <w:divBdr>
        <w:top w:val="none" w:sz="0" w:space="0" w:color="auto"/>
        <w:left w:val="none" w:sz="0" w:space="0" w:color="auto"/>
        <w:bottom w:val="none" w:sz="0" w:space="0" w:color="auto"/>
        <w:right w:val="none" w:sz="0" w:space="0" w:color="auto"/>
      </w:divBdr>
    </w:div>
    <w:div w:id="1419323903">
      <w:bodyDiv w:val="1"/>
      <w:marLeft w:val="0"/>
      <w:marRight w:val="0"/>
      <w:marTop w:val="0"/>
      <w:marBottom w:val="0"/>
      <w:divBdr>
        <w:top w:val="none" w:sz="0" w:space="0" w:color="auto"/>
        <w:left w:val="none" w:sz="0" w:space="0" w:color="auto"/>
        <w:bottom w:val="none" w:sz="0" w:space="0" w:color="auto"/>
        <w:right w:val="none" w:sz="0" w:space="0" w:color="auto"/>
      </w:divBdr>
    </w:div>
    <w:div w:id="1431584932">
      <w:bodyDiv w:val="1"/>
      <w:marLeft w:val="0"/>
      <w:marRight w:val="0"/>
      <w:marTop w:val="0"/>
      <w:marBottom w:val="0"/>
      <w:divBdr>
        <w:top w:val="none" w:sz="0" w:space="0" w:color="auto"/>
        <w:left w:val="none" w:sz="0" w:space="0" w:color="auto"/>
        <w:bottom w:val="none" w:sz="0" w:space="0" w:color="auto"/>
        <w:right w:val="none" w:sz="0" w:space="0" w:color="auto"/>
      </w:divBdr>
    </w:div>
    <w:div w:id="1447777425">
      <w:bodyDiv w:val="1"/>
      <w:marLeft w:val="0"/>
      <w:marRight w:val="0"/>
      <w:marTop w:val="0"/>
      <w:marBottom w:val="0"/>
      <w:divBdr>
        <w:top w:val="none" w:sz="0" w:space="0" w:color="auto"/>
        <w:left w:val="none" w:sz="0" w:space="0" w:color="auto"/>
        <w:bottom w:val="none" w:sz="0" w:space="0" w:color="auto"/>
        <w:right w:val="none" w:sz="0" w:space="0" w:color="auto"/>
      </w:divBdr>
    </w:div>
    <w:div w:id="1461142216">
      <w:bodyDiv w:val="1"/>
      <w:marLeft w:val="0"/>
      <w:marRight w:val="0"/>
      <w:marTop w:val="0"/>
      <w:marBottom w:val="0"/>
      <w:divBdr>
        <w:top w:val="none" w:sz="0" w:space="0" w:color="auto"/>
        <w:left w:val="none" w:sz="0" w:space="0" w:color="auto"/>
        <w:bottom w:val="none" w:sz="0" w:space="0" w:color="auto"/>
        <w:right w:val="none" w:sz="0" w:space="0" w:color="auto"/>
      </w:divBdr>
    </w:div>
    <w:div w:id="1461413102">
      <w:bodyDiv w:val="1"/>
      <w:marLeft w:val="0"/>
      <w:marRight w:val="0"/>
      <w:marTop w:val="0"/>
      <w:marBottom w:val="0"/>
      <w:divBdr>
        <w:top w:val="none" w:sz="0" w:space="0" w:color="auto"/>
        <w:left w:val="none" w:sz="0" w:space="0" w:color="auto"/>
        <w:bottom w:val="none" w:sz="0" w:space="0" w:color="auto"/>
        <w:right w:val="none" w:sz="0" w:space="0" w:color="auto"/>
      </w:divBdr>
    </w:div>
    <w:div w:id="1464889684">
      <w:bodyDiv w:val="1"/>
      <w:marLeft w:val="0"/>
      <w:marRight w:val="0"/>
      <w:marTop w:val="0"/>
      <w:marBottom w:val="0"/>
      <w:divBdr>
        <w:top w:val="none" w:sz="0" w:space="0" w:color="auto"/>
        <w:left w:val="none" w:sz="0" w:space="0" w:color="auto"/>
        <w:bottom w:val="none" w:sz="0" w:space="0" w:color="auto"/>
        <w:right w:val="none" w:sz="0" w:space="0" w:color="auto"/>
      </w:divBdr>
    </w:div>
    <w:div w:id="1469128849">
      <w:bodyDiv w:val="1"/>
      <w:marLeft w:val="0"/>
      <w:marRight w:val="0"/>
      <w:marTop w:val="0"/>
      <w:marBottom w:val="0"/>
      <w:divBdr>
        <w:top w:val="none" w:sz="0" w:space="0" w:color="auto"/>
        <w:left w:val="none" w:sz="0" w:space="0" w:color="auto"/>
        <w:bottom w:val="none" w:sz="0" w:space="0" w:color="auto"/>
        <w:right w:val="none" w:sz="0" w:space="0" w:color="auto"/>
      </w:divBdr>
    </w:div>
    <w:div w:id="1470200402">
      <w:bodyDiv w:val="1"/>
      <w:marLeft w:val="0"/>
      <w:marRight w:val="0"/>
      <w:marTop w:val="0"/>
      <w:marBottom w:val="0"/>
      <w:divBdr>
        <w:top w:val="none" w:sz="0" w:space="0" w:color="auto"/>
        <w:left w:val="none" w:sz="0" w:space="0" w:color="auto"/>
        <w:bottom w:val="none" w:sz="0" w:space="0" w:color="auto"/>
        <w:right w:val="none" w:sz="0" w:space="0" w:color="auto"/>
      </w:divBdr>
    </w:div>
    <w:div w:id="1493790060">
      <w:bodyDiv w:val="1"/>
      <w:marLeft w:val="0"/>
      <w:marRight w:val="0"/>
      <w:marTop w:val="0"/>
      <w:marBottom w:val="0"/>
      <w:divBdr>
        <w:top w:val="none" w:sz="0" w:space="0" w:color="auto"/>
        <w:left w:val="none" w:sz="0" w:space="0" w:color="auto"/>
        <w:bottom w:val="none" w:sz="0" w:space="0" w:color="auto"/>
        <w:right w:val="none" w:sz="0" w:space="0" w:color="auto"/>
      </w:divBdr>
      <w:divsChild>
        <w:div w:id="195849999">
          <w:marLeft w:val="0"/>
          <w:marRight w:val="0"/>
          <w:marTop w:val="0"/>
          <w:marBottom w:val="160"/>
          <w:divBdr>
            <w:top w:val="none" w:sz="0" w:space="0" w:color="auto"/>
            <w:left w:val="none" w:sz="0" w:space="0" w:color="auto"/>
            <w:bottom w:val="none" w:sz="0" w:space="0" w:color="auto"/>
            <w:right w:val="none" w:sz="0" w:space="0" w:color="auto"/>
          </w:divBdr>
        </w:div>
        <w:div w:id="312026937">
          <w:marLeft w:val="0"/>
          <w:marRight w:val="0"/>
          <w:marTop w:val="0"/>
          <w:marBottom w:val="160"/>
          <w:divBdr>
            <w:top w:val="none" w:sz="0" w:space="0" w:color="auto"/>
            <w:left w:val="none" w:sz="0" w:space="0" w:color="auto"/>
            <w:bottom w:val="none" w:sz="0" w:space="0" w:color="auto"/>
            <w:right w:val="none" w:sz="0" w:space="0" w:color="auto"/>
          </w:divBdr>
        </w:div>
        <w:div w:id="1052579994">
          <w:marLeft w:val="0"/>
          <w:marRight w:val="0"/>
          <w:marTop w:val="0"/>
          <w:marBottom w:val="160"/>
          <w:divBdr>
            <w:top w:val="none" w:sz="0" w:space="0" w:color="auto"/>
            <w:left w:val="none" w:sz="0" w:space="0" w:color="auto"/>
            <w:bottom w:val="none" w:sz="0" w:space="0" w:color="auto"/>
            <w:right w:val="none" w:sz="0" w:space="0" w:color="auto"/>
          </w:divBdr>
        </w:div>
        <w:div w:id="1125268697">
          <w:marLeft w:val="0"/>
          <w:marRight w:val="0"/>
          <w:marTop w:val="0"/>
          <w:marBottom w:val="160"/>
          <w:divBdr>
            <w:top w:val="none" w:sz="0" w:space="0" w:color="auto"/>
            <w:left w:val="none" w:sz="0" w:space="0" w:color="auto"/>
            <w:bottom w:val="none" w:sz="0" w:space="0" w:color="auto"/>
            <w:right w:val="none" w:sz="0" w:space="0" w:color="auto"/>
          </w:divBdr>
        </w:div>
        <w:div w:id="1590507684">
          <w:marLeft w:val="0"/>
          <w:marRight w:val="0"/>
          <w:marTop w:val="0"/>
          <w:marBottom w:val="160"/>
          <w:divBdr>
            <w:top w:val="none" w:sz="0" w:space="0" w:color="auto"/>
            <w:left w:val="none" w:sz="0" w:space="0" w:color="auto"/>
            <w:bottom w:val="none" w:sz="0" w:space="0" w:color="auto"/>
            <w:right w:val="none" w:sz="0" w:space="0" w:color="auto"/>
          </w:divBdr>
        </w:div>
      </w:divsChild>
    </w:div>
    <w:div w:id="1495608769">
      <w:bodyDiv w:val="1"/>
      <w:marLeft w:val="0"/>
      <w:marRight w:val="0"/>
      <w:marTop w:val="0"/>
      <w:marBottom w:val="0"/>
      <w:divBdr>
        <w:top w:val="none" w:sz="0" w:space="0" w:color="auto"/>
        <w:left w:val="none" w:sz="0" w:space="0" w:color="auto"/>
        <w:bottom w:val="none" w:sz="0" w:space="0" w:color="auto"/>
        <w:right w:val="none" w:sz="0" w:space="0" w:color="auto"/>
      </w:divBdr>
    </w:div>
    <w:div w:id="1498840780">
      <w:bodyDiv w:val="1"/>
      <w:marLeft w:val="0"/>
      <w:marRight w:val="0"/>
      <w:marTop w:val="0"/>
      <w:marBottom w:val="0"/>
      <w:divBdr>
        <w:top w:val="none" w:sz="0" w:space="0" w:color="auto"/>
        <w:left w:val="none" w:sz="0" w:space="0" w:color="auto"/>
        <w:bottom w:val="none" w:sz="0" w:space="0" w:color="auto"/>
        <w:right w:val="none" w:sz="0" w:space="0" w:color="auto"/>
      </w:divBdr>
    </w:div>
    <w:div w:id="1500122716">
      <w:bodyDiv w:val="1"/>
      <w:marLeft w:val="0"/>
      <w:marRight w:val="0"/>
      <w:marTop w:val="0"/>
      <w:marBottom w:val="0"/>
      <w:divBdr>
        <w:top w:val="none" w:sz="0" w:space="0" w:color="auto"/>
        <w:left w:val="none" w:sz="0" w:space="0" w:color="auto"/>
        <w:bottom w:val="none" w:sz="0" w:space="0" w:color="auto"/>
        <w:right w:val="none" w:sz="0" w:space="0" w:color="auto"/>
      </w:divBdr>
    </w:div>
    <w:div w:id="1522696115">
      <w:bodyDiv w:val="1"/>
      <w:marLeft w:val="0"/>
      <w:marRight w:val="0"/>
      <w:marTop w:val="0"/>
      <w:marBottom w:val="0"/>
      <w:divBdr>
        <w:top w:val="none" w:sz="0" w:space="0" w:color="auto"/>
        <w:left w:val="none" w:sz="0" w:space="0" w:color="auto"/>
        <w:bottom w:val="none" w:sz="0" w:space="0" w:color="auto"/>
        <w:right w:val="none" w:sz="0" w:space="0" w:color="auto"/>
      </w:divBdr>
    </w:div>
    <w:div w:id="1545024593">
      <w:bodyDiv w:val="1"/>
      <w:marLeft w:val="0"/>
      <w:marRight w:val="0"/>
      <w:marTop w:val="0"/>
      <w:marBottom w:val="0"/>
      <w:divBdr>
        <w:top w:val="none" w:sz="0" w:space="0" w:color="auto"/>
        <w:left w:val="none" w:sz="0" w:space="0" w:color="auto"/>
        <w:bottom w:val="none" w:sz="0" w:space="0" w:color="auto"/>
        <w:right w:val="none" w:sz="0" w:space="0" w:color="auto"/>
      </w:divBdr>
    </w:div>
    <w:div w:id="1546791622">
      <w:bodyDiv w:val="1"/>
      <w:marLeft w:val="0"/>
      <w:marRight w:val="0"/>
      <w:marTop w:val="0"/>
      <w:marBottom w:val="0"/>
      <w:divBdr>
        <w:top w:val="none" w:sz="0" w:space="0" w:color="auto"/>
        <w:left w:val="none" w:sz="0" w:space="0" w:color="auto"/>
        <w:bottom w:val="none" w:sz="0" w:space="0" w:color="auto"/>
        <w:right w:val="none" w:sz="0" w:space="0" w:color="auto"/>
      </w:divBdr>
    </w:div>
    <w:div w:id="1551266942">
      <w:bodyDiv w:val="1"/>
      <w:marLeft w:val="0"/>
      <w:marRight w:val="0"/>
      <w:marTop w:val="0"/>
      <w:marBottom w:val="0"/>
      <w:divBdr>
        <w:top w:val="none" w:sz="0" w:space="0" w:color="auto"/>
        <w:left w:val="none" w:sz="0" w:space="0" w:color="auto"/>
        <w:bottom w:val="none" w:sz="0" w:space="0" w:color="auto"/>
        <w:right w:val="none" w:sz="0" w:space="0" w:color="auto"/>
      </w:divBdr>
    </w:div>
    <w:div w:id="1553076547">
      <w:bodyDiv w:val="1"/>
      <w:marLeft w:val="0"/>
      <w:marRight w:val="0"/>
      <w:marTop w:val="0"/>
      <w:marBottom w:val="0"/>
      <w:divBdr>
        <w:top w:val="none" w:sz="0" w:space="0" w:color="auto"/>
        <w:left w:val="none" w:sz="0" w:space="0" w:color="auto"/>
        <w:bottom w:val="none" w:sz="0" w:space="0" w:color="auto"/>
        <w:right w:val="none" w:sz="0" w:space="0" w:color="auto"/>
      </w:divBdr>
    </w:div>
    <w:div w:id="1563711033">
      <w:bodyDiv w:val="1"/>
      <w:marLeft w:val="0"/>
      <w:marRight w:val="0"/>
      <w:marTop w:val="0"/>
      <w:marBottom w:val="0"/>
      <w:divBdr>
        <w:top w:val="none" w:sz="0" w:space="0" w:color="auto"/>
        <w:left w:val="none" w:sz="0" w:space="0" w:color="auto"/>
        <w:bottom w:val="none" w:sz="0" w:space="0" w:color="auto"/>
        <w:right w:val="none" w:sz="0" w:space="0" w:color="auto"/>
      </w:divBdr>
    </w:div>
    <w:div w:id="1563758264">
      <w:bodyDiv w:val="1"/>
      <w:marLeft w:val="0"/>
      <w:marRight w:val="0"/>
      <w:marTop w:val="0"/>
      <w:marBottom w:val="0"/>
      <w:divBdr>
        <w:top w:val="none" w:sz="0" w:space="0" w:color="auto"/>
        <w:left w:val="none" w:sz="0" w:space="0" w:color="auto"/>
        <w:bottom w:val="none" w:sz="0" w:space="0" w:color="auto"/>
        <w:right w:val="none" w:sz="0" w:space="0" w:color="auto"/>
      </w:divBdr>
    </w:div>
    <w:div w:id="1565918105">
      <w:bodyDiv w:val="1"/>
      <w:marLeft w:val="0"/>
      <w:marRight w:val="0"/>
      <w:marTop w:val="0"/>
      <w:marBottom w:val="0"/>
      <w:divBdr>
        <w:top w:val="none" w:sz="0" w:space="0" w:color="auto"/>
        <w:left w:val="none" w:sz="0" w:space="0" w:color="auto"/>
        <w:bottom w:val="none" w:sz="0" w:space="0" w:color="auto"/>
        <w:right w:val="none" w:sz="0" w:space="0" w:color="auto"/>
      </w:divBdr>
    </w:div>
    <w:div w:id="1576431412">
      <w:bodyDiv w:val="1"/>
      <w:marLeft w:val="0"/>
      <w:marRight w:val="0"/>
      <w:marTop w:val="0"/>
      <w:marBottom w:val="0"/>
      <w:divBdr>
        <w:top w:val="none" w:sz="0" w:space="0" w:color="auto"/>
        <w:left w:val="none" w:sz="0" w:space="0" w:color="auto"/>
        <w:bottom w:val="none" w:sz="0" w:space="0" w:color="auto"/>
        <w:right w:val="none" w:sz="0" w:space="0" w:color="auto"/>
      </w:divBdr>
    </w:div>
    <w:div w:id="1584878759">
      <w:bodyDiv w:val="1"/>
      <w:marLeft w:val="0"/>
      <w:marRight w:val="0"/>
      <w:marTop w:val="0"/>
      <w:marBottom w:val="0"/>
      <w:divBdr>
        <w:top w:val="none" w:sz="0" w:space="0" w:color="auto"/>
        <w:left w:val="none" w:sz="0" w:space="0" w:color="auto"/>
        <w:bottom w:val="none" w:sz="0" w:space="0" w:color="auto"/>
        <w:right w:val="none" w:sz="0" w:space="0" w:color="auto"/>
      </w:divBdr>
    </w:div>
    <w:div w:id="1585064373">
      <w:bodyDiv w:val="1"/>
      <w:marLeft w:val="0"/>
      <w:marRight w:val="0"/>
      <w:marTop w:val="0"/>
      <w:marBottom w:val="0"/>
      <w:divBdr>
        <w:top w:val="none" w:sz="0" w:space="0" w:color="auto"/>
        <w:left w:val="none" w:sz="0" w:space="0" w:color="auto"/>
        <w:bottom w:val="none" w:sz="0" w:space="0" w:color="auto"/>
        <w:right w:val="none" w:sz="0" w:space="0" w:color="auto"/>
      </w:divBdr>
    </w:div>
    <w:div w:id="1615209597">
      <w:bodyDiv w:val="1"/>
      <w:marLeft w:val="0"/>
      <w:marRight w:val="0"/>
      <w:marTop w:val="0"/>
      <w:marBottom w:val="0"/>
      <w:divBdr>
        <w:top w:val="none" w:sz="0" w:space="0" w:color="auto"/>
        <w:left w:val="none" w:sz="0" w:space="0" w:color="auto"/>
        <w:bottom w:val="none" w:sz="0" w:space="0" w:color="auto"/>
        <w:right w:val="none" w:sz="0" w:space="0" w:color="auto"/>
      </w:divBdr>
    </w:div>
    <w:div w:id="1616447732">
      <w:bodyDiv w:val="1"/>
      <w:marLeft w:val="0"/>
      <w:marRight w:val="0"/>
      <w:marTop w:val="0"/>
      <w:marBottom w:val="0"/>
      <w:divBdr>
        <w:top w:val="none" w:sz="0" w:space="0" w:color="auto"/>
        <w:left w:val="none" w:sz="0" w:space="0" w:color="auto"/>
        <w:bottom w:val="none" w:sz="0" w:space="0" w:color="auto"/>
        <w:right w:val="none" w:sz="0" w:space="0" w:color="auto"/>
      </w:divBdr>
    </w:div>
    <w:div w:id="1618560788">
      <w:bodyDiv w:val="1"/>
      <w:marLeft w:val="0"/>
      <w:marRight w:val="0"/>
      <w:marTop w:val="0"/>
      <w:marBottom w:val="0"/>
      <w:divBdr>
        <w:top w:val="none" w:sz="0" w:space="0" w:color="auto"/>
        <w:left w:val="none" w:sz="0" w:space="0" w:color="auto"/>
        <w:bottom w:val="none" w:sz="0" w:space="0" w:color="auto"/>
        <w:right w:val="none" w:sz="0" w:space="0" w:color="auto"/>
      </w:divBdr>
    </w:div>
    <w:div w:id="1647785254">
      <w:bodyDiv w:val="1"/>
      <w:marLeft w:val="0"/>
      <w:marRight w:val="0"/>
      <w:marTop w:val="0"/>
      <w:marBottom w:val="0"/>
      <w:divBdr>
        <w:top w:val="none" w:sz="0" w:space="0" w:color="auto"/>
        <w:left w:val="none" w:sz="0" w:space="0" w:color="auto"/>
        <w:bottom w:val="none" w:sz="0" w:space="0" w:color="auto"/>
        <w:right w:val="none" w:sz="0" w:space="0" w:color="auto"/>
      </w:divBdr>
    </w:div>
    <w:div w:id="1690910798">
      <w:bodyDiv w:val="1"/>
      <w:marLeft w:val="0"/>
      <w:marRight w:val="0"/>
      <w:marTop w:val="0"/>
      <w:marBottom w:val="0"/>
      <w:divBdr>
        <w:top w:val="none" w:sz="0" w:space="0" w:color="auto"/>
        <w:left w:val="none" w:sz="0" w:space="0" w:color="auto"/>
        <w:bottom w:val="none" w:sz="0" w:space="0" w:color="auto"/>
        <w:right w:val="none" w:sz="0" w:space="0" w:color="auto"/>
      </w:divBdr>
    </w:div>
    <w:div w:id="1693072385">
      <w:bodyDiv w:val="1"/>
      <w:marLeft w:val="0"/>
      <w:marRight w:val="0"/>
      <w:marTop w:val="0"/>
      <w:marBottom w:val="0"/>
      <w:divBdr>
        <w:top w:val="none" w:sz="0" w:space="0" w:color="auto"/>
        <w:left w:val="none" w:sz="0" w:space="0" w:color="auto"/>
        <w:bottom w:val="none" w:sz="0" w:space="0" w:color="auto"/>
        <w:right w:val="none" w:sz="0" w:space="0" w:color="auto"/>
      </w:divBdr>
    </w:div>
    <w:div w:id="1693721744">
      <w:bodyDiv w:val="1"/>
      <w:marLeft w:val="0"/>
      <w:marRight w:val="0"/>
      <w:marTop w:val="0"/>
      <w:marBottom w:val="0"/>
      <w:divBdr>
        <w:top w:val="none" w:sz="0" w:space="0" w:color="auto"/>
        <w:left w:val="none" w:sz="0" w:space="0" w:color="auto"/>
        <w:bottom w:val="none" w:sz="0" w:space="0" w:color="auto"/>
        <w:right w:val="none" w:sz="0" w:space="0" w:color="auto"/>
      </w:divBdr>
    </w:div>
    <w:div w:id="1707023312">
      <w:bodyDiv w:val="1"/>
      <w:marLeft w:val="0"/>
      <w:marRight w:val="0"/>
      <w:marTop w:val="0"/>
      <w:marBottom w:val="0"/>
      <w:divBdr>
        <w:top w:val="none" w:sz="0" w:space="0" w:color="auto"/>
        <w:left w:val="none" w:sz="0" w:space="0" w:color="auto"/>
        <w:bottom w:val="none" w:sz="0" w:space="0" w:color="auto"/>
        <w:right w:val="none" w:sz="0" w:space="0" w:color="auto"/>
      </w:divBdr>
    </w:div>
    <w:div w:id="1725979967">
      <w:bodyDiv w:val="1"/>
      <w:marLeft w:val="0"/>
      <w:marRight w:val="0"/>
      <w:marTop w:val="0"/>
      <w:marBottom w:val="0"/>
      <w:divBdr>
        <w:top w:val="none" w:sz="0" w:space="0" w:color="auto"/>
        <w:left w:val="none" w:sz="0" w:space="0" w:color="auto"/>
        <w:bottom w:val="none" w:sz="0" w:space="0" w:color="auto"/>
        <w:right w:val="none" w:sz="0" w:space="0" w:color="auto"/>
      </w:divBdr>
    </w:div>
    <w:div w:id="1726493197">
      <w:bodyDiv w:val="1"/>
      <w:marLeft w:val="0"/>
      <w:marRight w:val="0"/>
      <w:marTop w:val="0"/>
      <w:marBottom w:val="0"/>
      <w:divBdr>
        <w:top w:val="none" w:sz="0" w:space="0" w:color="auto"/>
        <w:left w:val="none" w:sz="0" w:space="0" w:color="auto"/>
        <w:bottom w:val="none" w:sz="0" w:space="0" w:color="auto"/>
        <w:right w:val="none" w:sz="0" w:space="0" w:color="auto"/>
      </w:divBdr>
    </w:div>
    <w:div w:id="1732119649">
      <w:bodyDiv w:val="1"/>
      <w:marLeft w:val="0"/>
      <w:marRight w:val="0"/>
      <w:marTop w:val="0"/>
      <w:marBottom w:val="0"/>
      <w:divBdr>
        <w:top w:val="none" w:sz="0" w:space="0" w:color="auto"/>
        <w:left w:val="none" w:sz="0" w:space="0" w:color="auto"/>
        <w:bottom w:val="none" w:sz="0" w:space="0" w:color="auto"/>
        <w:right w:val="none" w:sz="0" w:space="0" w:color="auto"/>
      </w:divBdr>
    </w:div>
    <w:div w:id="1736198603">
      <w:bodyDiv w:val="1"/>
      <w:marLeft w:val="0"/>
      <w:marRight w:val="0"/>
      <w:marTop w:val="0"/>
      <w:marBottom w:val="0"/>
      <w:divBdr>
        <w:top w:val="none" w:sz="0" w:space="0" w:color="auto"/>
        <w:left w:val="none" w:sz="0" w:space="0" w:color="auto"/>
        <w:bottom w:val="none" w:sz="0" w:space="0" w:color="auto"/>
        <w:right w:val="none" w:sz="0" w:space="0" w:color="auto"/>
      </w:divBdr>
    </w:div>
    <w:div w:id="1745641754">
      <w:bodyDiv w:val="1"/>
      <w:marLeft w:val="0"/>
      <w:marRight w:val="0"/>
      <w:marTop w:val="0"/>
      <w:marBottom w:val="0"/>
      <w:divBdr>
        <w:top w:val="none" w:sz="0" w:space="0" w:color="auto"/>
        <w:left w:val="none" w:sz="0" w:space="0" w:color="auto"/>
        <w:bottom w:val="none" w:sz="0" w:space="0" w:color="auto"/>
        <w:right w:val="none" w:sz="0" w:space="0" w:color="auto"/>
      </w:divBdr>
    </w:div>
    <w:div w:id="1748842954">
      <w:bodyDiv w:val="1"/>
      <w:marLeft w:val="0"/>
      <w:marRight w:val="0"/>
      <w:marTop w:val="0"/>
      <w:marBottom w:val="0"/>
      <w:divBdr>
        <w:top w:val="none" w:sz="0" w:space="0" w:color="auto"/>
        <w:left w:val="none" w:sz="0" w:space="0" w:color="auto"/>
        <w:bottom w:val="none" w:sz="0" w:space="0" w:color="auto"/>
        <w:right w:val="none" w:sz="0" w:space="0" w:color="auto"/>
      </w:divBdr>
    </w:div>
    <w:div w:id="1755974369">
      <w:bodyDiv w:val="1"/>
      <w:marLeft w:val="0"/>
      <w:marRight w:val="0"/>
      <w:marTop w:val="0"/>
      <w:marBottom w:val="0"/>
      <w:divBdr>
        <w:top w:val="none" w:sz="0" w:space="0" w:color="auto"/>
        <w:left w:val="none" w:sz="0" w:space="0" w:color="auto"/>
        <w:bottom w:val="none" w:sz="0" w:space="0" w:color="auto"/>
        <w:right w:val="none" w:sz="0" w:space="0" w:color="auto"/>
      </w:divBdr>
    </w:div>
    <w:div w:id="1763644782">
      <w:bodyDiv w:val="1"/>
      <w:marLeft w:val="0"/>
      <w:marRight w:val="0"/>
      <w:marTop w:val="0"/>
      <w:marBottom w:val="0"/>
      <w:divBdr>
        <w:top w:val="none" w:sz="0" w:space="0" w:color="auto"/>
        <w:left w:val="none" w:sz="0" w:space="0" w:color="auto"/>
        <w:bottom w:val="none" w:sz="0" w:space="0" w:color="auto"/>
        <w:right w:val="none" w:sz="0" w:space="0" w:color="auto"/>
      </w:divBdr>
    </w:div>
    <w:div w:id="1768384362">
      <w:bodyDiv w:val="1"/>
      <w:marLeft w:val="0"/>
      <w:marRight w:val="0"/>
      <w:marTop w:val="0"/>
      <w:marBottom w:val="0"/>
      <w:divBdr>
        <w:top w:val="none" w:sz="0" w:space="0" w:color="auto"/>
        <w:left w:val="none" w:sz="0" w:space="0" w:color="auto"/>
        <w:bottom w:val="none" w:sz="0" w:space="0" w:color="auto"/>
        <w:right w:val="none" w:sz="0" w:space="0" w:color="auto"/>
      </w:divBdr>
    </w:div>
    <w:div w:id="1768693466">
      <w:bodyDiv w:val="1"/>
      <w:marLeft w:val="0"/>
      <w:marRight w:val="0"/>
      <w:marTop w:val="0"/>
      <w:marBottom w:val="0"/>
      <w:divBdr>
        <w:top w:val="none" w:sz="0" w:space="0" w:color="auto"/>
        <w:left w:val="none" w:sz="0" w:space="0" w:color="auto"/>
        <w:bottom w:val="none" w:sz="0" w:space="0" w:color="auto"/>
        <w:right w:val="none" w:sz="0" w:space="0" w:color="auto"/>
      </w:divBdr>
    </w:div>
    <w:div w:id="1776054694">
      <w:bodyDiv w:val="1"/>
      <w:marLeft w:val="0"/>
      <w:marRight w:val="0"/>
      <w:marTop w:val="0"/>
      <w:marBottom w:val="0"/>
      <w:divBdr>
        <w:top w:val="none" w:sz="0" w:space="0" w:color="auto"/>
        <w:left w:val="none" w:sz="0" w:space="0" w:color="auto"/>
        <w:bottom w:val="none" w:sz="0" w:space="0" w:color="auto"/>
        <w:right w:val="none" w:sz="0" w:space="0" w:color="auto"/>
      </w:divBdr>
    </w:div>
    <w:div w:id="1777209476">
      <w:bodyDiv w:val="1"/>
      <w:marLeft w:val="0"/>
      <w:marRight w:val="0"/>
      <w:marTop w:val="0"/>
      <w:marBottom w:val="0"/>
      <w:divBdr>
        <w:top w:val="none" w:sz="0" w:space="0" w:color="auto"/>
        <w:left w:val="none" w:sz="0" w:space="0" w:color="auto"/>
        <w:bottom w:val="none" w:sz="0" w:space="0" w:color="auto"/>
        <w:right w:val="none" w:sz="0" w:space="0" w:color="auto"/>
      </w:divBdr>
    </w:div>
    <w:div w:id="1785925420">
      <w:bodyDiv w:val="1"/>
      <w:marLeft w:val="0"/>
      <w:marRight w:val="0"/>
      <w:marTop w:val="0"/>
      <w:marBottom w:val="0"/>
      <w:divBdr>
        <w:top w:val="none" w:sz="0" w:space="0" w:color="auto"/>
        <w:left w:val="none" w:sz="0" w:space="0" w:color="auto"/>
        <w:bottom w:val="none" w:sz="0" w:space="0" w:color="auto"/>
        <w:right w:val="none" w:sz="0" w:space="0" w:color="auto"/>
      </w:divBdr>
    </w:div>
    <w:div w:id="1786268335">
      <w:bodyDiv w:val="1"/>
      <w:marLeft w:val="0"/>
      <w:marRight w:val="0"/>
      <w:marTop w:val="0"/>
      <w:marBottom w:val="0"/>
      <w:divBdr>
        <w:top w:val="none" w:sz="0" w:space="0" w:color="auto"/>
        <w:left w:val="none" w:sz="0" w:space="0" w:color="auto"/>
        <w:bottom w:val="none" w:sz="0" w:space="0" w:color="auto"/>
        <w:right w:val="none" w:sz="0" w:space="0" w:color="auto"/>
      </w:divBdr>
    </w:div>
    <w:div w:id="1804230484">
      <w:bodyDiv w:val="1"/>
      <w:marLeft w:val="0"/>
      <w:marRight w:val="0"/>
      <w:marTop w:val="0"/>
      <w:marBottom w:val="0"/>
      <w:divBdr>
        <w:top w:val="none" w:sz="0" w:space="0" w:color="auto"/>
        <w:left w:val="none" w:sz="0" w:space="0" w:color="auto"/>
        <w:bottom w:val="none" w:sz="0" w:space="0" w:color="auto"/>
        <w:right w:val="none" w:sz="0" w:space="0" w:color="auto"/>
      </w:divBdr>
    </w:div>
    <w:div w:id="1807359191">
      <w:bodyDiv w:val="1"/>
      <w:marLeft w:val="0"/>
      <w:marRight w:val="0"/>
      <w:marTop w:val="0"/>
      <w:marBottom w:val="0"/>
      <w:divBdr>
        <w:top w:val="none" w:sz="0" w:space="0" w:color="auto"/>
        <w:left w:val="none" w:sz="0" w:space="0" w:color="auto"/>
        <w:bottom w:val="none" w:sz="0" w:space="0" w:color="auto"/>
        <w:right w:val="none" w:sz="0" w:space="0" w:color="auto"/>
      </w:divBdr>
    </w:div>
    <w:div w:id="1807695543">
      <w:bodyDiv w:val="1"/>
      <w:marLeft w:val="0"/>
      <w:marRight w:val="0"/>
      <w:marTop w:val="0"/>
      <w:marBottom w:val="0"/>
      <w:divBdr>
        <w:top w:val="none" w:sz="0" w:space="0" w:color="auto"/>
        <w:left w:val="none" w:sz="0" w:space="0" w:color="auto"/>
        <w:bottom w:val="none" w:sz="0" w:space="0" w:color="auto"/>
        <w:right w:val="none" w:sz="0" w:space="0" w:color="auto"/>
      </w:divBdr>
    </w:div>
    <w:div w:id="1815640319">
      <w:bodyDiv w:val="1"/>
      <w:marLeft w:val="0"/>
      <w:marRight w:val="0"/>
      <w:marTop w:val="0"/>
      <w:marBottom w:val="0"/>
      <w:divBdr>
        <w:top w:val="none" w:sz="0" w:space="0" w:color="auto"/>
        <w:left w:val="none" w:sz="0" w:space="0" w:color="auto"/>
        <w:bottom w:val="none" w:sz="0" w:space="0" w:color="auto"/>
        <w:right w:val="none" w:sz="0" w:space="0" w:color="auto"/>
      </w:divBdr>
    </w:div>
    <w:div w:id="1821733121">
      <w:bodyDiv w:val="1"/>
      <w:marLeft w:val="0"/>
      <w:marRight w:val="0"/>
      <w:marTop w:val="0"/>
      <w:marBottom w:val="0"/>
      <w:divBdr>
        <w:top w:val="none" w:sz="0" w:space="0" w:color="auto"/>
        <w:left w:val="none" w:sz="0" w:space="0" w:color="auto"/>
        <w:bottom w:val="none" w:sz="0" w:space="0" w:color="auto"/>
        <w:right w:val="none" w:sz="0" w:space="0" w:color="auto"/>
      </w:divBdr>
    </w:div>
    <w:div w:id="1833636866">
      <w:bodyDiv w:val="1"/>
      <w:marLeft w:val="0"/>
      <w:marRight w:val="0"/>
      <w:marTop w:val="0"/>
      <w:marBottom w:val="0"/>
      <w:divBdr>
        <w:top w:val="none" w:sz="0" w:space="0" w:color="auto"/>
        <w:left w:val="none" w:sz="0" w:space="0" w:color="auto"/>
        <w:bottom w:val="none" w:sz="0" w:space="0" w:color="auto"/>
        <w:right w:val="none" w:sz="0" w:space="0" w:color="auto"/>
      </w:divBdr>
    </w:div>
    <w:div w:id="1837189555">
      <w:bodyDiv w:val="1"/>
      <w:marLeft w:val="0"/>
      <w:marRight w:val="0"/>
      <w:marTop w:val="0"/>
      <w:marBottom w:val="0"/>
      <w:divBdr>
        <w:top w:val="none" w:sz="0" w:space="0" w:color="auto"/>
        <w:left w:val="none" w:sz="0" w:space="0" w:color="auto"/>
        <w:bottom w:val="none" w:sz="0" w:space="0" w:color="auto"/>
        <w:right w:val="none" w:sz="0" w:space="0" w:color="auto"/>
      </w:divBdr>
    </w:div>
    <w:div w:id="1854873854">
      <w:bodyDiv w:val="1"/>
      <w:marLeft w:val="0"/>
      <w:marRight w:val="0"/>
      <w:marTop w:val="0"/>
      <w:marBottom w:val="0"/>
      <w:divBdr>
        <w:top w:val="none" w:sz="0" w:space="0" w:color="auto"/>
        <w:left w:val="none" w:sz="0" w:space="0" w:color="auto"/>
        <w:bottom w:val="none" w:sz="0" w:space="0" w:color="auto"/>
        <w:right w:val="none" w:sz="0" w:space="0" w:color="auto"/>
      </w:divBdr>
    </w:div>
    <w:div w:id="1865823998">
      <w:bodyDiv w:val="1"/>
      <w:marLeft w:val="0"/>
      <w:marRight w:val="0"/>
      <w:marTop w:val="0"/>
      <w:marBottom w:val="0"/>
      <w:divBdr>
        <w:top w:val="none" w:sz="0" w:space="0" w:color="auto"/>
        <w:left w:val="none" w:sz="0" w:space="0" w:color="auto"/>
        <w:bottom w:val="none" w:sz="0" w:space="0" w:color="auto"/>
        <w:right w:val="none" w:sz="0" w:space="0" w:color="auto"/>
      </w:divBdr>
    </w:div>
    <w:div w:id="1894925348">
      <w:bodyDiv w:val="1"/>
      <w:marLeft w:val="0"/>
      <w:marRight w:val="0"/>
      <w:marTop w:val="0"/>
      <w:marBottom w:val="0"/>
      <w:divBdr>
        <w:top w:val="none" w:sz="0" w:space="0" w:color="auto"/>
        <w:left w:val="none" w:sz="0" w:space="0" w:color="auto"/>
        <w:bottom w:val="none" w:sz="0" w:space="0" w:color="auto"/>
        <w:right w:val="none" w:sz="0" w:space="0" w:color="auto"/>
      </w:divBdr>
    </w:div>
    <w:div w:id="1895583423">
      <w:bodyDiv w:val="1"/>
      <w:marLeft w:val="0"/>
      <w:marRight w:val="0"/>
      <w:marTop w:val="0"/>
      <w:marBottom w:val="0"/>
      <w:divBdr>
        <w:top w:val="none" w:sz="0" w:space="0" w:color="auto"/>
        <w:left w:val="none" w:sz="0" w:space="0" w:color="auto"/>
        <w:bottom w:val="none" w:sz="0" w:space="0" w:color="auto"/>
        <w:right w:val="none" w:sz="0" w:space="0" w:color="auto"/>
      </w:divBdr>
    </w:div>
    <w:div w:id="1904291980">
      <w:bodyDiv w:val="1"/>
      <w:marLeft w:val="0"/>
      <w:marRight w:val="0"/>
      <w:marTop w:val="0"/>
      <w:marBottom w:val="0"/>
      <w:divBdr>
        <w:top w:val="none" w:sz="0" w:space="0" w:color="auto"/>
        <w:left w:val="none" w:sz="0" w:space="0" w:color="auto"/>
        <w:bottom w:val="none" w:sz="0" w:space="0" w:color="auto"/>
        <w:right w:val="none" w:sz="0" w:space="0" w:color="auto"/>
      </w:divBdr>
    </w:div>
    <w:div w:id="1909460531">
      <w:bodyDiv w:val="1"/>
      <w:marLeft w:val="0"/>
      <w:marRight w:val="0"/>
      <w:marTop w:val="0"/>
      <w:marBottom w:val="0"/>
      <w:divBdr>
        <w:top w:val="none" w:sz="0" w:space="0" w:color="auto"/>
        <w:left w:val="none" w:sz="0" w:space="0" w:color="auto"/>
        <w:bottom w:val="none" w:sz="0" w:space="0" w:color="auto"/>
        <w:right w:val="none" w:sz="0" w:space="0" w:color="auto"/>
      </w:divBdr>
    </w:div>
    <w:div w:id="1911035699">
      <w:bodyDiv w:val="1"/>
      <w:marLeft w:val="0"/>
      <w:marRight w:val="0"/>
      <w:marTop w:val="0"/>
      <w:marBottom w:val="0"/>
      <w:divBdr>
        <w:top w:val="none" w:sz="0" w:space="0" w:color="auto"/>
        <w:left w:val="none" w:sz="0" w:space="0" w:color="auto"/>
        <w:bottom w:val="none" w:sz="0" w:space="0" w:color="auto"/>
        <w:right w:val="none" w:sz="0" w:space="0" w:color="auto"/>
      </w:divBdr>
    </w:div>
    <w:div w:id="1918326314">
      <w:bodyDiv w:val="1"/>
      <w:marLeft w:val="0"/>
      <w:marRight w:val="0"/>
      <w:marTop w:val="0"/>
      <w:marBottom w:val="0"/>
      <w:divBdr>
        <w:top w:val="none" w:sz="0" w:space="0" w:color="auto"/>
        <w:left w:val="none" w:sz="0" w:space="0" w:color="auto"/>
        <w:bottom w:val="none" w:sz="0" w:space="0" w:color="auto"/>
        <w:right w:val="none" w:sz="0" w:space="0" w:color="auto"/>
      </w:divBdr>
    </w:div>
    <w:div w:id="1932423558">
      <w:bodyDiv w:val="1"/>
      <w:marLeft w:val="0"/>
      <w:marRight w:val="0"/>
      <w:marTop w:val="0"/>
      <w:marBottom w:val="0"/>
      <w:divBdr>
        <w:top w:val="none" w:sz="0" w:space="0" w:color="auto"/>
        <w:left w:val="none" w:sz="0" w:space="0" w:color="auto"/>
        <w:bottom w:val="none" w:sz="0" w:space="0" w:color="auto"/>
        <w:right w:val="none" w:sz="0" w:space="0" w:color="auto"/>
      </w:divBdr>
    </w:div>
    <w:div w:id="1960911824">
      <w:bodyDiv w:val="1"/>
      <w:marLeft w:val="0"/>
      <w:marRight w:val="0"/>
      <w:marTop w:val="0"/>
      <w:marBottom w:val="0"/>
      <w:divBdr>
        <w:top w:val="none" w:sz="0" w:space="0" w:color="auto"/>
        <w:left w:val="none" w:sz="0" w:space="0" w:color="auto"/>
        <w:bottom w:val="none" w:sz="0" w:space="0" w:color="auto"/>
        <w:right w:val="none" w:sz="0" w:space="0" w:color="auto"/>
      </w:divBdr>
    </w:div>
    <w:div w:id="1965111554">
      <w:bodyDiv w:val="1"/>
      <w:marLeft w:val="0"/>
      <w:marRight w:val="0"/>
      <w:marTop w:val="0"/>
      <w:marBottom w:val="0"/>
      <w:divBdr>
        <w:top w:val="none" w:sz="0" w:space="0" w:color="auto"/>
        <w:left w:val="none" w:sz="0" w:space="0" w:color="auto"/>
        <w:bottom w:val="none" w:sz="0" w:space="0" w:color="auto"/>
        <w:right w:val="none" w:sz="0" w:space="0" w:color="auto"/>
      </w:divBdr>
    </w:div>
    <w:div w:id="1984698723">
      <w:bodyDiv w:val="1"/>
      <w:marLeft w:val="0"/>
      <w:marRight w:val="0"/>
      <w:marTop w:val="0"/>
      <w:marBottom w:val="0"/>
      <w:divBdr>
        <w:top w:val="none" w:sz="0" w:space="0" w:color="auto"/>
        <w:left w:val="none" w:sz="0" w:space="0" w:color="auto"/>
        <w:bottom w:val="none" w:sz="0" w:space="0" w:color="auto"/>
        <w:right w:val="none" w:sz="0" w:space="0" w:color="auto"/>
      </w:divBdr>
    </w:div>
    <w:div w:id="1986161304">
      <w:bodyDiv w:val="1"/>
      <w:marLeft w:val="0"/>
      <w:marRight w:val="0"/>
      <w:marTop w:val="0"/>
      <w:marBottom w:val="0"/>
      <w:divBdr>
        <w:top w:val="none" w:sz="0" w:space="0" w:color="auto"/>
        <w:left w:val="none" w:sz="0" w:space="0" w:color="auto"/>
        <w:bottom w:val="none" w:sz="0" w:space="0" w:color="auto"/>
        <w:right w:val="none" w:sz="0" w:space="0" w:color="auto"/>
      </w:divBdr>
    </w:div>
    <w:div w:id="1987465762">
      <w:bodyDiv w:val="1"/>
      <w:marLeft w:val="0"/>
      <w:marRight w:val="0"/>
      <w:marTop w:val="0"/>
      <w:marBottom w:val="0"/>
      <w:divBdr>
        <w:top w:val="none" w:sz="0" w:space="0" w:color="auto"/>
        <w:left w:val="none" w:sz="0" w:space="0" w:color="auto"/>
        <w:bottom w:val="none" w:sz="0" w:space="0" w:color="auto"/>
        <w:right w:val="none" w:sz="0" w:space="0" w:color="auto"/>
      </w:divBdr>
    </w:div>
    <w:div w:id="1993481163">
      <w:bodyDiv w:val="1"/>
      <w:marLeft w:val="0"/>
      <w:marRight w:val="0"/>
      <w:marTop w:val="0"/>
      <w:marBottom w:val="0"/>
      <w:divBdr>
        <w:top w:val="none" w:sz="0" w:space="0" w:color="auto"/>
        <w:left w:val="none" w:sz="0" w:space="0" w:color="auto"/>
        <w:bottom w:val="none" w:sz="0" w:space="0" w:color="auto"/>
        <w:right w:val="none" w:sz="0" w:space="0" w:color="auto"/>
      </w:divBdr>
    </w:div>
    <w:div w:id="1997033086">
      <w:bodyDiv w:val="1"/>
      <w:marLeft w:val="0"/>
      <w:marRight w:val="0"/>
      <w:marTop w:val="0"/>
      <w:marBottom w:val="0"/>
      <w:divBdr>
        <w:top w:val="none" w:sz="0" w:space="0" w:color="auto"/>
        <w:left w:val="none" w:sz="0" w:space="0" w:color="auto"/>
        <w:bottom w:val="none" w:sz="0" w:space="0" w:color="auto"/>
        <w:right w:val="none" w:sz="0" w:space="0" w:color="auto"/>
      </w:divBdr>
    </w:div>
    <w:div w:id="1998681715">
      <w:bodyDiv w:val="1"/>
      <w:marLeft w:val="0"/>
      <w:marRight w:val="0"/>
      <w:marTop w:val="0"/>
      <w:marBottom w:val="0"/>
      <w:divBdr>
        <w:top w:val="none" w:sz="0" w:space="0" w:color="auto"/>
        <w:left w:val="none" w:sz="0" w:space="0" w:color="auto"/>
        <w:bottom w:val="none" w:sz="0" w:space="0" w:color="auto"/>
        <w:right w:val="none" w:sz="0" w:space="0" w:color="auto"/>
      </w:divBdr>
    </w:div>
    <w:div w:id="1999190438">
      <w:bodyDiv w:val="1"/>
      <w:marLeft w:val="0"/>
      <w:marRight w:val="0"/>
      <w:marTop w:val="0"/>
      <w:marBottom w:val="0"/>
      <w:divBdr>
        <w:top w:val="none" w:sz="0" w:space="0" w:color="auto"/>
        <w:left w:val="none" w:sz="0" w:space="0" w:color="auto"/>
        <w:bottom w:val="none" w:sz="0" w:space="0" w:color="auto"/>
        <w:right w:val="none" w:sz="0" w:space="0" w:color="auto"/>
      </w:divBdr>
    </w:div>
    <w:div w:id="1999459337">
      <w:bodyDiv w:val="1"/>
      <w:marLeft w:val="0"/>
      <w:marRight w:val="0"/>
      <w:marTop w:val="0"/>
      <w:marBottom w:val="0"/>
      <w:divBdr>
        <w:top w:val="none" w:sz="0" w:space="0" w:color="auto"/>
        <w:left w:val="none" w:sz="0" w:space="0" w:color="auto"/>
        <w:bottom w:val="none" w:sz="0" w:space="0" w:color="auto"/>
        <w:right w:val="none" w:sz="0" w:space="0" w:color="auto"/>
      </w:divBdr>
    </w:div>
    <w:div w:id="2011059523">
      <w:bodyDiv w:val="1"/>
      <w:marLeft w:val="0"/>
      <w:marRight w:val="0"/>
      <w:marTop w:val="0"/>
      <w:marBottom w:val="0"/>
      <w:divBdr>
        <w:top w:val="none" w:sz="0" w:space="0" w:color="auto"/>
        <w:left w:val="none" w:sz="0" w:space="0" w:color="auto"/>
        <w:bottom w:val="none" w:sz="0" w:space="0" w:color="auto"/>
        <w:right w:val="none" w:sz="0" w:space="0" w:color="auto"/>
      </w:divBdr>
    </w:div>
    <w:div w:id="2040272405">
      <w:bodyDiv w:val="1"/>
      <w:marLeft w:val="0"/>
      <w:marRight w:val="0"/>
      <w:marTop w:val="0"/>
      <w:marBottom w:val="0"/>
      <w:divBdr>
        <w:top w:val="none" w:sz="0" w:space="0" w:color="auto"/>
        <w:left w:val="none" w:sz="0" w:space="0" w:color="auto"/>
        <w:bottom w:val="none" w:sz="0" w:space="0" w:color="auto"/>
        <w:right w:val="none" w:sz="0" w:space="0" w:color="auto"/>
      </w:divBdr>
    </w:div>
    <w:div w:id="2041397044">
      <w:bodyDiv w:val="1"/>
      <w:marLeft w:val="0"/>
      <w:marRight w:val="0"/>
      <w:marTop w:val="0"/>
      <w:marBottom w:val="0"/>
      <w:divBdr>
        <w:top w:val="none" w:sz="0" w:space="0" w:color="auto"/>
        <w:left w:val="none" w:sz="0" w:space="0" w:color="auto"/>
        <w:bottom w:val="none" w:sz="0" w:space="0" w:color="auto"/>
        <w:right w:val="none" w:sz="0" w:space="0" w:color="auto"/>
      </w:divBdr>
    </w:div>
    <w:div w:id="2046367418">
      <w:bodyDiv w:val="1"/>
      <w:marLeft w:val="0"/>
      <w:marRight w:val="0"/>
      <w:marTop w:val="0"/>
      <w:marBottom w:val="0"/>
      <w:divBdr>
        <w:top w:val="none" w:sz="0" w:space="0" w:color="auto"/>
        <w:left w:val="none" w:sz="0" w:space="0" w:color="auto"/>
        <w:bottom w:val="none" w:sz="0" w:space="0" w:color="auto"/>
        <w:right w:val="none" w:sz="0" w:space="0" w:color="auto"/>
      </w:divBdr>
    </w:div>
    <w:div w:id="2071807562">
      <w:bodyDiv w:val="1"/>
      <w:marLeft w:val="0"/>
      <w:marRight w:val="0"/>
      <w:marTop w:val="0"/>
      <w:marBottom w:val="0"/>
      <w:divBdr>
        <w:top w:val="none" w:sz="0" w:space="0" w:color="auto"/>
        <w:left w:val="none" w:sz="0" w:space="0" w:color="auto"/>
        <w:bottom w:val="none" w:sz="0" w:space="0" w:color="auto"/>
        <w:right w:val="none" w:sz="0" w:space="0" w:color="auto"/>
      </w:divBdr>
    </w:div>
    <w:div w:id="2088110681">
      <w:bodyDiv w:val="1"/>
      <w:marLeft w:val="0"/>
      <w:marRight w:val="0"/>
      <w:marTop w:val="0"/>
      <w:marBottom w:val="0"/>
      <w:divBdr>
        <w:top w:val="none" w:sz="0" w:space="0" w:color="auto"/>
        <w:left w:val="none" w:sz="0" w:space="0" w:color="auto"/>
        <w:bottom w:val="none" w:sz="0" w:space="0" w:color="auto"/>
        <w:right w:val="none" w:sz="0" w:space="0" w:color="auto"/>
      </w:divBdr>
    </w:div>
    <w:div w:id="2105153577">
      <w:bodyDiv w:val="1"/>
      <w:marLeft w:val="0"/>
      <w:marRight w:val="0"/>
      <w:marTop w:val="0"/>
      <w:marBottom w:val="0"/>
      <w:divBdr>
        <w:top w:val="none" w:sz="0" w:space="0" w:color="auto"/>
        <w:left w:val="none" w:sz="0" w:space="0" w:color="auto"/>
        <w:bottom w:val="none" w:sz="0" w:space="0" w:color="auto"/>
        <w:right w:val="none" w:sz="0" w:space="0" w:color="auto"/>
      </w:divBdr>
    </w:div>
    <w:div w:id="2107918346">
      <w:bodyDiv w:val="1"/>
      <w:marLeft w:val="0"/>
      <w:marRight w:val="0"/>
      <w:marTop w:val="0"/>
      <w:marBottom w:val="0"/>
      <w:divBdr>
        <w:top w:val="none" w:sz="0" w:space="0" w:color="auto"/>
        <w:left w:val="none" w:sz="0" w:space="0" w:color="auto"/>
        <w:bottom w:val="none" w:sz="0" w:space="0" w:color="auto"/>
        <w:right w:val="none" w:sz="0" w:space="0" w:color="auto"/>
      </w:divBdr>
    </w:div>
    <w:div w:id="2113429288">
      <w:bodyDiv w:val="1"/>
      <w:marLeft w:val="0"/>
      <w:marRight w:val="0"/>
      <w:marTop w:val="0"/>
      <w:marBottom w:val="0"/>
      <w:divBdr>
        <w:top w:val="none" w:sz="0" w:space="0" w:color="auto"/>
        <w:left w:val="none" w:sz="0" w:space="0" w:color="auto"/>
        <w:bottom w:val="none" w:sz="0" w:space="0" w:color="auto"/>
        <w:right w:val="none" w:sz="0" w:space="0" w:color="auto"/>
      </w:divBdr>
    </w:div>
    <w:div w:id="2117363196">
      <w:bodyDiv w:val="1"/>
      <w:marLeft w:val="0"/>
      <w:marRight w:val="0"/>
      <w:marTop w:val="0"/>
      <w:marBottom w:val="0"/>
      <w:divBdr>
        <w:top w:val="none" w:sz="0" w:space="0" w:color="auto"/>
        <w:left w:val="none" w:sz="0" w:space="0" w:color="auto"/>
        <w:bottom w:val="none" w:sz="0" w:space="0" w:color="auto"/>
        <w:right w:val="none" w:sz="0" w:space="0" w:color="auto"/>
      </w:divBdr>
    </w:div>
    <w:div w:id="2123913364">
      <w:bodyDiv w:val="1"/>
      <w:marLeft w:val="0"/>
      <w:marRight w:val="0"/>
      <w:marTop w:val="0"/>
      <w:marBottom w:val="0"/>
      <w:divBdr>
        <w:top w:val="none" w:sz="0" w:space="0" w:color="auto"/>
        <w:left w:val="none" w:sz="0" w:space="0" w:color="auto"/>
        <w:bottom w:val="none" w:sz="0" w:space="0" w:color="auto"/>
        <w:right w:val="none" w:sz="0" w:space="0" w:color="auto"/>
      </w:divBdr>
    </w:div>
    <w:div w:id="2127308150">
      <w:bodyDiv w:val="1"/>
      <w:marLeft w:val="0"/>
      <w:marRight w:val="0"/>
      <w:marTop w:val="0"/>
      <w:marBottom w:val="0"/>
      <w:divBdr>
        <w:top w:val="none" w:sz="0" w:space="0" w:color="auto"/>
        <w:left w:val="none" w:sz="0" w:space="0" w:color="auto"/>
        <w:bottom w:val="none" w:sz="0" w:space="0" w:color="auto"/>
        <w:right w:val="none" w:sz="0" w:space="0" w:color="auto"/>
      </w:divBdr>
    </w:div>
    <w:div w:id="2130737363">
      <w:bodyDiv w:val="1"/>
      <w:marLeft w:val="0"/>
      <w:marRight w:val="0"/>
      <w:marTop w:val="0"/>
      <w:marBottom w:val="0"/>
      <w:divBdr>
        <w:top w:val="none" w:sz="0" w:space="0" w:color="auto"/>
        <w:left w:val="none" w:sz="0" w:space="0" w:color="auto"/>
        <w:bottom w:val="none" w:sz="0" w:space="0" w:color="auto"/>
        <w:right w:val="none" w:sz="0" w:space="0" w:color="auto"/>
      </w:divBdr>
    </w:div>
    <w:div w:id="2134204420">
      <w:bodyDiv w:val="1"/>
      <w:marLeft w:val="0"/>
      <w:marRight w:val="0"/>
      <w:marTop w:val="0"/>
      <w:marBottom w:val="0"/>
      <w:divBdr>
        <w:top w:val="none" w:sz="0" w:space="0" w:color="auto"/>
        <w:left w:val="none" w:sz="0" w:space="0" w:color="auto"/>
        <w:bottom w:val="none" w:sz="0" w:space="0" w:color="auto"/>
        <w:right w:val="none" w:sz="0" w:space="0" w:color="auto"/>
      </w:divBdr>
    </w:div>
    <w:div w:id="2135514106">
      <w:bodyDiv w:val="1"/>
      <w:marLeft w:val="0"/>
      <w:marRight w:val="0"/>
      <w:marTop w:val="0"/>
      <w:marBottom w:val="0"/>
      <w:divBdr>
        <w:top w:val="none" w:sz="0" w:space="0" w:color="auto"/>
        <w:left w:val="none" w:sz="0" w:space="0" w:color="auto"/>
        <w:bottom w:val="none" w:sz="0" w:space="0" w:color="auto"/>
        <w:right w:val="none" w:sz="0" w:space="0" w:color="auto"/>
      </w:divBdr>
    </w:div>
    <w:div w:id="21424599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cs.wikipedia.org/wiki/N%C3%A1ves" TargetMode="External"/><Relationship Id="rId21" Type="http://schemas.openxmlformats.org/officeDocument/2006/relationships/image" Target="media/image9.png"/><Relationship Id="rId42" Type="http://schemas.openxmlformats.org/officeDocument/2006/relationships/image" Target="media/image24.png"/><Relationship Id="rId47" Type="http://schemas.openxmlformats.org/officeDocument/2006/relationships/image" Target="media/image28.png"/><Relationship Id="rId63" Type="http://schemas.openxmlformats.org/officeDocument/2006/relationships/image" Target="media/image42.jpeg"/><Relationship Id="rId68" Type="http://schemas.openxmlformats.org/officeDocument/2006/relationships/header" Target="header2.xml"/><Relationship Id="rId2" Type="http://schemas.openxmlformats.org/officeDocument/2006/relationships/numbering" Target="numbering.xml"/><Relationship Id="rId16" Type="http://schemas.openxmlformats.org/officeDocument/2006/relationships/image" Target="media/image8.png"/><Relationship Id="rId29" Type="http://schemas.openxmlformats.org/officeDocument/2006/relationships/image" Target="media/image14.jpeg"/><Relationship Id="rId11" Type="http://schemas.openxmlformats.org/officeDocument/2006/relationships/image" Target="media/image3.jpeg"/><Relationship Id="rId24" Type="http://schemas.openxmlformats.org/officeDocument/2006/relationships/image" Target="media/image12.png"/><Relationship Id="rId32" Type="http://schemas.openxmlformats.org/officeDocument/2006/relationships/chart" Target="charts/chart6.xml"/><Relationship Id="rId37" Type="http://schemas.openxmlformats.org/officeDocument/2006/relationships/image" Target="media/image20.png"/><Relationship Id="rId40" Type="http://schemas.openxmlformats.org/officeDocument/2006/relationships/chart" Target="charts/chart8.xml"/><Relationship Id="rId45" Type="http://schemas.openxmlformats.org/officeDocument/2006/relationships/image" Target="media/image26.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header" Target="header1.xml"/><Relationship Id="rId74" Type="http://schemas.openxmlformats.org/officeDocument/2006/relationships/theme" Target="theme/theme1.xml"/><Relationship Id="rId5" Type="http://schemas.openxmlformats.org/officeDocument/2006/relationships/webSettings" Target="webSettings.xml"/><Relationship Id="rId61" Type="http://schemas.openxmlformats.org/officeDocument/2006/relationships/image" Target="media/image40.png"/><Relationship Id="rId19" Type="http://schemas.openxmlformats.org/officeDocument/2006/relationships/chart" Target="charts/chart3.xml"/><Relationship Id="rId14" Type="http://schemas.openxmlformats.org/officeDocument/2006/relationships/image" Target="media/image6.png"/><Relationship Id="rId22" Type="http://schemas.openxmlformats.org/officeDocument/2006/relationships/image" Target="media/image10.png"/><Relationship Id="rId27" Type="http://schemas.openxmlformats.org/officeDocument/2006/relationships/hyperlink" Target="https://cs.wikipedia.org/wiki/Okrouhlice" TargetMode="External"/><Relationship Id="rId30" Type="http://schemas.openxmlformats.org/officeDocument/2006/relationships/image" Target="media/image15.png"/><Relationship Id="rId35" Type="http://schemas.openxmlformats.org/officeDocument/2006/relationships/image" Target="media/image19.png"/><Relationship Id="rId43" Type="http://schemas.openxmlformats.org/officeDocument/2006/relationships/image" Target="media/image25.png"/><Relationship Id="rId48" Type="http://schemas.openxmlformats.org/officeDocument/2006/relationships/image" Target="media/image29.png"/><Relationship Id="rId56" Type="http://schemas.openxmlformats.org/officeDocument/2006/relationships/image" Target="media/image36.png"/><Relationship Id="rId64" Type="http://schemas.openxmlformats.org/officeDocument/2006/relationships/image" Target="media/image43.png"/><Relationship Id="rId69" Type="http://schemas.openxmlformats.org/officeDocument/2006/relationships/header" Target="header3.xml"/><Relationship Id="rId8" Type="http://schemas.openxmlformats.org/officeDocument/2006/relationships/image" Target="media/image1.png"/><Relationship Id="rId51" Type="http://schemas.openxmlformats.org/officeDocument/2006/relationships/hyperlink" Target="http://www.szdc.cz" TargetMode="External"/><Relationship Id="rId72" Type="http://schemas.openxmlformats.org/officeDocument/2006/relationships/footer" Target="footer3.xml"/><Relationship Id="rId3" Type="http://schemas.openxmlformats.org/officeDocument/2006/relationships/styles" Target="styles.xml"/><Relationship Id="rId12" Type="http://schemas.openxmlformats.org/officeDocument/2006/relationships/image" Target="media/image4.jpeg"/><Relationship Id="rId17" Type="http://schemas.openxmlformats.org/officeDocument/2006/relationships/chart" Target="charts/chart1.xml"/><Relationship Id="rId25" Type="http://schemas.openxmlformats.org/officeDocument/2006/relationships/image" Target="media/image13.png"/><Relationship Id="rId33" Type="http://schemas.openxmlformats.org/officeDocument/2006/relationships/image" Target="media/image17.png"/><Relationship Id="rId38" Type="http://schemas.openxmlformats.org/officeDocument/2006/relationships/image" Target="media/image21.png"/><Relationship Id="rId46" Type="http://schemas.openxmlformats.org/officeDocument/2006/relationships/image" Target="media/image27.png"/><Relationship Id="rId59" Type="http://schemas.openxmlformats.org/officeDocument/2006/relationships/hyperlink" Target="http://en.wikipedia.org/wiki/cs:dub_zimn%C3%AD" TargetMode="External"/><Relationship Id="rId67" Type="http://schemas.openxmlformats.org/officeDocument/2006/relationships/footer" Target="footer1.xml"/><Relationship Id="rId20" Type="http://schemas.openxmlformats.org/officeDocument/2006/relationships/chart" Target="charts/chart4.xml"/><Relationship Id="rId41" Type="http://schemas.openxmlformats.org/officeDocument/2006/relationships/image" Target="media/image23.png"/><Relationship Id="rId54" Type="http://schemas.openxmlformats.org/officeDocument/2006/relationships/image" Target="media/image34.png"/><Relationship Id="rId62" Type="http://schemas.openxmlformats.org/officeDocument/2006/relationships/image" Target="media/image41.jpeg"/><Relationship Id="rId70" Type="http://schemas.openxmlformats.org/officeDocument/2006/relationships/footer" Target="footer2.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image" Target="media/image11.png"/><Relationship Id="rId28" Type="http://schemas.openxmlformats.org/officeDocument/2006/relationships/chart" Target="charts/chart5.xml"/><Relationship Id="rId36" Type="http://schemas.openxmlformats.org/officeDocument/2006/relationships/chart" Target="charts/chart7.xml"/><Relationship Id="rId49" Type="http://schemas.openxmlformats.org/officeDocument/2006/relationships/image" Target="media/image30.png"/><Relationship Id="rId57" Type="http://schemas.openxmlformats.org/officeDocument/2006/relationships/image" Target="media/image37.jpeg"/><Relationship Id="rId10" Type="http://schemas.openxmlformats.org/officeDocument/2006/relationships/image" Target="media/image2.png"/><Relationship Id="rId31" Type="http://schemas.openxmlformats.org/officeDocument/2006/relationships/image" Target="media/image16.png"/><Relationship Id="rId44" Type="http://schemas.openxmlformats.org/officeDocument/2006/relationships/chart" Target="charts/chart9.xml"/><Relationship Id="rId52" Type="http://schemas.openxmlformats.org/officeDocument/2006/relationships/image" Target="media/image32.png"/><Relationship Id="rId60" Type="http://schemas.openxmlformats.org/officeDocument/2006/relationships/image" Target="media/image39.png"/><Relationship Id="rId65" Type="http://schemas.openxmlformats.org/officeDocument/2006/relationships/image" Target="media/image44.jpeg"/><Relationship Id="rId73" Type="http://schemas.openxmlformats.org/officeDocument/2006/relationships/fontTable" Target="fontTable.xml"/><Relationship Id="rId4" Type="http://schemas.openxmlformats.org/officeDocument/2006/relationships/settings" Target="settings.xml"/><Relationship Id="rId9" Type="http://schemas.microsoft.com/office/2007/relationships/hdphoto" Target="media/hdphoto1.wdp"/><Relationship Id="rId13" Type="http://schemas.openxmlformats.org/officeDocument/2006/relationships/image" Target="media/image5.png"/><Relationship Id="rId18" Type="http://schemas.openxmlformats.org/officeDocument/2006/relationships/chart" Target="charts/chart2.xml"/><Relationship Id="rId39" Type="http://schemas.openxmlformats.org/officeDocument/2006/relationships/image" Target="media/image22.png"/><Relationship Id="rId34" Type="http://schemas.openxmlformats.org/officeDocument/2006/relationships/image" Target="media/image18.png"/><Relationship Id="rId50" Type="http://schemas.openxmlformats.org/officeDocument/2006/relationships/image" Target="media/image31.png"/><Relationship Id="rId55" Type="http://schemas.openxmlformats.org/officeDocument/2006/relationships/image" Target="media/image35.png"/><Relationship Id="rId7" Type="http://schemas.openxmlformats.org/officeDocument/2006/relationships/endnotes" Target="endnotes.xml"/><Relationship Id="rId71" Type="http://schemas.openxmlformats.org/officeDocument/2006/relationships/header" Target="header4.xml"/></Relationships>
</file>

<file path=word/charts/_rels/chart1.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Se&#353;it1" TargetMode="External"/><Relationship Id="rId2" Type="http://schemas.microsoft.com/office/2011/relationships/chartColorStyle" Target="colors2.xml"/><Relationship Id="rId1" Type="http://schemas.microsoft.com/office/2011/relationships/chartStyle" Target="style2.xml"/></Relationships>
</file>

<file path=word/charts/_rels/chart3.xml.rels><?xml version="1.0" encoding="UTF-8" standalone="yes"?>
<Relationships xmlns="http://schemas.openxmlformats.org/package/2006/relationships"><Relationship Id="rId2" Type="http://schemas.openxmlformats.org/officeDocument/2006/relationships/oleObject" Target="file:///\\192.168.1.102\data\Obce\Kostomlaty%20nad%20Labem\Grafy.xlsx" TargetMode="External"/><Relationship Id="rId1" Type="http://schemas.openxmlformats.org/officeDocument/2006/relationships/themeOverride" Target="../theme/themeOverride1.xml"/></Relationships>
</file>

<file path=word/charts/_rels/chart4.xml.rels><?xml version="1.0" encoding="UTF-8" standalone="yes"?>
<Relationships xmlns="http://schemas.openxmlformats.org/package/2006/relationships"><Relationship Id="rId2" Type="http://schemas.openxmlformats.org/officeDocument/2006/relationships/oleObject" Target="file:///\\192.168.1.102\data\Obce\Kostomlaty%20nad%20Labem\Grafy.xlsx" TargetMode="External"/><Relationship Id="rId1" Type="http://schemas.openxmlformats.org/officeDocument/2006/relationships/themeOverride" Target="../theme/themeOverride2.xml"/></Relationships>
</file>

<file path=word/charts/_rels/chart5.xml.rels><?xml version="1.0" encoding="UTF-8" standalone="yes"?>
<Relationships xmlns="http://schemas.openxmlformats.org/package/2006/relationships"><Relationship Id="rId2" Type="http://schemas.openxmlformats.org/officeDocument/2006/relationships/oleObject" Target="file:///\\192.168.1.102\data\Obce\Kostomlaty%20nad%20Labem\Podklady\grafy%20-%20s&#237;dla_kostomlaty.xlsx" TargetMode="External"/><Relationship Id="rId1" Type="http://schemas.openxmlformats.org/officeDocument/2006/relationships/themeOverride" Target="../theme/themeOverride3.xml"/></Relationships>
</file>

<file path=word/charts/_rels/chart6.xml.rels><?xml version="1.0" encoding="UTF-8" standalone="yes"?>
<Relationships xmlns="http://schemas.openxmlformats.org/package/2006/relationships"><Relationship Id="rId2" Type="http://schemas.openxmlformats.org/officeDocument/2006/relationships/oleObject" Target="file:///\\192.168.1.102\data\Obce\Libice%20nad%20Doubravou\Texty\01_pracovn&#237;%20texty_Lubo&#353;\grafy%20-%20s&#237;dla.xlsx" TargetMode="External"/><Relationship Id="rId1" Type="http://schemas.openxmlformats.org/officeDocument/2006/relationships/themeOverride" Target="../theme/themeOverride4.xml"/></Relationships>
</file>

<file path=word/charts/_rels/chart7.xml.rels><?xml version="1.0" encoding="UTF-8" standalone="yes"?>
<Relationships xmlns="http://schemas.openxmlformats.org/package/2006/relationships"><Relationship Id="rId2" Type="http://schemas.openxmlformats.org/officeDocument/2006/relationships/oleObject" Target="file:///\\192.168.1.102\data\Obce\Kostomlaty%20nad%20Labem\Podklady\grafy%20-%20s&#237;dla_kostomlaty.xlsx" TargetMode="External"/><Relationship Id="rId1" Type="http://schemas.openxmlformats.org/officeDocument/2006/relationships/themeOverride" Target="../theme/themeOverride5.xml"/></Relationships>
</file>

<file path=word/charts/_rels/chart8.xml.rels><?xml version="1.0" encoding="UTF-8" standalone="yes"?>
<Relationships xmlns="http://schemas.openxmlformats.org/package/2006/relationships"><Relationship Id="rId2" Type="http://schemas.openxmlformats.org/officeDocument/2006/relationships/oleObject" Target="file:///\\192.168.1.102\data\Obce\Kostomlaty%20nad%20Labem\Podklady\grafy%20-%20s&#237;dla_kostomlaty.xlsx" TargetMode="External"/><Relationship Id="rId1" Type="http://schemas.openxmlformats.org/officeDocument/2006/relationships/themeOverride" Target="../theme/themeOverride6.xml"/></Relationships>
</file>

<file path=word/charts/_rels/chart9.xml.rels><?xml version="1.0" encoding="UTF-8" standalone="yes"?>
<Relationships xmlns="http://schemas.openxmlformats.org/package/2006/relationships"><Relationship Id="rId2" Type="http://schemas.openxmlformats.org/officeDocument/2006/relationships/oleObject" Target="file:///\\192.168.1.102\data\Obce\Kostomlaty%20nad%20Labem\Podklady\grafy%20-%20s&#237;dla_kostomlaty.xlsx" TargetMode="External"/><Relationship Id="rId1" Type="http://schemas.openxmlformats.org/officeDocument/2006/relationships/themeOverride" Target="../theme/themeOverride7.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0648194444444445"/>
          <c:y val="6.4675925925925928E-2"/>
          <c:w val="0.86926458333333334"/>
          <c:h val="0.7271657407407407"/>
        </c:manualLayout>
      </c:layout>
      <c:lineChart>
        <c:grouping val="standard"/>
        <c:varyColors val="0"/>
        <c:ser>
          <c:idx val="0"/>
          <c:order val="0"/>
          <c:spPr>
            <a:ln w="28575" cap="rnd">
              <a:solidFill>
                <a:schemeClr val="accent1"/>
              </a:solidFill>
              <a:round/>
            </a:ln>
            <a:effectLst/>
          </c:spPr>
          <c:marker>
            <c:symbol val="none"/>
          </c:marker>
          <c:dLbls>
            <c:dLbl>
              <c:idx val="0"/>
              <c:layout>
                <c:manualLayout>
                  <c:x val="-3.9687500000000021E-2"/>
                  <c:y val="5.29166666666666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8757-45E0-BD45-C2A81C8D509E}"/>
                </c:ext>
              </c:extLst>
            </c:dLbl>
            <c:dLbl>
              <c:idx val="6"/>
              <c:layout>
                <c:manualLayout>
                  <c:x val="-3.9687500000000001E-2"/>
                  <c:y val="-5.29166666666666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8757-45E0-BD45-C2A81C8D509E}"/>
                </c:ext>
              </c:extLst>
            </c:dLbl>
            <c:dLbl>
              <c:idx val="13"/>
              <c:layout>
                <c:manualLayout>
                  <c:x val="-1.1024305555555556E-2"/>
                  <c:y val="-4.703703703703706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8757-45E0-BD45-C2A81C8D509E}"/>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List1!$B$1:$O$1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List1!$B$2:$O$2</c:f>
              <c:numCache>
                <c:formatCode>General</c:formatCode>
                <c:ptCount val="14"/>
                <c:pt idx="0">
                  <c:v>1593</c:v>
                </c:pt>
                <c:pt idx="1">
                  <c:v>1812</c:v>
                </c:pt>
                <c:pt idx="2">
                  <c:v>1913</c:v>
                </c:pt>
                <c:pt idx="3">
                  <c:v>1781</c:v>
                </c:pt>
                <c:pt idx="4">
                  <c:v>1718</c:v>
                </c:pt>
                <c:pt idx="5">
                  <c:v>1906</c:v>
                </c:pt>
                <c:pt idx="6">
                  <c:v>2040</c:v>
                </c:pt>
                <c:pt idx="7">
                  <c:v>1912</c:v>
                </c:pt>
                <c:pt idx="8">
                  <c:v>1857</c:v>
                </c:pt>
                <c:pt idx="9">
                  <c:v>1764</c:v>
                </c:pt>
                <c:pt idx="10">
                  <c:v>1702</c:v>
                </c:pt>
                <c:pt idx="11">
                  <c:v>1629</c:v>
                </c:pt>
                <c:pt idx="12">
                  <c:v>1633</c:v>
                </c:pt>
                <c:pt idx="13">
                  <c:v>1785</c:v>
                </c:pt>
              </c:numCache>
            </c:numRef>
          </c:val>
          <c:smooth val="0"/>
          <c:extLst>
            <c:ext xmlns:c16="http://schemas.microsoft.com/office/drawing/2014/chart" uri="{C3380CC4-5D6E-409C-BE32-E72D297353CC}">
              <c16:uniqueId val="{00000003-8757-45E0-BD45-C2A81C8D509E}"/>
            </c:ext>
          </c:extLst>
        </c:ser>
        <c:dLbls>
          <c:showLegendKey val="0"/>
          <c:showVal val="0"/>
          <c:showCatName val="0"/>
          <c:showSerName val="0"/>
          <c:showPercent val="0"/>
          <c:showBubbleSize val="0"/>
        </c:dLbls>
        <c:smooth val="0"/>
        <c:axId val="842409008"/>
        <c:axId val="842409424"/>
      </c:lineChart>
      <c:catAx>
        <c:axId val="8424090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rok</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842409424"/>
        <c:crosses val="autoZero"/>
        <c:auto val="1"/>
        <c:lblAlgn val="ctr"/>
        <c:lblOffset val="100"/>
        <c:noMultiLvlLbl val="0"/>
      </c:catAx>
      <c:valAx>
        <c:axId val="8424094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počet obyvatel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8424090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cs-CZ"/>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089166666666667"/>
          <c:y val="6.4675925925925928E-2"/>
          <c:w val="0.86926458333333334"/>
          <c:h val="0.7271657407407407"/>
        </c:manualLayout>
      </c:layout>
      <c:lineChart>
        <c:grouping val="standard"/>
        <c:varyColors val="0"/>
        <c:ser>
          <c:idx val="1"/>
          <c:order val="0"/>
          <c:spPr>
            <a:ln w="28575" cap="rnd">
              <a:solidFill>
                <a:schemeClr val="accent2"/>
              </a:solidFill>
              <a:round/>
            </a:ln>
            <a:effectLst/>
          </c:spPr>
          <c:marker>
            <c:symbol val="none"/>
          </c:marker>
          <c:dLbls>
            <c:dLbl>
              <c:idx val="0"/>
              <c:layout>
                <c:manualLayout>
                  <c:x val="-3.9687500000000001E-2"/>
                  <c:y val="5.879629629629629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949E-48EE-ACC3-CF15CCD97FE8}"/>
                </c:ext>
              </c:extLst>
            </c:dLbl>
            <c:dLbl>
              <c:idx val="15"/>
              <c:layout>
                <c:manualLayout>
                  <c:x val="0"/>
                  <c:y val="-6.467592592592592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949E-48EE-ACC3-CF15CCD97FE8}"/>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cs-CZ"/>
              </a:p>
            </c:txPr>
            <c:showLegendKey val="0"/>
            <c:showVal val="0"/>
            <c:showCatName val="0"/>
            <c:showSerName val="0"/>
            <c:showPercent val="0"/>
            <c:showBubbleSize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trendline>
            <c:spPr>
              <a:ln w="19050" cap="rnd">
                <a:solidFill>
                  <a:schemeClr val="accent2"/>
                </a:solidFill>
                <a:prstDash val="sysDot"/>
              </a:ln>
              <a:effectLst/>
            </c:spPr>
            <c:trendlineType val="linear"/>
            <c:dispRSqr val="0"/>
            <c:dispEq val="0"/>
          </c:trendline>
          <c:cat>
            <c:numRef>
              <c:f>List1!$B$18:$Q$18</c:f>
              <c:numCache>
                <c:formatCode>General</c:formatCode>
                <c:ptCount val="16"/>
                <c:pt idx="0">
                  <c:v>2006</c:v>
                </c:pt>
                <c:pt idx="1">
                  <c:v>2007</c:v>
                </c:pt>
                <c:pt idx="2">
                  <c:v>2008</c:v>
                </c:pt>
                <c:pt idx="3">
                  <c:v>2009</c:v>
                </c:pt>
                <c:pt idx="4">
                  <c:v>2010</c:v>
                </c:pt>
                <c:pt idx="5">
                  <c:v>2011</c:v>
                </c:pt>
                <c:pt idx="6">
                  <c:v>2012</c:v>
                </c:pt>
                <c:pt idx="7">
                  <c:v>2013</c:v>
                </c:pt>
                <c:pt idx="8">
                  <c:v>2014</c:v>
                </c:pt>
                <c:pt idx="9">
                  <c:v>2015</c:v>
                </c:pt>
                <c:pt idx="10">
                  <c:v>2016</c:v>
                </c:pt>
                <c:pt idx="11">
                  <c:v>2017</c:v>
                </c:pt>
                <c:pt idx="12">
                  <c:v>2018</c:v>
                </c:pt>
                <c:pt idx="13">
                  <c:v>2019</c:v>
                </c:pt>
                <c:pt idx="14">
                  <c:v>2020</c:v>
                </c:pt>
                <c:pt idx="15">
                  <c:v>2021</c:v>
                </c:pt>
              </c:numCache>
            </c:numRef>
          </c:cat>
          <c:val>
            <c:numRef>
              <c:f>List1!$B$19:$Q$19</c:f>
              <c:numCache>
                <c:formatCode>General</c:formatCode>
                <c:ptCount val="16"/>
                <c:pt idx="0">
                  <c:v>1652</c:v>
                </c:pt>
                <c:pt idx="1">
                  <c:v>1658</c:v>
                </c:pt>
                <c:pt idx="2">
                  <c:v>1709</c:v>
                </c:pt>
                <c:pt idx="3">
                  <c:v>1742</c:v>
                </c:pt>
                <c:pt idx="4">
                  <c:v>1762</c:v>
                </c:pt>
                <c:pt idx="5">
                  <c:v>1777</c:v>
                </c:pt>
                <c:pt idx="6">
                  <c:v>1819</c:v>
                </c:pt>
                <c:pt idx="7">
                  <c:v>1820</c:v>
                </c:pt>
                <c:pt idx="8">
                  <c:v>1852</c:v>
                </c:pt>
                <c:pt idx="9">
                  <c:v>1848</c:v>
                </c:pt>
                <c:pt idx="10">
                  <c:v>1838</c:v>
                </c:pt>
                <c:pt idx="11">
                  <c:v>1873</c:v>
                </c:pt>
                <c:pt idx="12">
                  <c:v>1858</c:v>
                </c:pt>
                <c:pt idx="13">
                  <c:v>1844</c:v>
                </c:pt>
                <c:pt idx="14">
                  <c:v>1850</c:v>
                </c:pt>
                <c:pt idx="15">
                  <c:v>1885</c:v>
                </c:pt>
              </c:numCache>
            </c:numRef>
          </c:val>
          <c:smooth val="0"/>
          <c:extLst>
            <c:ext xmlns:c16="http://schemas.microsoft.com/office/drawing/2014/chart" uri="{C3380CC4-5D6E-409C-BE32-E72D297353CC}">
              <c16:uniqueId val="{00000003-949E-48EE-ACC3-CF15CCD97FE8}"/>
            </c:ext>
          </c:extLst>
        </c:ser>
        <c:dLbls>
          <c:showLegendKey val="0"/>
          <c:showVal val="0"/>
          <c:showCatName val="0"/>
          <c:showSerName val="0"/>
          <c:showPercent val="0"/>
          <c:showBubbleSize val="0"/>
        </c:dLbls>
        <c:smooth val="0"/>
        <c:axId val="842409008"/>
        <c:axId val="842409424"/>
      </c:lineChart>
      <c:catAx>
        <c:axId val="842409008"/>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rok</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842409424"/>
        <c:crosses val="autoZero"/>
        <c:auto val="1"/>
        <c:lblAlgn val="ctr"/>
        <c:lblOffset val="100"/>
        <c:noMultiLvlLbl val="0"/>
      </c:catAx>
      <c:valAx>
        <c:axId val="842409424"/>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cs-CZ"/>
                  <a:t>počet obyvatel</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cs-CZ"/>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cs-CZ"/>
          </a:p>
        </c:txPr>
        <c:crossAx val="842409008"/>
        <c:crosses val="autoZero"/>
        <c:crossBetween val="between"/>
      </c:valAx>
      <c:spPr>
        <a:noFill/>
        <a:ln>
          <a:noFill/>
        </a:ln>
        <a:effectLst/>
      </c:spPr>
    </c:plotArea>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cs-CZ"/>
    </a:p>
  </c:txPr>
  <c:externalData r:id="rId3">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barChart>
        <c:barDir val="col"/>
        <c:grouping val="stacked"/>
        <c:varyColors val="0"/>
        <c:ser>
          <c:idx val="1"/>
          <c:order val="0"/>
          <c:tx>
            <c:v>narození</c:v>
          </c:tx>
          <c:spPr>
            <a:solidFill>
              <a:srgbClr val="ACC777"/>
            </a:solidFill>
          </c:spPr>
          <c:invertIfNegative val="0"/>
          <c:cat>
            <c:numRef>
              <c:f>List1!$A$23:$A$43</c:f>
              <c:numCache>
                <c:formatCode>General</c:formatCode>
                <c:ptCount val="21"/>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numCache>
            </c:numRef>
          </c:cat>
          <c:val>
            <c:numRef>
              <c:f>List1!$B$23:$B$43</c:f>
              <c:numCache>
                <c:formatCode>General</c:formatCode>
                <c:ptCount val="21"/>
                <c:pt idx="0">
                  <c:v>16</c:v>
                </c:pt>
                <c:pt idx="1">
                  <c:v>17</c:v>
                </c:pt>
                <c:pt idx="2">
                  <c:v>23</c:v>
                </c:pt>
                <c:pt idx="3">
                  <c:v>14</c:v>
                </c:pt>
                <c:pt idx="4">
                  <c:v>17</c:v>
                </c:pt>
                <c:pt idx="5">
                  <c:v>12</c:v>
                </c:pt>
                <c:pt idx="6">
                  <c:v>15</c:v>
                </c:pt>
                <c:pt idx="7">
                  <c:v>23</c:v>
                </c:pt>
                <c:pt idx="8">
                  <c:v>12</c:v>
                </c:pt>
                <c:pt idx="9">
                  <c:v>14</c:v>
                </c:pt>
                <c:pt idx="10">
                  <c:v>19</c:v>
                </c:pt>
                <c:pt idx="11">
                  <c:v>7</c:v>
                </c:pt>
                <c:pt idx="12">
                  <c:v>14</c:v>
                </c:pt>
                <c:pt idx="13">
                  <c:v>20</c:v>
                </c:pt>
                <c:pt idx="14">
                  <c:v>21</c:v>
                </c:pt>
                <c:pt idx="15">
                  <c:v>20</c:v>
                </c:pt>
                <c:pt idx="16">
                  <c:v>23</c:v>
                </c:pt>
                <c:pt idx="17">
                  <c:v>23</c:v>
                </c:pt>
                <c:pt idx="18">
                  <c:v>15</c:v>
                </c:pt>
                <c:pt idx="19">
                  <c:v>18</c:v>
                </c:pt>
                <c:pt idx="20">
                  <c:v>19</c:v>
                </c:pt>
              </c:numCache>
            </c:numRef>
          </c:val>
          <c:extLst>
            <c:ext xmlns:c16="http://schemas.microsoft.com/office/drawing/2014/chart" uri="{C3380CC4-5D6E-409C-BE32-E72D297353CC}">
              <c16:uniqueId val="{00000000-4DD2-4F29-8CEF-B95D2F47DF3F}"/>
            </c:ext>
          </c:extLst>
        </c:ser>
        <c:ser>
          <c:idx val="0"/>
          <c:order val="1"/>
          <c:tx>
            <c:v>zemřelí</c:v>
          </c:tx>
          <c:spPr>
            <a:solidFill>
              <a:srgbClr val="D48886"/>
            </a:solidFill>
          </c:spPr>
          <c:invertIfNegative val="0"/>
          <c:cat>
            <c:numRef>
              <c:f>List1!$A$23:$A$43</c:f>
              <c:numCache>
                <c:formatCode>General</c:formatCode>
                <c:ptCount val="21"/>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numCache>
            </c:numRef>
          </c:cat>
          <c:val>
            <c:numRef>
              <c:f>List1!$C$23:$C$43</c:f>
              <c:numCache>
                <c:formatCode>General</c:formatCode>
                <c:ptCount val="21"/>
                <c:pt idx="0">
                  <c:v>28</c:v>
                </c:pt>
                <c:pt idx="1">
                  <c:v>27</c:v>
                </c:pt>
                <c:pt idx="2">
                  <c:v>21</c:v>
                </c:pt>
                <c:pt idx="3">
                  <c:v>19</c:v>
                </c:pt>
                <c:pt idx="4">
                  <c:v>16</c:v>
                </c:pt>
                <c:pt idx="5">
                  <c:v>16</c:v>
                </c:pt>
                <c:pt idx="6">
                  <c:v>24</c:v>
                </c:pt>
                <c:pt idx="7">
                  <c:v>21</c:v>
                </c:pt>
                <c:pt idx="8">
                  <c:v>12</c:v>
                </c:pt>
                <c:pt idx="9">
                  <c:v>17</c:v>
                </c:pt>
                <c:pt idx="10">
                  <c:v>19</c:v>
                </c:pt>
                <c:pt idx="11">
                  <c:v>17</c:v>
                </c:pt>
                <c:pt idx="12">
                  <c:v>21</c:v>
                </c:pt>
                <c:pt idx="13">
                  <c:v>12</c:v>
                </c:pt>
                <c:pt idx="14">
                  <c:v>18</c:v>
                </c:pt>
                <c:pt idx="15">
                  <c:v>19</c:v>
                </c:pt>
                <c:pt idx="16">
                  <c:v>24</c:v>
                </c:pt>
                <c:pt idx="17">
                  <c:v>18</c:v>
                </c:pt>
                <c:pt idx="18">
                  <c:v>18</c:v>
                </c:pt>
                <c:pt idx="19">
                  <c:v>14</c:v>
                </c:pt>
                <c:pt idx="20">
                  <c:v>20</c:v>
                </c:pt>
              </c:numCache>
            </c:numRef>
          </c:val>
          <c:extLst>
            <c:ext xmlns:c16="http://schemas.microsoft.com/office/drawing/2014/chart" uri="{C3380CC4-5D6E-409C-BE32-E72D297353CC}">
              <c16:uniqueId val="{00000001-4DD2-4F29-8CEF-B95D2F47DF3F}"/>
            </c:ext>
          </c:extLst>
        </c:ser>
        <c:ser>
          <c:idx val="2"/>
          <c:order val="2"/>
          <c:tx>
            <c:v>přistěhovalí</c:v>
          </c:tx>
          <c:spPr>
            <a:solidFill>
              <a:schemeClr val="accent3">
                <a:lumMod val="40000"/>
                <a:lumOff val="60000"/>
              </a:schemeClr>
            </a:solidFill>
          </c:spPr>
          <c:invertIfNegative val="0"/>
          <c:cat>
            <c:numRef>
              <c:f>List1!$A$23:$A$43</c:f>
              <c:numCache>
                <c:formatCode>General</c:formatCode>
                <c:ptCount val="21"/>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numCache>
            </c:numRef>
          </c:cat>
          <c:val>
            <c:numRef>
              <c:f>List1!$D$23:$D$43</c:f>
              <c:numCache>
                <c:formatCode>General</c:formatCode>
                <c:ptCount val="21"/>
                <c:pt idx="0">
                  <c:v>50</c:v>
                </c:pt>
                <c:pt idx="1">
                  <c:v>43</c:v>
                </c:pt>
                <c:pt idx="2">
                  <c:v>45</c:v>
                </c:pt>
                <c:pt idx="3">
                  <c:v>52</c:v>
                </c:pt>
                <c:pt idx="4">
                  <c:v>36</c:v>
                </c:pt>
                <c:pt idx="5">
                  <c:v>51</c:v>
                </c:pt>
                <c:pt idx="6">
                  <c:v>53</c:v>
                </c:pt>
                <c:pt idx="7">
                  <c:v>45</c:v>
                </c:pt>
                <c:pt idx="8">
                  <c:v>39</c:v>
                </c:pt>
                <c:pt idx="9">
                  <c:v>30</c:v>
                </c:pt>
                <c:pt idx="10">
                  <c:v>49</c:v>
                </c:pt>
                <c:pt idx="11">
                  <c:v>42</c:v>
                </c:pt>
                <c:pt idx="12">
                  <c:v>51</c:v>
                </c:pt>
                <c:pt idx="13">
                  <c:v>70</c:v>
                </c:pt>
                <c:pt idx="14">
                  <c:v>59</c:v>
                </c:pt>
                <c:pt idx="15">
                  <c:v>43</c:v>
                </c:pt>
                <c:pt idx="16">
                  <c:v>55</c:v>
                </c:pt>
                <c:pt idx="17">
                  <c:v>74</c:v>
                </c:pt>
                <c:pt idx="18">
                  <c:v>37</c:v>
                </c:pt>
                <c:pt idx="19">
                  <c:v>59</c:v>
                </c:pt>
                <c:pt idx="20">
                  <c:v>49</c:v>
                </c:pt>
              </c:numCache>
            </c:numRef>
          </c:val>
          <c:extLst>
            <c:ext xmlns:c16="http://schemas.microsoft.com/office/drawing/2014/chart" uri="{C3380CC4-5D6E-409C-BE32-E72D297353CC}">
              <c16:uniqueId val="{00000002-4DD2-4F29-8CEF-B95D2F47DF3F}"/>
            </c:ext>
          </c:extLst>
        </c:ser>
        <c:ser>
          <c:idx val="3"/>
          <c:order val="3"/>
          <c:tx>
            <c:v>vystěhovalí</c:v>
          </c:tx>
          <c:spPr>
            <a:solidFill>
              <a:schemeClr val="accent2">
                <a:lumMod val="40000"/>
                <a:lumOff val="60000"/>
              </a:schemeClr>
            </a:solidFill>
          </c:spPr>
          <c:invertIfNegative val="0"/>
          <c:cat>
            <c:numRef>
              <c:f>List1!$A$23:$A$43</c:f>
              <c:numCache>
                <c:formatCode>General</c:formatCode>
                <c:ptCount val="21"/>
                <c:pt idx="0">
                  <c:v>1995</c:v>
                </c:pt>
                <c:pt idx="1">
                  <c:v>1996</c:v>
                </c:pt>
                <c:pt idx="2">
                  <c:v>1997</c:v>
                </c:pt>
                <c:pt idx="3">
                  <c:v>1998</c:v>
                </c:pt>
                <c:pt idx="4">
                  <c:v>1999</c:v>
                </c:pt>
                <c:pt idx="5">
                  <c:v>2000</c:v>
                </c:pt>
                <c:pt idx="6">
                  <c:v>2001</c:v>
                </c:pt>
                <c:pt idx="7">
                  <c:v>2002</c:v>
                </c:pt>
                <c:pt idx="8">
                  <c:v>2003</c:v>
                </c:pt>
                <c:pt idx="9">
                  <c:v>2004</c:v>
                </c:pt>
                <c:pt idx="10">
                  <c:v>2005</c:v>
                </c:pt>
                <c:pt idx="11">
                  <c:v>2006</c:v>
                </c:pt>
                <c:pt idx="12">
                  <c:v>2007</c:v>
                </c:pt>
                <c:pt idx="13">
                  <c:v>2008</c:v>
                </c:pt>
                <c:pt idx="14">
                  <c:v>2009</c:v>
                </c:pt>
                <c:pt idx="15">
                  <c:v>2010</c:v>
                </c:pt>
                <c:pt idx="16">
                  <c:v>2011</c:v>
                </c:pt>
                <c:pt idx="17">
                  <c:v>2012</c:v>
                </c:pt>
                <c:pt idx="18">
                  <c:v>2013</c:v>
                </c:pt>
                <c:pt idx="19">
                  <c:v>2014</c:v>
                </c:pt>
                <c:pt idx="20">
                  <c:v>2015</c:v>
                </c:pt>
              </c:numCache>
            </c:numRef>
          </c:cat>
          <c:val>
            <c:numRef>
              <c:f>List1!$E$23:$E$43</c:f>
              <c:numCache>
                <c:formatCode>General</c:formatCode>
                <c:ptCount val="21"/>
                <c:pt idx="0">
                  <c:v>31</c:v>
                </c:pt>
                <c:pt idx="1">
                  <c:v>20</c:v>
                </c:pt>
                <c:pt idx="2">
                  <c:v>41</c:v>
                </c:pt>
                <c:pt idx="3">
                  <c:v>59</c:v>
                </c:pt>
                <c:pt idx="4">
                  <c:v>27</c:v>
                </c:pt>
                <c:pt idx="5">
                  <c:v>28</c:v>
                </c:pt>
                <c:pt idx="6">
                  <c:v>24</c:v>
                </c:pt>
                <c:pt idx="7">
                  <c:v>30</c:v>
                </c:pt>
                <c:pt idx="8">
                  <c:v>17</c:v>
                </c:pt>
                <c:pt idx="9">
                  <c:v>34</c:v>
                </c:pt>
                <c:pt idx="10">
                  <c:v>61</c:v>
                </c:pt>
                <c:pt idx="11">
                  <c:v>42</c:v>
                </c:pt>
                <c:pt idx="12">
                  <c:v>38</c:v>
                </c:pt>
                <c:pt idx="13">
                  <c:v>27</c:v>
                </c:pt>
                <c:pt idx="14">
                  <c:v>29</c:v>
                </c:pt>
                <c:pt idx="15">
                  <c:v>24</c:v>
                </c:pt>
                <c:pt idx="16">
                  <c:v>31</c:v>
                </c:pt>
                <c:pt idx="17">
                  <c:v>37</c:v>
                </c:pt>
                <c:pt idx="18">
                  <c:v>33</c:v>
                </c:pt>
                <c:pt idx="19">
                  <c:v>31</c:v>
                </c:pt>
                <c:pt idx="20">
                  <c:v>52</c:v>
                </c:pt>
              </c:numCache>
            </c:numRef>
          </c:val>
          <c:extLst>
            <c:ext xmlns:c16="http://schemas.microsoft.com/office/drawing/2014/chart" uri="{C3380CC4-5D6E-409C-BE32-E72D297353CC}">
              <c16:uniqueId val="{00000003-4DD2-4F29-8CEF-B95D2F47DF3F}"/>
            </c:ext>
          </c:extLst>
        </c:ser>
        <c:dLbls>
          <c:showLegendKey val="0"/>
          <c:showVal val="0"/>
          <c:showCatName val="0"/>
          <c:showSerName val="0"/>
          <c:showPercent val="0"/>
          <c:showBubbleSize val="0"/>
        </c:dLbls>
        <c:gapWidth val="150"/>
        <c:overlap val="100"/>
        <c:axId val="157229056"/>
        <c:axId val="157230592"/>
      </c:barChart>
      <c:lineChart>
        <c:grouping val="standard"/>
        <c:varyColors val="0"/>
        <c:ser>
          <c:idx val="4"/>
          <c:order val="4"/>
          <c:tx>
            <c:v>přírůstek celkový</c:v>
          </c:tx>
          <c:spPr>
            <a:ln>
              <a:solidFill>
                <a:srgbClr val="002060"/>
              </a:solidFill>
            </a:ln>
          </c:spPr>
          <c:marker>
            <c:symbol val="none"/>
          </c:marker>
          <c:dLbls>
            <c:dLbl>
              <c:idx val="3"/>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4DD2-4F29-8CEF-B95D2F47DF3F}"/>
                </c:ext>
              </c:extLst>
            </c:dLbl>
            <c:dLbl>
              <c:idx val="10"/>
              <c:dLblPos val="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4DD2-4F29-8CEF-B95D2F47DF3F}"/>
                </c:ext>
              </c:extLst>
            </c:dLbl>
            <c:dLbl>
              <c:idx val="20"/>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4DD2-4F29-8CEF-B95D2F47DF3F}"/>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val>
            <c:numRef>
              <c:f>List1!$F$23:$F$43</c:f>
              <c:numCache>
                <c:formatCode>General</c:formatCode>
                <c:ptCount val="21"/>
                <c:pt idx="0">
                  <c:v>7</c:v>
                </c:pt>
                <c:pt idx="1">
                  <c:v>13</c:v>
                </c:pt>
                <c:pt idx="2">
                  <c:v>6</c:v>
                </c:pt>
                <c:pt idx="3">
                  <c:v>-12</c:v>
                </c:pt>
                <c:pt idx="4">
                  <c:v>10</c:v>
                </c:pt>
                <c:pt idx="5">
                  <c:v>19</c:v>
                </c:pt>
                <c:pt idx="6">
                  <c:v>20</c:v>
                </c:pt>
                <c:pt idx="7">
                  <c:v>17</c:v>
                </c:pt>
                <c:pt idx="8">
                  <c:v>22</c:v>
                </c:pt>
                <c:pt idx="9">
                  <c:v>-7</c:v>
                </c:pt>
                <c:pt idx="10">
                  <c:v>-12</c:v>
                </c:pt>
                <c:pt idx="11">
                  <c:v>-10</c:v>
                </c:pt>
                <c:pt idx="12">
                  <c:v>6</c:v>
                </c:pt>
                <c:pt idx="13">
                  <c:v>51</c:v>
                </c:pt>
                <c:pt idx="14">
                  <c:v>33</c:v>
                </c:pt>
                <c:pt idx="15">
                  <c:v>20</c:v>
                </c:pt>
                <c:pt idx="16">
                  <c:v>23</c:v>
                </c:pt>
                <c:pt idx="17">
                  <c:v>42</c:v>
                </c:pt>
                <c:pt idx="18">
                  <c:v>1</c:v>
                </c:pt>
                <c:pt idx="19">
                  <c:v>32</c:v>
                </c:pt>
                <c:pt idx="20">
                  <c:v>-4</c:v>
                </c:pt>
              </c:numCache>
            </c:numRef>
          </c:val>
          <c:smooth val="1"/>
          <c:extLst>
            <c:ext xmlns:c16="http://schemas.microsoft.com/office/drawing/2014/chart" uri="{C3380CC4-5D6E-409C-BE32-E72D297353CC}">
              <c16:uniqueId val="{00000007-4DD2-4F29-8CEF-B95D2F47DF3F}"/>
            </c:ext>
          </c:extLst>
        </c:ser>
        <c:dLbls>
          <c:showLegendKey val="0"/>
          <c:showVal val="0"/>
          <c:showCatName val="0"/>
          <c:showSerName val="0"/>
          <c:showPercent val="0"/>
          <c:showBubbleSize val="0"/>
        </c:dLbls>
        <c:marker val="1"/>
        <c:smooth val="0"/>
        <c:axId val="157229056"/>
        <c:axId val="157230592"/>
      </c:lineChart>
      <c:catAx>
        <c:axId val="157229056"/>
        <c:scaling>
          <c:orientation val="minMax"/>
        </c:scaling>
        <c:delete val="0"/>
        <c:axPos val="b"/>
        <c:majorGridlines/>
        <c:minorGridlines/>
        <c:numFmt formatCode="General" sourceLinked="1"/>
        <c:majorTickMark val="out"/>
        <c:minorTickMark val="none"/>
        <c:tickLblPos val="low"/>
        <c:crossAx val="157230592"/>
        <c:crosses val="autoZero"/>
        <c:auto val="1"/>
        <c:lblAlgn val="ctr"/>
        <c:lblOffset val="0"/>
        <c:noMultiLvlLbl val="0"/>
      </c:catAx>
      <c:valAx>
        <c:axId val="157230592"/>
        <c:scaling>
          <c:orientation val="minMax"/>
        </c:scaling>
        <c:delete val="0"/>
        <c:axPos val="l"/>
        <c:majorGridlines/>
        <c:numFmt formatCode="General" sourceLinked="1"/>
        <c:majorTickMark val="out"/>
        <c:minorTickMark val="none"/>
        <c:tickLblPos val="nextTo"/>
        <c:crossAx val="157229056"/>
        <c:crosses val="autoZero"/>
        <c:crossBetween val="between"/>
      </c:valAx>
    </c:plotArea>
    <c:legend>
      <c:legendPos val="b"/>
      <c:overlay val="0"/>
    </c:legend>
    <c:plotVisOnly val="1"/>
    <c:dispBlanksAs val="gap"/>
    <c:showDLblsOverMax val="0"/>
  </c:chart>
  <c:spPr>
    <a:ln>
      <a:noFill/>
    </a:ln>
  </c:spPr>
  <c:externalData r:id="rId2">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7"/>
    </mc:Choice>
    <mc:Fallback>
      <c:style val="7"/>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1908925531484833"/>
          <c:y val="4.4233146155535336E-2"/>
          <c:w val="0.85581091582034852"/>
          <c:h val="0.81530194183894344"/>
        </c:manualLayout>
      </c:layout>
      <c:lineChart>
        <c:grouping val="standard"/>
        <c:varyColors val="0"/>
        <c:ser>
          <c:idx val="1"/>
          <c:order val="0"/>
          <c:tx>
            <c:v>počet domů</c:v>
          </c:tx>
          <c:marker>
            <c:symbol val="none"/>
          </c:marker>
          <c:dLbls>
            <c:dLbl>
              <c:idx val="10"/>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81C-4B39-B2AC-D238FEF5632F}"/>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81C-4B39-B2AC-D238FEF5632F}"/>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[Grafy.xlsx]List1!$R$23:$AE$23</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[Grafy.xlsx]List1!$R$24:$AE$24</c:f>
              <c:numCache>
                <c:formatCode>General</c:formatCode>
                <c:ptCount val="14"/>
                <c:pt idx="0">
                  <c:v>217</c:v>
                </c:pt>
                <c:pt idx="1">
                  <c:v>232</c:v>
                </c:pt>
                <c:pt idx="2">
                  <c:v>238</c:v>
                </c:pt>
                <c:pt idx="3">
                  <c:v>248</c:v>
                </c:pt>
                <c:pt idx="4">
                  <c:v>287</c:v>
                </c:pt>
                <c:pt idx="5">
                  <c:v>327</c:v>
                </c:pt>
                <c:pt idx="6">
                  <c:v>435</c:v>
                </c:pt>
                <c:pt idx="7">
                  <c:v>527</c:v>
                </c:pt>
                <c:pt idx="8">
                  <c:v>509</c:v>
                </c:pt>
                <c:pt idx="9">
                  <c:v>513</c:v>
                </c:pt>
                <c:pt idx="10">
                  <c:v>504</c:v>
                </c:pt>
                <c:pt idx="11">
                  <c:v>580</c:v>
                </c:pt>
                <c:pt idx="12">
                  <c:v>611</c:v>
                </c:pt>
                <c:pt idx="13">
                  <c:v>676</c:v>
                </c:pt>
              </c:numCache>
            </c:numRef>
          </c:val>
          <c:smooth val="1"/>
          <c:extLst>
            <c:ext xmlns:c16="http://schemas.microsoft.com/office/drawing/2014/chart" uri="{C3380CC4-5D6E-409C-BE32-E72D297353CC}">
              <c16:uniqueId val="{00000002-381C-4B39-B2AC-D238FEF5632F}"/>
            </c:ext>
          </c:extLst>
        </c:ser>
        <c:dLbls>
          <c:showLegendKey val="0"/>
          <c:showVal val="0"/>
          <c:showCatName val="0"/>
          <c:showSerName val="0"/>
          <c:showPercent val="0"/>
          <c:showBubbleSize val="0"/>
        </c:dLbls>
        <c:smooth val="0"/>
        <c:axId val="169771392"/>
        <c:axId val="169774464"/>
      </c:lineChart>
      <c:catAx>
        <c:axId val="169771392"/>
        <c:scaling>
          <c:orientation val="minMax"/>
        </c:scaling>
        <c:delete val="0"/>
        <c:axPos val="b"/>
        <c:minorGridlines/>
        <c:title>
          <c:tx>
            <c:rich>
              <a:bodyPr/>
              <a:lstStyle/>
              <a:p>
                <a:pPr>
                  <a:defRPr/>
                </a:pPr>
                <a:r>
                  <a:rPr lang="cs-CZ"/>
                  <a:t>rok</a:t>
                </a:r>
              </a:p>
            </c:rich>
          </c:tx>
          <c:overlay val="0"/>
        </c:title>
        <c:numFmt formatCode="General" sourceLinked="1"/>
        <c:majorTickMark val="out"/>
        <c:minorTickMark val="none"/>
        <c:tickLblPos val="nextTo"/>
        <c:crossAx val="169774464"/>
        <c:crosses val="autoZero"/>
        <c:auto val="1"/>
        <c:lblAlgn val="ctr"/>
        <c:lblOffset val="100"/>
        <c:noMultiLvlLbl val="0"/>
      </c:catAx>
      <c:valAx>
        <c:axId val="169774464"/>
        <c:scaling>
          <c:orientation val="minMax"/>
        </c:scaling>
        <c:delete val="0"/>
        <c:axPos val="l"/>
        <c:majorGridlines/>
        <c:title>
          <c:tx>
            <c:rich>
              <a:bodyPr rot="-5400000" vert="horz"/>
              <a:lstStyle/>
              <a:p>
                <a:pPr>
                  <a:defRPr/>
                </a:pPr>
                <a:r>
                  <a:rPr lang="cs-CZ"/>
                  <a:t>počet domů</a:t>
                </a:r>
              </a:p>
            </c:rich>
          </c:tx>
          <c:overlay val="0"/>
        </c:title>
        <c:numFmt formatCode="General" sourceLinked="1"/>
        <c:majorTickMark val="out"/>
        <c:minorTickMark val="none"/>
        <c:tickLblPos val="nextTo"/>
        <c:crossAx val="169771392"/>
        <c:crosses val="autoZero"/>
        <c:crossBetween val="between"/>
      </c:valAx>
    </c:plotArea>
    <c:plotVisOnly val="1"/>
    <c:dispBlanksAs val="gap"/>
    <c:showDLblsOverMax val="0"/>
  </c:chart>
  <c:spPr>
    <a:ln>
      <a:noFill/>
    </a:ln>
  </c:spPr>
  <c:externalData r:id="rId2">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tx>
        <c:rich>
          <a:bodyPr/>
          <a:lstStyle/>
          <a:p>
            <a:pPr>
              <a:defRPr sz="900" i="1"/>
            </a:pPr>
            <a:r>
              <a:rPr lang="en-US" sz="900" i="1"/>
              <a:t>Dlouhodobý vývoj počtu obyvatel</a:t>
            </a:r>
            <a:r>
              <a:rPr lang="cs-CZ" sz="900" i="1"/>
              <a:t> a domů v sídle Hronětice </a:t>
            </a:r>
          </a:p>
        </c:rich>
      </c:tx>
      <c:overlay val="0"/>
    </c:title>
    <c:autoTitleDeleted val="0"/>
    <c:plotArea>
      <c:layout/>
      <c:lineChart>
        <c:grouping val="standard"/>
        <c:varyColors val="0"/>
        <c:ser>
          <c:idx val="0"/>
          <c:order val="0"/>
          <c:tx>
            <c:v>počet obyvatel</c:v>
          </c:tx>
          <c:spPr>
            <a:ln>
              <a:solidFill>
                <a:schemeClr val="accent6">
                  <a:lumMod val="75000"/>
                </a:schemeClr>
              </a:solidFill>
            </a:ln>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0-CFED-4FEA-A269-7FF6458C112F}"/>
                </c:ext>
              </c:extLst>
            </c:dLbl>
            <c:dLbl>
              <c:idx val="2"/>
              <c:delete val="1"/>
              <c:extLst>
                <c:ext xmlns:c15="http://schemas.microsoft.com/office/drawing/2012/chart" uri="{CE6537A1-D6FC-4f65-9D91-7224C49458BB}"/>
                <c:ext xmlns:c16="http://schemas.microsoft.com/office/drawing/2014/chart" uri="{C3380CC4-5D6E-409C-BE32-E72D297353CC}">
                  <c16:uniqueId val="{00000001-CFED-4FEA-A269-7FF6458C112F}"/>
                </c:ext>
              </c:extLst>
            </c:dLbl>
            <c:dLbl>
              <c:idx val="3"/>
              <c:delete val="1"/>
              <c:extLst>
                <c:ext xmlns:c15="http://schemas.microsoft.com/office/drawing/2012/chart" uri="{CE6537A1-D6FC-4f65-9D91-7224C49458BB}"/>
                <c:ext xmlns:c16="http://schemas.microsoft.com/office/drawing/2014/chart" uri="{C3380CC4-5D6E-409C-BE32-E72D297353CC}">
                  <c16:uniqueId val="{00000002-CFED-4FEA-A269-7FF6458C112F}"/>
                </c:ext>
              </c:extLst>
            </c:dLbl>
            <c:dLbl>
              <c:idx val="4"/>
              <c:delete val="1"/>
              <c:extLst>
                <c:ext xmlns:c15="http://schemas.microsoft.com/office/drawing/2012/chart" uri="{CE6537A1-D6FC-4f65-9D91-7224C49458BB}"/>
                <c:ext xmlns:c16="http://schemas.microsoft.com/office/drawing/2014/chart" uri="{C3380CC4-5D6E-409C-BE32-E72D297353CC}">
                  <c16:uniqueId val="{00000003-CFED-4FEA-A269-7FF6458C112F}"/>
                </c:ext>
              </c:extLst>
            </c:dLbl>
            <c:dLbl>
              <c:idx val="5"/>
              <c:delete val="1"/>
              <c:extLst>
                <c:ext xmlns:c15="http://schemas.microsoft.com/office/drawing/2012/chart" uri="{CE6537A1-D6FC-4f65-9D91-7224C49458BB}"/>
                <c:ext xmlns:c16="http://schemas.microsoft.com/office/drawing/2014/chart" uri="{C3380CC4-5D6E-409C-BE32-E72D297353CC}">
                  <c16:uniqueId val="{00000004-CFED-4FEA-A269-7FF6458C112F}"/>
                </c:ext>
              </c:extLst>
            </c:dLbl>
            <c:dLbl>
              <c:idx val="6"/>
              <c:delete val="1"/>
              <c:extLst>
                <c:ext xmlns:c15="http://schemas.microsoft.com/office/drawing/2012/chart" uri="{CE6537A1-D6FC-4f65-9D91-7224C49458BB}"/>
                <c:ext xmlns:c16="http://schemas.microsoft.com/office/drawing/2014/chart" uri="{C3380CC4-5D6E-409C-BE32-E72D297353CC}">
                  <c16:uniqueId val="{00000005-CFED-4FEA-A269-7FF6458C112F}"/>
                </c:ext>
              </c:extLst>
            </c:dLbl>
            <c:dLbl>
              <c:idx val="7"/>
              <c:delete val="1"/>
              <c:extLst>
                <c:ext xmlns:c15="http://schemas.microsoft.com/office/drawing/2012/chart" uri="{CE6537A1-D6FC-4f65-9D91-7224C49458BB}"/>
                <c:ext xmlns:c16="http://schemas.microsoft.com/office/drawing/2014/chart" uri="{C3380CC4-5D6E-409C-BE32-E72D297353CC}">
                  <c16:uniqueId val="{00000006-CFED-4FEA-A269-7FF6458C112F}"/>
                </c:ext>
              </c:extLst>
            </c:dLbl>
            <c:dLbl>
              <c:idx val="8"/>
              <c:delete val="1"/>
              <c:extLst>
                <c:ext xmlns:c15="http://schemas.microsoft.com/office/drawing/2012/chart" uri="{CE6537A1-D6FC-4f65-9D91-7224C49458BB}"/>
                <c:ext xmlns:c16="http://schemas.microsoft.com/office/drawing/2014/chart" uri="{C3380CC4-5D6E-409C-BE32-E72D297353CC}">
                  <c16:uniqueId val="{00000007-CFED-4FEA-A269-7FF6458C112F}"/>
                </c:ext>
              </c:extLst>
            </c:dLbl>
            <c:dLbl>
              <c:idx val="9"/>
              <c:delete val="1"/>
              <c:extLst>
                <c:ext xmlns:c15="http://schemas.microsoft.com/office/drawing/2012/chart" uri="{CE6537A1-D6FC-4f65-9D91-7224C49458BB}"/>
                <c:ext xmlns:c16="http://schemas.microsoft.com/office/drawing/2014/chart" uri="{C3380CC4-5D6E-409C-BE32-E72D297353CC}">
                  <c16:uniqueId val="{00000008-CFED-4FEA-A269-7FF6458C112F}"/>
                </c:ext>
              </c:extLst>
            </c:dLbl>
            <c:dLbl>
              <c:idx val="10"/>
              <c:delete val="1"/>
              <c:extLst>
                <c:ext xmlns:c15="http://schemas.microsoft.com/office/drawing/2012/chart" uri="{CE6537A1-D6FC-4f65-9D91-7224C49458BB}"/>
                <c:ext xmlns:c16="http://schemas.microsoft.com/office/drawing/2014/chart" uri="{C3380CC4-5D6E-409C-BE32-E72D297353CC}">
                  <c16:uniqueId val="{00000009-CFED-4FEA-A269-7FF6458C112F}"/>
                </c:ext>
              </c:extLst>
            </c:dLbl>
            <c:dLbl>
              <c:idx val="11"/>
              <c:delete val="1"/>
              <c:extLst>
                <c:ext xmlns:c15="http://schemas.microsoft.com/office/drawing/2012/chart" uri="{CE6537A1-D6FC-4f65-9D91-7224C49458BB}"/>
                <c:ext xmlns:c16="http://schemas.microsoft.com/office/drawing/2014/chart" uri="{C3380CC4-5D6E-409C-BE32-E72D297353CC}">
                  <c16:uniqueId val="{0000000A-CFED-4FEA-A269-7FF6458C112F}"/>
                </c:ext>
              </c:extLst>
            </c:dLbl>
            <c:dLbl>
              <c:idx val="12"/>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FED-4FEA-A269-7FF6458C112F}"/>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FED-4FEA-A269-7FF6458C112F}"/>
                </c:ext>
              </c:extLst>
            </c:dLbl>
            <c:spPr>
              <a:noFill/>
              <a:ln>
                <a:noFill/>
              </a:ln>
              <a:effectLst/>
            </c:spPr>
            <c:txPr>
              <a:bodyPr/>
              <a:lstStyle/>
              <a:p>
                <a:pPr>
                  <a:defRPr>
                    <a:solidFill>
                      <a:schemeClr val="accent6">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List1!$Q$1:$AD$1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List1!$Q$2:$AD$2</c:f>
              <c:numCache>
                <c:formatCode>#,##0</c:formatCode>
                <c:ptCount val="14"/>
                <c:pt idx="0">
                  <c:v>383</c:v>
                </c:pt>
                <c:pt idx="1">
                  <c:v>484</c:v>
                </c:pt>
                <c:pt idx="2">
                  <c:v>524</c:v>
                </c:pt>
                <c:pt idx="3">
                  <c:v>484</c:v>
                </c:pt>
                <c:pt idx="4">
                  <c:v>380</c:v>
                </c:pt>
                <c:pt idx="5">
                  <c:v>410</c:v>
                </c:pt>
                <c:pt idx="6">
                  <c:v>358</c:v>
                </c:pt>
                <c:pt idx="7">
                  <c:v>305</c:v>
                </c:pt>
                <c:pt idx="8">
                  <c:v>274</c:v>
                </c:pt>
                <c:pt idx="9">
                  <c:v>244</c:v>
                </c:pt>
                <c:pt idx="10">
                  <c:v>179</c:v>
                </c:pt>
                <c:pt idx="11">
                  <c:v>151</c:v>
                </c:pt>
                <c:pt idx="12">
                  <c:v>165</c:v>
                </c:pt>
                <c:pt idx="13">
                  <c:v>168</c:v>
                </c:pt>
              </c:numCache>
            </c:numRef>
          </c:val>
          <c:smooth val="1"/>
          <c:extLst>
            <c:ext xmlns:c16="http://schemas.microsoft.com/office/drawing/2014/chart" uri="{C3380CC4-5D6E-409C-BE32-E72D297353CC}">
              <c16:uniqueId val="{0000000D-CFED-4FEA-A269-7FF6458C112F}"/>
            </c:ext>
          </c:extLst>
        </c:ser>
        <c:dLbls>
          <c:showLegendKey val="0"/>
          <c:showVal val="1"/>
          <c:showCatName val="0"/>
          <c:showSerName val="0"/>
          <c:showPercent val="0"/>
          <c:showBubbleSize val="0"/>
        </c:dLbls>
        <c:marker val="1"/>
        <c:smooth val="0"/>
        <c:axId val="149215488"/>
        <c:axId val="151139456"/>
      </c:lineChart>
      <c:lineChart>
        <c:grouping val="standard"/>
        <c:varyColors val="0"/>
        <c:ser>
          <c:idx val="1"/>
          <c:order val="1"/>
          <c:tx>
            <c:v>počet domů</c:v>
          </c:tx>
          <c:spPr>
            <a:ln>
              <a:solidFill>
                <a:schemeClr val="accent1">
                  <a:lumMod val="75000"/>
                </a:schemeClr>
              </a:solidFill>
            </a:ln>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E-CFED-4FEA-A269-7FF6458C112F}"/>
                </c:ext>
              </c:extLst>
            </c:dLbl>
            <c:dLbl>
              <c:idx val="1"/>
              <c:delete val="1"/>
              <c:extLst>
                <c:ext xmlns:c15="http://schemas.microsoft.com/office/drawing/2012/chart" uri="{CE6537A1-D6FC-4f65-9D91-7224C49458BB}"/>
                <c:ext xmlns:c16="http://schemas.microsoft.com/office/drawing/2014/chart" uri="{C3380CC4-5D6E-409C-BE32-E72D297353CC}">
                  <c16:uniqueId val="{0000000F-CFED-4FEA-A269-7FF6458C112F}"/>
                </c:ext>
              </c:extLst>
            </c:dLbl>
            <c:dLbl>
              <c:idx val="2"/>
              <c:delete val="1"/>
              <c:extLst>
                <c:ext xmlns:c15="http://schemas.microsoft.com/office/drawing/2012/chart" uri="{CE6537A1-D6FC-4f65-9D91-7224C49458BB}"/>
                <c:ext xmlns:c16="http://schemas.microsoft.com/office/drawing/2014/chart" uri="{C3380CC4-5D6E-409C-BE32-E72D297353CC}">
                  <c16:uniqueId val="{00000010-CFED-4FEA-A269-7FF6458C112F}"/>
                </c:ext>
              </c:extLst>
            </c:dLbl>
            <c:dLbl>
              <c:idx val="3"/>
              <c:delete val="1"/>
              <c:extLst>
                <c:ext xmlns:c15="http://schemas.microsoft.com/office/drawing/2012/chart" uri="{CE6537A1-D6FC-4f65-9D91-7224C49458BB}"/>
                <c:ext xmlns:c16="http://schemas.microsoft.com/office/drawing/2014/chart" uri="{C3380CC4-5D6E-409C-BE32-E72D297353CC}">
                  <c16:uniqueId val="{00000011-CFED-4FEA-A269-7FF6458C112F}"/>
                </c:ext>
              </c:extLst>
            </c:dLbl>
            <c:dLbl>
              <c:idx val="4"/>
              <c:delete val="1"/>
              <c:extLst>
                <c:ext xmlns:c15="http://schemas.microsoft.com/office/drawing/2012/chart" uri="{CE6537A1-D6FC-4f65-9D91-7224C49458BB}"/>
                <c:ext xmlns:c16="http://schemas.microsoft.com/office/drawing/2014/chart" uri="{C3380CC4-5D6E-409C-BE32-E72D297353CC}">
                  <c16:uniqueId val="{00000012-CFED-4FEA-A269-7FF6458C112F}"/>
                </c:ext>
              </c:extLst>
            </c:dLbl>
            <c:dLbl>
              <c:idx val="6"/>
              <c:delete val="1"/>
              <c:extLst>
                <c:ext xmlns:c15="http://schemas.microsoft.com/office/drawing/2012/chart" uri="{CE6537A1-D6FC-4f65-9D91-7224C49458BB}"/>
                <c:ext xmlns:c16="http://schemas.microsoft.com/office/drawing/2014/chart" uri="{C3380CC4-5D6E-409C-BE32-E72D297353CC}">
                  <c16:uniqueId val="{00000013-CFED-4FEA-A269-7FF6458C112F}"/>
                </c:ext>
              </c:extLst>
            </c:dLbl>
            <c:dLbl>
              <c:idx val="7"/>
              <c:delete val="1"/>
              <c:extLst>
                <c:ext xmlns:c15="http://schemas.microsoft.com/office/drawing/2012/chart" uri="{CE6537A1-D6FC-4f65-9D91-7224C49458BB}"/>
                <c:ext xmlns:c16="http://schemas.microsoft.com/office/drawing/2014/chart" uri="{C3380CC4-5D6E-409C-BE32-E72D297353CC}">
                  <c16:uniqueId val="{00000014-CFED-4FEA-A269-7FF6458C112F}"/>
                </c:ext>
              </c:extLst>
            </c:dLbl>
            <c:dLbl>
              <c:idx val="8"/>
              <c:delete val="1"/>
              <c:extLst>
                <c:ext xmlns:c15="http://schemas.microsoft.com/office/drawing/2012/chart" uri="{CE6537A1-D6FC-4f65-9D91-7224C49458BB}"/>
                <c:ext xmlns:c16="http://schemas.microsoft.com/office/drawing/2014/chart" uri="{C3380CC4-5D6E-409C-BE32-E72D297353CC}">
                  <c16:uniqueId val="{00000015-CFED-4FEA-A269-7FF6458C112F}"/>
                </c:ext>
              </c:extLst>
            </c:dLbl>
            <c:dLbl>
              <c:idx val="9"/>
              <c:delete val="1"/>
              <c:extLst>
                <c:ext xmlns:c15="http://schemas.microsoft.com/office/drawing/2012/chart" uri="{CE6537A1-D6FC-4f65-9D91-7224C49458BB}"/>
                <c:ext xmlns:c16="http://schemas.microsoft.com/office/drawing/2014/chart" uri="{C3380CC4-5D6E-409C-BE32-E72D297353CC}">
                  <c16:uniqueId val="{00000016-CFED-4FEA-A269-7FF6458C112F}"/>
                </c:ext>
              </c:extLst>
            </c:dLbl>
            <c:dLbl>
              <c:idx val="10"/>
              <c:delete val="1"/>
              <c:extLst>
                <c:ext xmlns:c15="http://schemas.microsoft.com/office/drawing/2012/chart" uri="{CE6537A1-D6FC-4f65-9D91-7224C49458BB}"/>
                <c:ext xmlns:c16="http://schemas.microsoft.com/office/drawing/2014/chart" uri="{C3380CC4-5D6E-409C-BE32-E72D297353CC}">
                  <c16:uniqueId val="{00000017-CFED-4FEA-A269-7FF6458C112F}"/>
                </c:ext>
              </c:extLst>
            </c:dLbl>
            <c:dLbl>
              <c:idx val="11"/>
              <c:delete val="1"/>
              <c:extLst>
                <c:ext xmlns:c15="http://schemas.microsoft.com/office/drawing/2012/chart" uri="{CE6537A1-D6FC-4f65-9D91-7224C49458BB}"/>
                <c:ext xmlns:c16="http://schemas.microsoft.com/office/drawing/2014/chart" uri="{C3380CC4-5D6E-409C-BE32-E72D297353CC}">
                  <c16:uniqueId val="{00000018-CFED-4FEA-A269-7FF6458C112F}"/>
                </c:ext>
              </c:extLst>
            </c:dLbl>
            <c:dLbl>
              <c:idx val="12"/>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CFED-4FEA-A269-7FF6458C112F}"/>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CFED-4FEA-A269-7FF6458C112F}"/>
                </c:ext>
              </c:extLst>
            </c:dLbl>
            <c:spPr>
              <a:noFill/>
              <a:ln>
                <a:noFill/>
              </a:ln>
              <a:effectLst/>
            </c:spPr>
            <c:txPr>
              <a:bodyPr/>
              <a:lstStyle/>
              <a:p>
                <a:pPr>
                  <a:defRPr>
                    <a:solidFill>
                      <a:schemeClr val="accent1">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List1!$Q$1:$AD$1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List1!$Q$3:$AD$3</c:f>
              <c:numCache>
                <c:formatCode>#,##0</c:formatCode>
                <c:ptCount val="14"/>
                <c:pt idx="0">
                  <c:v>52</c:v>
                </c:pt>
                <c:pt idx="1">
                  <c:v>54</c:v>
                </c:pt>
                <c:pt idx="2">
                  <c:v>53</c:v>
                </c:pt>
                <c:pt idx="3">
                  <c:v>53</c:v>
                </c:pt>
                <c:pt idx="4">
                  <c:v>58</c:v>
                </c:pt>
                <c:pt idx="5">
                  <c:v>58</c:v>
                </c:pt>
                <c:pt idx="6">
                  <c:v>75</c:v>
                </c:pt>
                <c:pt idx="7">
                  <c:v>79</c:v>
                </c:pt>
                <c:pt idx="8">
                  <c:v>103</c:v>
                </c:pt>
                <c:pt idx="9">
                  <c:v>73</c:v>
                </c:pt>
                <c:pt idx="10">
                  <c:v>63</c:v>
                </c:pt>
                <c:pt idx="11">
                  <c:v>70</c:v>
                </c:pt>
                <c:pt idx="12">
                  <c:v>75</c:v>
                </c:pt>
                <c:pt idx="13">
                  <c:v>81</c:v>
                </c:pt>
              </c:numCache>
            </c:numRef>
          </c:val>
          <c:smooth val="1"/>
          <c:extLst>
            <c:ext xmlns:c16="http://schemas.microsoft.com/office/drawing/2014/chart" uri="{C3380CC4-5D6E-409C-BE32-E72D297353CC}">
              <c16:uniqueId val="{0000001B-CFED-4FEA-A269-7FF6458C112F}"/>
            </c:ext>
          </c:extLst>
        </c:ser>
        <c:dLbls>
          <c:showLegendKey val="0"/>
          <c:showVal val="1"/>
          <c:showCatName val="0"/>
          <c:showSerName val="0"/>
          <c:showPercent val="0"/>
          <c:showBubbleSize val="0"/>
        </c:dLbls>
        <c:marker val="1"/>
        <c:smooth val="0"/>
        <c:axId val="151180416"/>
        <c:axId val="151141376"/>
      </c:lineChart>
      <c:catAx>
        <c:axId val="149215488"/>
        <c:scaling>
          <c:orientation val="minMax"/>
        </c:scaling>
        <c:delete val="0"/>
        <c:axPos val="b"/>
        <c:majorGridlines/>
        <c:minorGridlines/>
        <c:numFmt formatCode="General" sourceLinked="1"/>
        <c:majorTickMark val="out"/>
        <c:minorTickMark val="none"/>
        <c:tickLblPos val="nextTo"/>
        <c:crossAx val="151139456"/>
        <c:crosses val="autoZero"/>
        <c:auto val="1"/>
        <c:lblAlgn val="ctr"/>
        <c:lblOffset val="100"/>
        <c:noMultiLvlLbl val="0"/>
      </c:catAx>
      <c:valAx>
        <c:axId val="151139456"/>
        <c:scaling>
          <c:orientation val="minMax"/>
        </c:scaling>
        <c:delete val="0"/>
        <c:axPos val="l"/>
        <c:majorGridlines/>
        <c:title>
          <c:tx>
            <c:rich>
              <a:bodyPr rot="-5400000" vert="horz"/>
              <a:lstStyle/>
              <a:p>
                <a:pPr>
                  <a:defRPr/>
                </a:pPr>
                <a:r>
                  <a:rPr lang="cs-CZ"/>
                  <a:t>počet obyvatel</a:t>
                </a:r>
              </a:p>
            </c:rich>
          </c:tx>
          <c:overlay val="0"/>
        </c:title>
        <c:numFmt formatCode="#,##0" sourceLinked="1"/>
        <c:majorTickMark val="out"/>
        <c:minorTickMark val="none"/>
        <c:tickLblPos val="nextTo"/>
        <c:crossAx val="149215488"/>
        <c:crosses val="autoZero"/>
        <c:crossBetween val="between"/>
      </c:valAx>
      <c:valAx>
        <c:axId val="151141376"/>
        <c:scaling>
          <c:orientation val="minMax"/>
        </c:scaling>
        <c:delete val="0"/>
        <c:axPos val="r"/>
        <c:title>
          <c:tx>
            <c:rich>
              <a:bodyPr rot="-5400000" vert="horz"/>
              <a:lstStyle/>
              <a:p>
                <a:pPr>
                  <a:defRPr/>
                </a:pPr>
                <a:r>
                  <a:rPr lang="cs-CZ"/>
                  <a:t>počet domů</a:t>
                </a:r>
              </a:p>
            </c:rich>
          </c:tx>
          <c:overlay val="0"/>
        </c:title>
        <c:numFmt formatCode="#,##0" sourceLinked="1"/>
        <c:majorTickMark val="out"/>
        <c:minorTickMark val="none"/>
        <c:tickLblPos val="nextTo"/>
        <c:crossAx val="151180416"/>
        <c:crosses val="max"/>
        <c:crossBetween val="between"/>
      </c:valAx>
      <c:catAx>
        <c:axId val="151180416"/>
        <c:scaling>
          <c:orientation val="minMax"/>
        </c:scaling>
        <c:delete val="1"/>
        <c:axPos val="b"/>
        <c:numFmt formatCode="General" sourceLinked="1"/>
        <c:majorTickMark val="out"/>
        <c:minorTickMark val="none"/>
        <c:tickLblPos val="none"/>
        <c:crossAx val="151141376"/>
        <c:crosses val="autoZero"/>
        <c:auto val="1"/>
        <c:lblAlgn val="ctr"/>
        <c:lblOffset val="100"/>
        <c:noMultiLvlLbl val="0"/>
      </c:catAx>
    </c:plotArea>
    <c:legend>
      <c:legendPos val="b"/>
      <c:overlay val="0"/>
    </c:legend>
    <c:plotVisOnly val="1"/>
    <c:dispBlanksAs val="gap"/>
    <c:showDLblsOverMax val="0"/>
  </c:chart>
  <c:spPr>
    <a:ln>
      <a:noFill/>
    </a:ln>
  </c:spPr>
  <c:externalData r:id="rId2">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tx>
        <c:rich>
          <a:bodyPr/>
          <a:lstStyle/>
          <a:p>
            <a:pPr>
              <a:defRPr sz="900" i="1"/>
            </a:pPr>
            <a:r>
              <a:rPr lang="en-US" sz="900" i="1"/>
              <a:t>Dlouhodobý vývoj počtu obyvatel</a:t>
            </a:r>
            <a:r>
              <a:rPr lang="cs-CZ" sz="900" i="1"/>
              <a:t> a domů v sídle Kostomlaty nad Labem</a:t>
            </a:r>
          </a:p>
        </c:rich>
      </c:tx>
      <c:overlay val="0"/>
    </c:title>
    <c:autoTitleDeleted val="0"/>
    <c:plotArea>
      <c:layout>
        <c:manualLayout>
          <c:layoutTarget val="inner"/>
          <c:xMode val="edge"/>
          <c:yMode val="edge"/>
          <c:x val="0.13595446811725054"/>
          <c:y val="0.11645554193945877"/>
          <c:w val="0.74483386869925861"/>
          <c:h val="0.67230384357587292"/>
        </c:manualLayout>
      </c:layout>
      <c:lineChart>
        <c:grouping val="standard"/>
        <c:varyColors val="0"/>
        <c:ser>
          <c:idx val="0"/>
          <c:order val="0"/>
          <c:tx>
            <c:strRef>
              <c:f>'[grafy - sídla.xlsx]List1'!$N$6</c:f>
              <c:strCache>
                <c:ptCount val="1"/>
                <c:pt idx="0">
                  <c:v>počet obyvatel</c:v>
                </c:pt>
              </c:strCache>
            </c:strRef>
          </c:tx>
          <c:spPr>
            <a:ln>
              <a:solidFill>
                <a:schemeClr val="accent6">
                  <a:lumMod val="75000"/>
                </a:schemeClr>
              </a:solidFill>
            </a:ln>
          </c:spPr>
          <c:marker>
            <c:symbol val="none"/>
          </c:marker>
          <c:dLbls>
            <c:dLbl>
              <c:idx val="5"/>
              <c:tx>
                <c:rich>
                  <a:bodyPr/>
                  <a:lstStyle/>
                  <a:p>
                    <a:r>
                      <a:rPr lang="en-US">
                        <a:solidFill>
                          <a:schemeClr val="accent6">
                            <a:lumMod val="75000"/>
                          </a:schemeClr>
                        </a:solidFill>
                      </a:rPr>
                      <a:t>62</a:t>
                    </a:r>
                  </a:p>
                </c:rich>
              </c:tx>
              <c:dLblPos val="t"/>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0-90EE-4F11-94BA-69E6E8F68E1F}"/>
                </c:ext>
              </c:extLst>
            </c:dLbl>
            <c:dLbl>
              <c:idx val="13"/>
              <c:layout>
                <c:manualLayout>
                  <c:x val="-2.1942199064467565E-3"/>
                  <c:y val="-3.1023633331596228E-2"/>
                </c:manualLayout>
              </c:layout>
              <c:tx>
                <c:rich>
                  <a:bodyPr/>
                  <a:lstStyle/>
                  <a:p>
                    <a:r>
                      <a:rPr lang="en-US">
                        <a:solidFill>
                          <a:schemeClr val="accent6">
                            <a:lumMod val="75000"/>
                          </a:schemeClr>
                        </a:solidFill>
                      </a:rPr>
                      <a:t>0</a:t>
                    </a:r>
                  </a:p>
                </c:rich>
              </c:tx>
              <c:dLblPos val="r"/>
              <c:showLegendKey val="0"/>
              <c:showVal val="1"/>
              <c:showCatName val="0"/>
              <c:showSerName val="0"/>
              <c:showPercent val="0"/>
              <c:showBubbleSize val="0"/>
              <c:extLst>
                <c:ext xmlns:c15="http://schemas.microsoft.com/office/drawing/2012/chart" uri="{CE6537A1-D6FC-4f65-9D91-7224C49458BB}">
                  <c15:showDataLabelsRange val="0"/>
                </c:ext>
                <c:ext xmlns:c16="http://schemas.microsoft.com/office/drawing/2014/chart" uri="{C3380CC4-5D6E-409C-BE32-E72D297353CC}">
                  <c16:uniqueId val="{00000001-90EE-4F11-94BA-69E6E8F68E1F}"/>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'[grafy - sídla.xlsx]List1'!$A$1:$N$1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'[grafy - sídla.xlsx]List1'!$A$103:$N$103</c:f>
              <c:numCache>
                <c:formatCode>#,##0</c:formatCode>
                <c:ptCount val="14"/>
                <c:pt idx="0">
                  <c:v>633</c:v>
                </c:pt>
                <c:pt idx="1">
                  <c:v>726</c:v>
                </c:pt>
                <c:pt idx="2">
                  <c:v>794</c:v>
                </c:pt>
                <c:pt idx="3">
                  <c:v>741</c:v>
                </c:pt>
                <c:pt idx="4">
                  <c:v>816</c:v>
                </c:pt>
                <c:pt idx="5">
                  <c:v>947</c:v>
                </c:pt>
                <c:pt idx="6">
                  <c:v>1135</c:v>
                </c:pt>
                <c:pt idx="7">
                  <c:v>1131</c:v>
                </c:pt>
                <c:pt idx="8">
                  <c:v>1318</c:v>
                </c:pt>
                <c:pt idx="9">
                  <c:v>1128</c:v>
                </c:pt>
                <c:pt idx="10">
                  <c:v>1195</c:v>
                </c:pt>
                <c:pt idx="11">
                  <c:v>1208</c:v>
                </c:pt>
                <c:pt idx="12">
                  <c:v>1216</c:v>
                </c:pt>
                <c:pt idx="13">
                  <c:v>1339</c:v>
                </c:pt>
              </c:numCache>
            </c:numRef>
          </c:val>
          <c:smooth val="1"/>
          <c:extLst>
            <c:ext xmlns:c16="http://schemas.microsoft.com/office/drawing/2014/chart" uri="{C3380CC4-5D6E-409C-BE32-E72D297353CC}">
              <c16:uniqueId val="{00000002-90EE-4F11-94BA-69E6E8F68E1F}"/>
            </c:ext>
          </c:extLst>
        </c:ser>
        <c:dLbls>
          <c:showLegendKey val="0"/>
          <c:showVal val="1"/>
          <c:showCatName val="0"/>
          <c:showSerName val="0"/>
          <c:showPercent val="0"/>
          <c:showBubbleSize val="0"/>
        </c:dLbls>
        <c:marker val="1"/>
        <c:smooth val="0"/>
        <c:axId val="134518656"/>
        <c:axId val="134520192"/>
      </c:lineChart>
      <c:lineChart>
        <c:grouping val="standard"/>
        <c:varyColors val="0"/>
        <c:ser>
          <c:idx val="1"/>
          <c:order val="1"/>
          <c:tx>
            <c:strRef>
              <c:f>'[grafy - sídla.xlsx]List1'!$N$7</c:f>
              <c:strCache>
                <c:ptCount val="1"/>
                <c:pt idx="0">
                  <c:v>počet domů</c:v>
                </c:pt>
              </c:strCache>
            </c:strRef>
          </c:tx>
          <c:spPr>
            <a:ln>
              <a:solidFill>
                <a:schemeClr val="accent1">
                  <a:lumMod val="75000"/>
                </a:schemeClr>
              </a:solidFill>
            </a:ln>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3-90EE-4F11-94BA-69E6E8F68E1F}"/>
                </c:ext>
              </c:extLst>
            </c:dLbl>
            <c:dLbl>
              <c:idx val="6"/>
              <c:delete val="1"/>
              <c:extLst>
                <c:ext xmlns:c15="http://schemas.microsoft.com/office/drawing/2012/chart" uri="{CE6537A1-D6FC-4f65-9D91-7224C49458BB}"/>
                <c:ext xmlns:c16="http://schemas.microsoft.com/office/drawing/2014/chart" uri="{C3380CC4-5D6E-409C-BE32-E72D297353CC}">
                  <c16:uniqueId val="{00000004-90EE-4F11-94BA-69E6E8F68E1F}"/>
                </c:ext>
              </c:extLst>
            </c:dLbl>
            <c:dLbl>
              <c:idx val="7"/>
              <c:delete val="1"/>
              <c:extLst>
                <c:ext xmlns:c15="http://schemas.microsoft.com/office/drawing/2012/chart" uri="{CE6537A1-D6FC-4f65-9D91-7224C49458BB}"/>
                <c:ext xmlns:c16="http://schemas.microsoft.com/office/drawing/2014/chart" uri="{C3380CC4-5D6E-409C-BE32-E72D297353CC}">
                  <c16:uniqueId val="{00000005-90EE-4F11-94BA-69E6E8F68E1F}"/>
                </c:ext>
              </c:extLst>
            </c:dLbl>
            <c:dLbl>
              <c:idx val="8"/>
              <c:delete val="1"/>
              <c:extLst>
                <c:ext xmlns:c15="http://schemas.microsoft.com/office/drawing/2012/chart" uri="{CE6537A1-D6FC-4f65-9D91-7224C49458BB}"/>
                <c:ext xmlns:c16="http://schemas.microsoft.com/office/drawing/2014/chart" uri="{C3380CC4-5D6E-409C-BE32-E72D297353CC}">
                  <c16:uniqueId val="{00000006-90EE-4F11-94BA-69E6E8F68E1F}"/>
                </c:ext>
              </c:extLst>
            </c:dLbl>
            <c:dLbl>
              <c:idx val="9"/>
              <c:delete val="1"/>
              <c:extLst>
                <c:ext xmlns:c15="http://schemas.microsoft.com/office/drawing/2012/chart" uri="{CE6537A1-D6FC-4f65-9D91-7224C49458BB}"/>
                <c:ext xmlns:c16="http://schemas.microsoft.com/office/drawing/2014/chart" uri="{C3380CC4-5D6E-409C-BE32-E72D297353CC}">
                  <c16:uniqueId val="{00000007-90EE-4F11-94BA-69E6E8F68E1F}"/>
                </c:ext>
              </c:extLst>
            </c:dLbl>
            <c:dLbl>
              <c:idx val="10"/>
              <c:delete val="1"/>
              <c:extLst>
                <c:ext xmlns:c15="http://schemas.microsoft.com/office/drawing/2012/chart" uri="{CE6537A1-D6FC-4f65-9D91-7224C49458BB}"/>
                <c:ext xmlns:c16="http://schemas.microsoft.com/office/drawing/2014/chart" uri="{C3380CC4-5D6E-409C-BE32-E72D297353CC}">
                  <c16:uniqueId val="{00000008-90EE-4F11-94BA-69E6E8F68E1F}"/>
                </c:ext>
              </c:extLst>
            </c:dLbl>
            <c:dLbl>
              <c:idx val="11"/>
              <c:delete val="1"/>
              <c:extLst>
                <c:ext xmlns:c15="http://schemas.microsoft.com/office/drawing/2012/chart" uri="{CE6537A1-D6FC-4f65-9D91-7224C49458BB}"/>
                <c:ext xmlns:c16="http://schemas.microsoft.com/office/drawing/2014/chart" uri="{C3380CC4-5D6E-409C-BE32-E72D297353CC}">
                  <c16:uniqueId val="{00000009-90EE-4F11-94BA-69E6E8F68E1F}"/>
                </c:ext>
              </c:extLst>
            </c:dLbl>
            <c:dLbl>
              <c:idx val="12"/>
              <c:delete val="1"/>
              <c:extLst>
                <c:ext xmlns:c15="http://schemas.microsoft.com/office/drawing/2012/chart" uri="{CE6537A1-D6FC-4f65-9D91-7224C49458BB}"/>
                <c:ext xmlns:c16="http://schemas.microsoft.com/office/drawing/2014/chart" uri="{C3380CC4-5D6E-409C-BE32-E72D297353CC}">
                  <c16:uniqueId val="{0000000A-90EE-4F11-94BA-69E6E8F68E1F}"/>
                </c:ext>
              </c:extLst>
            </c:dLbl>
            <c:dLbl>
              <c:idx val="13"/>
              <c:layout>
                <c:manualLayout>
                  <c:x val="-2.1942199064467565E-3"/>
                  <c:y val="1.0341211110532076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90EE-4F11-94BA-69E6E8F68E1F}"/>
                </c:ext>
              </c:extLst>
            </c:dLbl>
            <c:spPr>
              <a:noFill/>
              <a:ln>
                <a:noFill/>
              </a:ln>
              <a:effectLst/>
            </c:spPr>
            <c:txPr>
              <a:bodyPr/>
              <a:lstStyle/>
              <a:p>
                <a:pPr>
                  <a:defRPr>
                    <a:solidFill>
                      <a:schemeClr val="accent1">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'[grafy - sídla.xlsx]List1'!$A$1:$N$1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'[grafy - sídla.xlsx]List1'!$A$104:$N$104</c:f>
              <c:numCache>
                <c:formatCode>#,##0</c:formatCode>
                <c:ptCount val="14"/>
                <c:pt idx="0">
                  <c:v>81</c:v>
                </c:pt>
                <c:pt idx="1">
                  <c:v>92</c:v>
                </c:pt>
                <c:pt idx="2">
                  <c:v>99</c:v>
                </c:pt>
                <c:pt idx="3">
                  <c:v>106</c:v>
                </c:pt>
                <c:pt idx="4">
                  <c:v>128</c:v>
                </c:pt>
                <c:pt idx="5">
                  <c:v>166</c:v>
                </c:pt>
                <c:pt idx="6">
                  <c:v>240</c:v>
                </c:pt>
                <c:pt idx="7">
                  <c:v>314</c:v>
                </c:pt>
                <c:pt idx="8">
                  <c:v>406</c:v>
                </c:pt>
                <c:pt idx="9">
                  <c:v>321</c:v>
                </c:pt>
                <c:pt idx="10">
                  <c:v>330</c:v>
                </c:pt>
                <c:pt idx="11">
                  <c:v>385</c:v>
                </c:pt>
                <c:pt idx="12">
                  <c:v>412</c:v>
                </c:pt>
                <c:pt idx="13">
                  <c:v>468</c:v>
                </c:pt>
              </c:numCache>
            </c:numRef>
          </c:val>
          <c:smooth val="1"/>
          <c:extLst>
            <c:ext xmlns:c16="http://schemas.microsoft.com/office/drawing/2014/chart" uri="{C3380CC4-5D6E-409C-BE32-E72D297353CC}">
              <c16:uniqueId val="{0000000C-90EE-4F11-94BA-69E6E8F68E1F}"/>
            </c:ext>
          </c:extLst>
        </c:ser>
        <c:dLbls>
          <c:showLegendKey val="0"/>
          <c:showVal val="1"/>
          <c:showCatName val="0"/>
          <c:showSerName val="0"/>
          <c:showPercent val="0"/>
          <c:showBubbleSize val="0"/>
        </c:dLbls>
        <c:marker val="1"/>
        <c:smooth val="0"/>
        <c:axId val="137235840"/>
        <c:axId val="137233920"/>
      </c:lineChart>
      <c:catAx>
        <c:axId val="134518656"/>
        <c:scaling>
          <c:orientation val="minMax"/>
        </c:scaling>
        <c:delete val="0"/>
        <c:axPos val="b"/>
        <c:majorGridlines/>
        <c:minorGridlines/>
        <c:numFmt formatCode="General" sourceLinked="1"/>
        <c:majorTickMark val="out"/>
        <c:minorTickMark val="none"/>
        <c:tickLblPos val="nextTo"/>
        <c:crossAx val="134520192"/>
        <c:crosses val="autoZero"/>
        <c:auto val="1"/>
        <c:lblAlgn val="ctr"/>
        <c:lblOffset val="100"/>
        <c:noMultiLvlLbl val="0"/>
      </c:catAx>
      <c:valAx>
        <c:axId val="134520192"/>
        <c:scaling>
          <c:orientation val="minMax"/>
        </c:scaling>
        <c:delete val="0"/>
        <c:axPos val="l"/>
        <c:majorGridlines/>
        <c:title>
          <c:tx>
            <c:rich>
              <a:bodyPr rot="-5400000" vert="horz"/>
              <a:lstStyle/>
              <a:p>
                <a:pPr>
                  <a:defRPr/>
                </a:pPr>
                <a:r>
                  <a:rPr lang="cs-CZ"/>
                  <a:t>počet obyvatel</a:t>
                </a:r>
              </a:p>
            </c:rich>
          </c:tx>
          <c:overlay val="0"/>
        </c:title>
        <c:numFmt formatCode="#,##0" sourceLinked="1"/>
        <c:majorTickMark val="out"/>
        <c:minorTickMark val="none"/>
        <c:tickLblPos val="nextTo"/>
        <c:crossAx val="134518656"/>
        <c:crosses val="autoZero"/>
        <c:crossBetween val="between"/>
      </c:valAx>
      <c:valAx>
        <c:axId val="137233920"/>
        <c:scaling>
          <c:orientation val="minMax"/>
        </c:scaling>
        <c:delete val="0"/>
        <c:axPos val="r"/>
        <c:title>
          <c:tx>
            <c:rich>
              <a:bodyPr rot="-5400000" vert="horz"/>
              <a:lstStyle/>
              <a:p>
                <a:pPr>
                  <a:defRPr/>
                </a:pPr>
                <a:r>
                  <a:rPr lang="cs-CZ"/>
                  <a:t>počet domů</a:t>
                </a:r>
              </a:p>
            </c:rich>
          </c:tx>
          <c:overlay val="0"/>
        </c:title>
        <c:numFmt formatCode="#,##0" sourceLinked="1"/>
        <c:majorTickMark val="out"/>
        <c:minorTickMark val="none"/>
        <c:tickLblPos val="nextTo"/>
        <c:crossAx val="137235840"/>
        <c:crosses val="max"/>
        <c:crossBetween val="between"/>
      </c:valAx>
      <c:catAx>
        <c:axId val="137235840"/>
        <c:scaling>
          <c:orientation val="minMax"/>
        </c:scaling>
        <c:delete val="1"/>
        <c:axPos val="b"/>
        <c:numFmt formatCode="General" sourceLinked="1"/>
        <c:majorTickMark val="out"/>
        <c:minorTickMark val="none"/>
        <c:tickLblPos val="none"/>
        <c:crossAx val="137233920"/>
        <c:crosses val="autoZero"/>
        <c:auto val="1"/>
        <c:lblAlgn val="ctr"/>
        <c:lblOffset val="100"/>
        <c:noMultiLvlLbl val="0"/>
      </c:catAx>
    </c:plotArea>
    <c:legend>
      <c:legendPos val="b"/>
      <c:overlay val="0"/>
    </c:legend>
    <c:plotVisOnly val="1"/>
    <c:dispBlanksAs val="gap"/>
    <c:showDLblsOverMax val="0"/>
  </c:chart>
  <c:spPr>
    <a:ln>
      <a:noFill/>
    </a:ln>
  </c:sp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tx>
        <c:rich>
          <a:bodyPr/>
          <a:lstStyle/>
          <a:p>
            <a:pPr>
              <a:defRPr sz="900" i="1"/>
            </a:pPr>
            <a:r>
              <a:rPr lang="en-US" sz="900" i="1"/>
              <a:t>Dlouhodobý vývoj počtu obyvatel</a:t>
            </a:r>
            <a:r>
              <a:rPr lang="cs-CZ" sz="900" i="1"/>
              <a:t> a domů v sídle Lány</a:t>
            </a:r>
          </a:p>
        </c:rich>
      </c:tx>
      <c:overlay val="0"/>
    </c:title>
    <c:autoTitleDeleted val="0"/>
    <c:plotArea>
      <c:layout/>
      <c:lineChart>
        <c:grouping val="standard"/>
        <c:varyColors val="0"/>
        <c:ser>
          <c:idx val="0"/>
          <c:order val="0"/>
          <c:tx>
            <c:strRef>
              <c:f>List1!$N$6</c:f>
              <c:strCache>
                <c:ptCount val="1"/>
                <c:pt idx="0">
                  <c:v>počet obyvatel</c:v>
                </c:pt>
              </c:strCache>
            </c:strRef>
          </c:tx>
          <c:spPr>
            <a:ln>
              <a:solidFill>
                <a:schemeClr val="accent6">
                  <a:lumMod val="75000"/>
                </a:schemeClr>
              </a:solidFill>
            </a:ln>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0-D634-418E-82CD-DD3D3134472D}"/>
                </c:ext>
              </c:extLst>
            </c:dLbl>
            <c:dLbl>
              <c:idx val="2"/>
              <c:delete val="1"/>
              <c:extLst>
                <c:ext xmlns:c15="http://schemas.microsoft.com/office/drawing/2012/chart" uri="{CE6537A1-D6FC-4f65-9D91-7224C49458BB}"/>
                <c:ext xmlns:c16="http://schemas.microsoft.com/office/drawing/2014/chart" uri="{C3380CC4-5D6E-409C-BE32-E72D297353CC}">
                  <c16:uniqueId val="{00000001-D634-418E-82CD-DD3D3134472D}"/>
                </c:ext>
              </c:extLst>
            </c:dLbl>
            <c:dLbl>
              <c:idx val="3"/>
              <c:delete val="1"/>
              <c:extLst>
                <c:ext xmlns:c15="http://schemas.microsoft.com/office/drawing/2012/chart" uri="{CE6537A1-D6FC-4f65-9D91-7224C49458BB}"/>
                <c:ext xmlns:c16="http://schemas.microsoft.com/office/drawing/2014/chart" uri="{C3380CC4-5D6E-409C-BE32-E72D297353CC}">
                  <c16:uniqueId val="{00000002-D634-418E-82CD-DD3D3134472D}"/>
                </c:ext>
              </c:extLst>
            </c:dLbl>
            <c:dLbl>
              <c:idx val="4"/>
              <c:delete val="1"/>
              <c:extLst>
                <c:ext xmlns:c15="http://schemas.microsoft.com/office/drawing/2012/chart" uri="{CE6537A1-D6FC-4f65-9D91-7224C49458BB}"/>
                <c:ext xmlns:c16="http://schemas.microsoft.com/office/drawing/2014/chart" uri="{C3380CC4-5D6E-409C-BE32-E72D297353CC}">
                  <c16:uniqueId val="{00000003-D634-418E-82CD-DD3D3134472D}"/>
                </c:ext>
              </c:extLst>
            </c:dLbl>
            <c:dLbl>
              <c:idx val="5"/>
              <c:delete val="1"/>
              <c:extLst>
                <c:ext xmlns:c15="http://schemas.microsoft.com/office/drawing/2012/chart" uri="{CE6537A1-D6FC-4f65-9D91-7224C49458BB}"/>
                <c:ext xmlns:c16="http://schemas.microsoft.com/office/drawing/2014/chart" uri="{C3380CC4-5D6E-409C-BE32-E72D297353CC}">
                  <c16:uniqueId val="{00000004-D634-418E-82CD-DD3D3134472D}"/>
                </c:ext>
              </c:extLst>
            </c:dLbl>
            <c:dLbl>
              <c:idx val="6"/>
              <c:delete val="1"/>
              <c:extLst>
                <c:ext xmlns:c15="http://schemas.microsoft.com/office/drawing/2012/chart" uri="{CE6537A1-D6FC-4f65-9D91-7224C49458BB}"/>
                <c:ext xmlns:c16="http://schemas.microsoft.com/office/drawing/2014/chart" uri="{C3380CC4-5D6E-409C-BE32-E72D297353CC}">
                  <c16:uniqueId val="{00000005-D634-418E-82CD-DD3D3134472D}"/>
                </c:ext>
              </c:extLst>
            </c:dLbl>
            <c:dLbl>
              <c:idx val="7"/>
              <c:delete val="1"/>
              <c:extLst>
                <c:ext xmlns:c15="http://schemas.microsoft.com/office/drawing/2012/chart" uri="{CE6537A1-D6FC-4f65-9D91-7224C49458BB}"/>
                <c:ext xmlns:c16="http://schemas.microsoft.com/office/drawing/2014/chart" uri="{C3380CC4-5D6E-409C-BE32-E72D297353CC}">
                  <c16:uniqueId val="{00000006-D634-418E-82CD-DD3D3134472D}"/>
                </c:ext>
              </c:extLst>
            </c:dLbl>
            <c:dLbl>
              <c:idx val="8"/>
              <c:delete val="1"/>
              <c:extLst>
                <c:ext xmlns:c15="http://schemas.microsoft.com/office/drawing/2012/chart" uri="{CE6537A1-D6FC-4f65-9D91-7224C49458BB}"/>
                <c:ext xmlns:c16="http://schemas.microsoft.com/office/drawing/2014/chart" uri="{C3380CC4-5D6E-409C-BE32-E72D297353CC}">
                  <c16:uniqueId val="{00000007-D634-418E-82CD-DD3D3134472D}"/>
                </c:ext>
              </c:extLst>
            </c:dLbl>
            <c:dLbl>
              <c:idx val="9"/>
              <c:delete val="1"/>
              <c:extLst>
                <c:ext xmlns:c15="http://schemas.microsoft.com/office/drawing/2012/chart" uri="{CE6537A1-D6FC-4f65-9D91-7224C49458BB}"/>
                <c:ext xmlns:c16="http://schemas.microsoft.com/office/drawing/2014/chart" uri="{C3380CC4-5D6E-409C-BE32-E72D297353CC}">
                  <c16:uniqueId val="{00000008-D634-418E-82CD-DD3D3134472D}"/>
                </c:ext>
              </c:extLst>
            </c:dLbl>
            <c:dLbl>
              <c:idx val="10"/>
              <c:delete val="1"/>
              <c:extLst>
                <c:ext xmlns:c15="http://schemas.microsoft.com/office/drawing/2012/chart" uri="{CE6537A1-D6FC-4f65-9D91-7224C49458BB}"/>
                <c:ext xmlns:c16="http://schemas.microsoft.com/office/drawing/2014/chart" uri="{C3380CC4-5D6E-409C-BE32-E72D297353CC}">
                  <c16:uniqueId val="{00000009-D634-418E-82CD-DD3D3134472D}"/>
                </c:ext>
              </c:extLst>
            </c:dLbl>
            <c:dLbl>
              <c:idx val="11"/>
              <c:delete val="1"/>
              <c:extLst>
                <c:ext xmlns:c15="http://schemas.microsoft.com/office/drawing/2012/chart" uri="{CE6537A1-D6FC-4f65-9D91-7224C49458BB}"/>
                <c:ext xmlns:c16="http://schemas.microsoft.com/office/drawing/2014/chart" uri="{C3380CC4-5D6E-409C-BE32-E72D297353CC}">
                  <c16:uniqueId val="{0000000A-D634-418E-82CD-DD3D3134472D}"/>
                </c:ext>
              </c:extLst>
            </c:dLbl>
            <c:dLbl>
              <c:idx val="12"/>
              <c:delete val="1"/>
              <c:extLst>
                <c:ext xmlns:c15="http://schemas.microsoft.com/office/drawing/2012/chart" uri="{CE6537A1-D6FC-4f65-9D91-7224C49458BB}"/>
                <c:ext xmlns:c16="http://schemas.microsoft.com/office/drawing/2014/chart" uri="{C3380CC4-5D6E-409C-BE32-E72D297353CC}">
                  <c16:uniqueId val="{0000000B-D634-418E-82CD-DD3D3134472D}"/>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634-418E-82CD-DD3D3134472D}"/>
                </c:ext>
              </c:extLst>
            </c:dLbl>
            <c:spPr>
              <a:noFill/>
              <a:ln>
                <a:noFill/>
              </a:ln>
              <a:effectLst/>
            </c:spPr>
            <c:txPr>
              <a:bodyPr/>
              <a:lstStyle/>
              <a:p>
                <a:pPr>
                  <a:defRPr>
                    <a:solidFill>
                      <a:schemeClr val="accent6">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List1!$A$1:$N$1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List1!$A$27:$N$27</c:f>
              <c:numCache>
                <c:formatCode>#,##0</c:formatCode>
                <c:ptCount val="14"/>
                <c:pt idx="0">
                  <c:v>326</c:v>
                </c:pt>
                <c:pt idx="1">
                  <c:v>334</c:v>
                </c:pt>
                <c:pt idx="2">
                  <c:v>340</c:v>
                </c:pt>
                <c:pt idx="3">
                  <c:v>320</c:v>
                </c:pt>
                <c:pt idx="4">
                  <c:v>276</c:v>
                </c:pt>
                <c:pt idx="5">
                  <c:v>289</c:v>
                </c:pt>
                <c:pt idx="6">
                  <c:v>249</c:v>
                </c:pt>
                <c:pt idx="7">
                  <c:v>192</c:v>
                </c:pt>
                <c:pt idx="9">
                  <c:v>146</c:v>
                </c:pt>
                <c:pt idx="10">
                  <c:v>121</c:v>
                </c:pt>
                <c:pt idx="11">
                  <c:v>99</c:v>
                </c:pt>
                <c:pt idx="12">
                  <c:v>106</c:v>
                </c:pt>
                <c:pt idx="13">
                  <c:v>110</c:v>
                </c:pt>
              </c:numCache>
            </c:numRef>
          </c:val>
          <c:smooth val="1"/>
          <c:extLst>
            <c:ext xmlns:c16="http://schemas.microsoft.com/office/drawing/2014/chart" uri="{C3380CC4-5D6E-409C-BE32-E72D297353CC}">
              <c16:uniqueId val="{0000000D-D634-418E-82CD-DD3D3134472D}"/>
            </c:ext>
          </c:extLst>
        </c:ser>
        <c:dLbls>
          <c:showLegendKey val="0"/>
          <c:showVal val="1"/>
          <c:showCatName val="0"/>
          <c:showSerName val="0"/>
          <c:showPercent val="0"/>
          <c:showBubbleSize val="0"/>
        </c:dLbls>
        <c:marker val="1"/>
        <c:smooth val="0"/>
        <c:axId val="128154624"/>
        <c:axId val="147871616"/>
      </c:lineChart>
      <c:lineChart>
        <c:grouping val="standard"/>
        <c:varyColors val="0"/>
        <c:ser>
          <c:idx val="1"/>
          <c:order val="1"/>
          <c:tx>
            <c:strRef>
              <c:f>List1!$N$7</c:f>
              <c:strCache>
                <c:ptCount val="1"/>
                <c:pt idx="0">
                  <c:v>počet domů</c:v>
                </c:pt>
              </c:strCache>
            </c:strRef>
          </c:tx>
          <c:spPr>
            <a:ln>
              <a:solidFill>
                <a:schemeClr val="accent1">
                  <a:lumMod val="75000"/>
                </a:schemeClr>
              </a:solidFill>
            </a:ln>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E-D634-418E-82CD-DD3D3134472D}"/>
                </c:ext>
              </c:extLst>
            </c:dLbl>
            <c:dLbl>
              <c:idx val="1"/>
              <c:delete val="1"/>
              <c:extLst>
                <c:ext xmlns:c15="http://schemas.microsoft.com/office/drawing/2012/chart" uri="{CE6537A1-D6FC-4f65-9D91-7224C49458BB}"/>
                <c:ext xmlns:c16="http://schemas.microsoft.com/office/drawing/2014/chart" uri="{C3380CC4-5D6E-409C-BE32-E72D297353CC}">
                  <c16:uniqueId val="{0000000F-D634-418E-82CD-DD3D3134472D}"/>
                </c:ext>
              </c:extLst>
            </c:dLbl>
            <c:dLbl>
              <c:idx val="2"/>
              <c:delete val="1"/>
              <c:extLst>
                <c:ext xmlns:c15="http://schemas.microsoft.com/office/drawing/2012/chart" uri="{CE6537A1-D6FC-4f65-9D91-7224C49458BB}"/>
                <c:ext xmlns:c16="http://schemas.microsoft.com/office/drawing/2014/chart" uri="{C3380CC4-5D6E-409C-BE32-E72D297353CC}">
                  <c16:uniqueId val="{00000010-D634-418E-82CD-DD3D3134472D}"/>
                </c:ext>
              </c:extLst>
            </c:dLbl>
            <c:dLbl>
              <c:idx val="3"/>
              <c:delete val="1"/>
              <c:extLst>
                <c:ext xmlns:c15="http://schemas.microsoft.com/office/drawing/2012/chart" uri="{CE6537A1-D6FC-4f65-9D91-7224C49458BB}"/>
                <c:ext xmlns:c16="http://schemas.microsoft.com/office/drawing/2014/chart" uri="{C3380CC4-5D6E-409C-BE32-E72D297353CC}">
                  <c16:uniqueId val="{00000011-D634-418E-82CD-DD3D3134472D}"/>
                </c:ext>
              </c:extLst>
            </c:dLbl>
            <c:dLbl>
              <c:idx val="4"/>
              <c:delete val="1"/>
              <c:extLst>
                <c:ext xmlns:c15="http://schemas.microsoft.com/office/drawing/2012/chart" uri="{CE6537A1-D6FC-4f65-9D91-7224C49458BB}"/>
                <c:ext xmlns:c16="http://schemas.microsoft.com/office/drawing/2014/chart" uri="{C3380CC4-5D6E-409C-BE32-E72D297353CC}">
                  <c16:uniqueId val="{00000012-D634-418E-82CD-DD3D3134472D}"/>
                </c:ext>
              </c:extLst>
            </c:dLbl>
            <c:dLbl>
              <c:idx val="5"/>
              <c:delete val="1"/>
              <c:extLst>
                <c:ext xmlns:c15="http://schemas.microsoft.com/office/drawing/2012/chart" uri="{CE6537A1-D6FC-4f65-9D91-7224C49458BB}"/>
                <c:ext xmlns:c16="http://schemas.microsoft.com/office/drawing/2014/chart" uri="{C3380CC4-5D6E-409C-BE32-E72D297353CC}">
                  <c16:uniqueId val="{00000013-D634-418E-82CD-DD3D3134472D}"/>
                </c:ext>
              </c:extLst>
            </c:dLbl>
            <c:dLbl>
              <c:idx val="6"/>
              <c:delete val="1"/>
              <c:extLst>
                <c:ext xmlns:c15="http://schemas.microsoft.com/office/drawing/2012/chart" uri="{CE6537A1-D6FC-4f65-9D91-7224C49458BB}"/>
                <c:ext xmlns:c16="http://schemas.microsoft.com/office/drawing/2014/chart" uri="{C3380CC4-5D6E-409C-BE32-E72D297353CC}">
                  <c16:uniqueId val="{00000014-D634-418E-82CD-DD3D3134472D}"/>
                </c:ext>
              </c:extLst>
            </c:dLbl>
            <c:dLbl>
              <c:idx val="8"/>
              <c:delete val="1"/>
              <c:extLst>
                <c:ext xmlns:c15="http://schemas.microsoft.com/office/drawing/2012/chart" uri="{CE6537A1-D6FC-4f65-9D91-7224C49458BB}"/>
                <c:ext xmlns:c16="http://schemas.microsoft.com/office/drawing/2014/chart" uri="{C3380CC4-5D6E-409C-BE32-E72D297353CC}">
                  <c16:uniqueId val="{00000015-D634-418E-82CD-DD3D3134472D}"/>
                </c:ext>
              </c:extLst>
            </c:dLbl>
            <c:dLbl>
              <c:idx val="9"/>
              <c:delete val="1"/>
              <c:extLst>
                <c:ext xmlns:c15="http://schemas.microsoft.com/office/drawing/2012/chart" uri="{CE6537A1-D6FC-4f65-9D91-7224C49458BB}"/>
                <c:ext xmlns:c16="http://schemas.microsoft.com/office/drawing/2014/chart" uri="{C3380CC4-5D6E-409C-BE32-E72D297353CC}">
                  <c16:uniqueId val="{00000016-D634-418E-82CD-DD3D3134472D}"/>
                </c:ext>
              </c:extLst>
            </c:dLbl>
            <c:dLbl>
              <c:idx val="10"/>
              <c:delete val="1"/>
              <c:extLst>
                <c:ext xmlns:c15="http://schemas.microsoft.com/office/drawing/2012/chart" uri="{CE6537A1-D6FC-4f65-9D91-7224C49458BB}"/>
                <c:ext xmlns:c16="http://schemas.microsoft.com/office/drawing/2014/chart" uri="{C3380CC4-5D6E-409C-BE32-E72D297353CC}">
                  <c16:uniqueId val="{00000017-D634-418E-82CD-DD3D3134472D}"/>
                </c:ext>
              </c:extLst>
            </c:dLbl>
            <c:dLbl>
              <c:idx val="11"/>
              <c:delete val="1"/>
              <c:extLst>
                <c:ext xmlns:c15="http://schemas.microsoft.com/office/drawing/2012/chart" uri="{CE6537A1-D6FC-4f65-9D91-7224C49458BB}"/>
                <c:ext xmlns:c16="http://schemas.microsoft.com/office/drawing/2014/chart" uri="{C3380CC4-5D6E-409C-BE32-E72D297353CC}">
                  <c16:uniqueId val="{00000018-D634-418E-82CD-DD3D3134472D}"/>
                </c:ext>
              </c:extLst>
            </c:dLbl>
            <c:dLbl>
              <c:idx val="12"/>
              <c:delete val="1"/>
              <c:extLst>
                <c:ext xmlns:c15="http://schemas.microsoft.com/office/drawing/2012/chart" uri="{CE6537A1-D6FC-4f65-9D91-7224C49458BB}"/>
                <c:ext xmlns:c16="http://schemas.microsoft.com/office/drawing/2014/chart" uri="{C3380CC4-5D6E-409C-BE32-E72D297353CC}">
                  <c16:uniqueId val="{00000019-D634-418E-82CD-DD3D3134472D}"/>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D634-418E-82CD-DD3D3134472D}"/>
                </c:ext>
              </c:extLst>
            </c:dLbl>
            <c:spPr>
              <a:noFill/>
              <a:ln>
                <a:noFill/>
              </a:ln>
              <a:effectLst/>
            </c:spPr>
            <c:txPr>
              <a:bodyPr/>
              <a:lstStyle/>
              <a:p>
                <a:pPr>
                  <a:defRPr>
                    <a:solidFill>
                      <a:schemeClr val="accent1">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List1!$A$1:$N$1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List1!$A$28:$N$28</c:f>
              <c:numCache>
                <c:formatCode>#,##0</c:formatCode>
                <c:ptCount val="14"/>
                <c:pt idx="0">
                  <c:v>46</c:v>
                </c:pt>
                <c:pt idx="1">
                  <c:v>47</c:v>
                </c:pt>
                <c:pt idx="2">
                  <c:v>48</c:v>
                </c:pt>
                <c:pt idx="3">
                  <c:v>48</c:v>
                </c:pt>
                <c:pt idx="4">
                  <c:v>56</c:v>
                </c:pt>
                <c:pt idx="5">
                  <c:v>57</c:v>
                </c:pt>
                <c:pt idx="6">
                  <c:v>58</c:v>
                </c:pt>
                <c:pt idx="7">
                  <c:v>57</c:v>
                </c:pt>
                <c:pt idx="9">
                  <c:v>45</c:v>
                </c:pt>
                <c:pt idx="10">
                  <c:v>41</c:v>
                </c:pt>
                <c:pt idx="11">
                  <c:v>50</c:v>
                </c:pt>
                <c:pt idx="12">
                  <c:v>49</c:v>
                </c:pt>
                <c:pt idx="13">
                  <c:v>51</c:v>
                </c:pt>
              </c:numCache>
            </c:numRef>
          </c:val>
          <c:smooth val="1"/>
          <c:extLst>
            <c:ext xmlns:c16="http://schemas.microsoft.com/office/drawing/2014/chart" uri="{C3380CC4-5D6E-409C-BE32-E72D297353CC}">
              <c16:uniqueId val="{0000001B-D634-418E-82CD-DD3D3134472D}"/>
            </c:ext>
          </c:extLst>
        </c:ser>
        <c:dLbls>
          <c:showLegendKey val="0"/>
          <c:showVal val="1"/>
          <c:showCatName val="0"/>
          <c:showSerName val="0"/>
          <c:showPercent val="0"/>
          <c:showBubbleSize val="0"/>
        </c:dLbls>
        <c:marker val="1"/>
        <c:smooth val="0"/>
        <c:axId val="151181952"/>
        <c:axId val="151179648"/>
      </c:lineChart>
      <c:catAx>
        <c:axId val="128154624"/>
        <c:scaling>
          <c:orientation val="minMax"/>
        </c:scaling>
        <c:delete val="0"/>
        <c:axPos val="b"/>
        <c:majorGridlines/>
        <c:minorGridlines/>
        <c:numFmt formatCode="General" sourceLinked="1"/>
        <c:majorTickMark val="out"/>
        <c:minorTickMark val="none"/>
        <c:tickLblPos val="nextTo"/>
        <c:crossAx val="147871616"/>
        <c:crosses val="autoZero"/>
        <c:auto val="1"/>
        <c:lblAlgn val="ctr"/>
        <c:lblOffset val="100"/>
        <c:noMultiLvlLbl val="0"/>
      </c:catAx>
      <c:valAx>
        <c:axId val="147871616"/>
        <c:scaling>
          <c:orientation val="minMax"/>
        </c:scaling>
        <c:delete val="0"/>
        <c:axPos val="l"/>
        <c:majorGridlines/>
        <c:title>
          <c:tx>
            <c:rich>
              <a:bodyPr rot="-5400000" vert="horz"/>
              <a:lstStyle/>
              <a:p>
                <a:pPr>
                  <a:defRPr/>
                </a:pPr>
                <a:r>
                  <a:rPr lang="cs-CZ"/>
                  <a:t>počet obyvatel</a:t>
                </a:r>
              </a:p>
            </c:rich>
          </c:tx>
          <c:overlay val="0"/>
        </c:title>
        <c:numFmt formatCode="#,##0" sourceLinked="1"/>
        <c:majorTickMark val="out"/>
        <c:minorTickMark val="none"/>
        <c:tickLblPos val="nextTo"/>
        <c:crossAx val="128154624"/>
        <c:crosses val="autoZero"/>
        <c:crossBetween val="between"/>
      </c:valAx>
      <c:valAx>
        <c:axId val="151179648"/>
        <c:scaling>
          <c:orientation val="minMax"/>
        </c:scaling>
        <c:delete val="0"/>
        <c:axPos val="r"/>
        <c:title>
          <c:tx>
            <c:rich>
              <a:bodyPr rot="-5400000" vert="horz"/>
              <a:lstStyle/>
              <a:p>
                <a:pPr>
                  <a:defRPr/>
                </a:pPr>
                <a:r>
                  <a:rPr lang="cs-CZ"/>
                  <a:t>počet domů</a:t>
                </a:r>
              </a:p>
            </c:rich>
          </c:tx>
          <c:overlay val="0"/>
        </c:title>
        <c:numFmt formatCode="#,##0" sourceLinked="1"/>
        <c:majorTickMark val="out"/>
        <c:minorTickMark val="none"/>
        <c:tickLblPos val="nextTo"/>
        <c:crossAx val="151181952"/>
        <c:crosses val="max"/>
        <c:crossBetween val="between"/>
      </c:valAx>
      <c:catAx>
        <c:axId val="151181952"/>
        <c:scaling>
          <c:orientation val="minMax"/>
        </c:scaling>
        <c:delete val="1"/>
        <c:axPos val="b"/>
        <c:numFmt formatCode="General" sourceLinked="1"/>
        <c:majorTickMark val="out"/>
        <c:minorTickMark val="none"/>
        <c:tickLblPos val="none"/>
        <c:crossAx val="151179648"/>
        <c:crosses val="autoZero"/>
        <c:auto val="1"/>
        <c:lblAlgn val="ctr"/>
        <c:lblOffset val="100"/>
        <c:noMultiLvlLbl val="0"/>
      </c:catAx>
    </c:plotArea>
    <c:legend>
      <c:legendPos val="b"/>
      <c:overlay val="0"/>
    </c:legend>
    <c:plotVisOnly val="1"/>
    <c:dispBlanksAs val="gap"/>
    <c:showDLblsOverMax val="0"/>
  </c:chart>
  <c:spPr>
    <a:ln>
      <a:noFill/>
    </a:ln>
  </c:spPr>
  <c:externalData r:id="rId2">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tx>
        <c:rich>
          <a:bodyPr/>
          <a:lstStyle/>
          <a:p>
            <a:pPr>
              <a:defRPr sz="900" i="1"/>
            </a:pPr>
            <a:r>
              <a:rPr lang="en-US" sz="900" i="1"/>
              <a:t>Dlouhodobý vývoj počtu obyvatel</a:t>
            </a:r>
            <a:r>
              <a:rPr lang="cs-CZ" sz="900" i="1"/>
              <a:t> a domů v sídle Rozkoš </a:t>
            </a:r>
          </a:p>
        </c:rich>
      </c:tx>
      <c:overlay val="0"/>
    </c:title>
    <c:autoTitleDeleted val="0"/>
    <c:plotArea>
      <c:layout/>
      <c:lineChart>
        <c:grouping val="standard"/>
        <c:varyColors val="0"/>
        <c:ser>
          <c:idx val="0"/>
          <c:order val="0"/>
          <c:tx>
            <c:strRef>
              <c:f>List1!$N$6</c:f>
              <c:strCache>
                <c:ptCount val="1"/>
                <c:pt idx="0">
                  <c:v>počet obyvatel</c:v>
                </c:pt>
              </c:strCache>
            </c:strRef>
          </c:tx>
          <c:spPr>
            <a:ln>
              <a:solidFill>
                <a:schemeClr val="accent6">
                  <a:lumMod val="75000"/>
                </a:schemeClr>
              </a:solidFill>
            </a:ln>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0-F8CC-443C-83FA-C46D6E7F9073}"/>
                </c:ext>
              </c:extLst>
            </c:dLbl>
            <c:dLbl>
              <c:idx val="1"/>
              <c:delete val="1"/>
              <c:extLst>
                <c:ext xmlns:c15="http://schemas.microsoft.com/office/drawing/2012/chart" uri="{CE6537A1-D6FC-4f65-9D91-7224C49458BB}"/>
                <c:ext xmlns:c16="http://schemas.microsoft.com/office/drawing/2014/chart" uri="{C3380CC4-5D6E-409C-BE32-E72D297353CC}">
                  <c16:uniqueId val="{00000001-F8CC-443C-83FA-C46D6E7F9073}"/>
                </c:ext>
              </c:extLst>
            </c:dLbl>
            <c:dLbl>
              <c:idx val="3"/>
              <c:delete val="1"/>
              <c:extLst>
                <c:ext xmlns:c15="http://schemas.microsoft.com/office/drawing/2012/chart" uri="{CE6537A1-D6FC-4f65-9D91-7224C49458BB}"/>
                <c:ext xmlns:c16="http://schemas.microsoft.com/office/drawing/2014/chart" uri="{C3380CC4-5D6E-409C-BE32-E72D297353CC}">
                  <c16:uniqueId val="{00000002-F8CC-443C-83FA-C46D6E7F9073}"/>
                </c:ext>
              </c:extLst>
            </c:dLbl>
            <c:dLbl>
              <c:idx val="4"/>
              <c:delete val="1"/>
              <c:extLst>
                <c:ext xmlns:c15="http://schemas.microsoft.com/office/drawing/2012/chart" uri="{CE6537A1-D6FC-4f65-9D91-7224C49458BB}"/>
                <c:ext xmlns:c16="http://schemas.microsoft.com/office/drawing/2014/chart" uri="{C3380CC4-5D6E-409C-BE32-E72D297353CC}">
                  <c16:uniqueId val="{00000003-F8CC-443C-83FA-C46D6E7F9073}"/>
                </c:ext>
              </c:extLst>
            </c:dLbl>
            <c:dLbl>
              <c:idx val="5"/>
              <c:delete val="1"/>
              <c:extLst>
                <c:ext xmlns:c15="http://schemas.microsoft.com/office/drawing/2012/chart" uri="{CE6537A1-D6FC-4f65-9D91-7224C49458BB}"/>
                <c:ext xmlns:c16="http://schemas.microsoft.com/office/drawing/2014/chart" uri="{C3380CC4-5D6E-409C-BE32-E72D297353CC}">
                  <c16:uniqueId val="{00000004-F8CC-443C-83FA-C46D6E7F9073}"/>
                </c:ext>
              </c:extLst>
            </c:dLbl>
            <c:dLbl>
              <c:idx val="6"/>
              <c:delete val="1"/>
              <c:extLst>
                <c:ext xmlns:c15="http://schemas.microsoft.com/office/drawing/2012/chart" uri="{CE6537A1-D6FC-4f65-9D91-7224C49458BB}"/>
                <c:ext xmlns:c16="http://schemas.microsoft.com/office/drawing/2014/chart" uri="{C3380CC4-5D6E-409C-BE32-E72D297353CC}">
                  <c16:uniqueId val="{00000005-F8CC-443C-83FA-C46D6E7F9073}"/>
                </c:ext>
              </c:extLst>
            </c:dLbl>
            <c:dLbl>
              <c:idx val="7"/>
              <c:delete val="1"/>
              <c:extLst>
                <c:ext xmlns:c15="http://schemas.microsoft.com/office/drawing/2012/chart" uri="{CE6537A1-D6FC-4f65-9D91-7224C49458BB}"/>
                <c:ext xmlns:c16="http://schemas.microsoft.com/office/drawing/2014/chart" uri="{C3380CC4-5D6E-409C-BE32-E72D297353CC}">
                  <c16:uniqueId val="{00000006-F8CC-443C-83FA-C46D6E7F9073}"/>
                </c:ext>
              </c:extLst>
            </c:dLbl>
            <c:dLbl>
              <c:idx val="8"/>
              <c:delete val="1"/>
              <c:extLst>
                <c:ext xmlns:c15="http://schemas.microsoft.com/office/drawing/2012/chart" uri="{CE6537A1-D6FC-4f65-9D91-7224C49458BB}"/>
                <c:ext xmlns:c16="http://schemas.microsoft.com/office/drawing/2014/chart" uri="{C3380CC4-5D6E-409C-BE32-E72D297353CC}">
                  <c16:uniqueId val="{00000007-F8CC-443C-83FA-C46D6E7F9073}"/>
                </c:ext>
              </c:extLst>
            </c:dLbl>
            <c:dLbl>
              <c:idx val="9"/>
              <c:delete val="1"/>
              <c:extLst>
                <c:ext xmlns:c15="http://schemas.microsoft.com/office/drawing/2012/chart" uri="{CE6537A1-D6FC-4f65-9D91-7224C49458BB}"/>
                <c:ext xmlns:c16="http://schemas.microsoft.com/office/drawing/2014/chart" uri="{C3380CC4-5D6E-409C-BE32-E72D297353CC}">
                  <c16:uniqueId val="{00000008-F8CC-443C-83FA-C46D6E7F9073}"/>
                </c:ext>
              </c:extLst>
            </c:dLbl>
            <c:dLbl>
              <c:idx val="10"/>
              <c:delete val="1"/>
              <c:extLst>
                <c:ext xmlns:c15="http://schemas.microsoft.com/office/drawing/2012/chart" uri="{CE6537A1-D6FC-4f65-9D91-7224C49458BB}"/>
                <c:ext xmlns:c16="http://schemas.microsoft.com/office/drawing/2014/chart" uri="{C3380CC4-5D6E-409C-BE32-E72D297353CC}">
                  <c16:uniqueId val="{00000009-F8CC-443C-83FA-C46D6E7F9073}"/>
                </c:ext>
              </c:extLst>
            </c:dLbl>
            <c:dLbl>
              <c:idx val="11"/>
              <c:delete val="1"/>
              <c:extLst>
                <c:ext xmlns:c15="http://schemas.microsoft.com/office/drawing/2012/chart" uri="{CE6537A1-D6FC-4f65-9D91-7224C49458BB}"/>
                <c:ext xmlns:c16="http://schemas.microsoft.com/office/drawing/2014/chart" uri="{C3380CC4-5D6E-409C-BE32-E72D297353CC}">
                  <c16:uniqueId val="{0000000A-F8CC-443C-83FA-C46D6E7F9073}"/>
                </c:ext>
              </c:extLst>
            </c:dLbl>
            <c:dLbl>
              <c:idx val="12"/>
              <c:delete val="1"/>
              <c:extLst>
                <c:ext xmlns:c15="http://schemas.microsoft.com/office/drawing/2012/chart" uri="{CE6537A1-D6FC-4f65-9D91-7224C49458BB}"/>
                <c:ext xmlns:c16="http://schemas.microsoft.com/office/drawing/2014/chart" uri="{C3380CC4-5D6E-409C-BE32-E72D297353CC}">
                  <c16:uniqueId val="{0000000B-F8CC-443C-83FA-C46D6E7F9073}"/>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F8CC-443C-83FA-C46D6E7F9073}"/>
                </c:ext>
              </c:extLst>
            </c:dLbl>
            <c:spPr>
              <a:noFill/>
              <a:ln>
                <a:noFill/>
              </a:ln>
              <a:effectLst/>
            </c:spPr>
            <c:txPr>
              <a:bodyPr/>
              <a:lstStyle/>
              <a:p>
                <a:pPr>
                  <a:defRPr>
                    <a:solidFill>
                      <a:schemeClr val="accent6">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List1!$A$1:$N$1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List1!$Q$27:$AD$27</c:f>
              <c:numCache>
                <c:formatCode>#,##0</c:formatCode>
                <c:ptCount val="14"/>
                <c:pt idx="0">
                  <c:v>120</c:v>
                </c:pt>
                <c:pt idx="1">
                  <c:v>126</c:v>
                </c:pt>
                <c:pt idx="2">
                  <c:v>124</c:v>
                </c:pt>
                <c:pt idx="3">
                  <c:v>106</c:v>
                </c:pt>
                <c:pt idx="4">
                  <c:v>108</c:v>
                </c:pt>
                <c:pt idx="5">
                  <c:v>124</c:v>
                </c:pt>
                <c:pt idx="6">
                  <c:v>157</c:v>
                </c:pt>
                <c:pt idx="7">
                  <c:v>168</c:v>
                </c:pt>
                <c:pt idx="8">
                  <c:v>168</c:v>
                </c:pt>
                <c:pt idx="9">
                  <c:v>149</c:v>
                </c:pt>
                <c:pt idx="10">
                  <c:v>138</c:v>
                </c:pt>
                <c:pt idx="11">
                  <c:v>112</c:v>
                </c:pt>
                <c:pt idx="12">
                  <c:v>103</c:v>
                </c:pt>
                <c:pt idx="13">
                  <c:v>108</c:v>
                </c:pt>
              </c:numCache>
            </c:numRef>
          </c:val>
          <c:smooth val="1"/>
          <c:extLst>
            <c:ext xmlns:c16="http://schemas.microsoft.com/office/drawing/2014/chart" uri="{C3380CC4-5D6E-409C-BE32-E72D297353CC}">
              <c16:uniqueId val="{0000000D-F8CC-443C-83FA-C46D6E7F9073}"/>
            </c:ext>
          </c:extLst>
        </c:ser>
        <c:dLbls>
          <c:showLegendKey val="0"/>
          <c:showVal val="1"/>
          <c:showCatName val="0"/>
          <c:showSerName val="0"/>
          <c:showPercent val="0"/>
          <c:showBubbleSize val="0"/>
        </c:dLbls>
        <c:marker val="1"/>
        <c:smooth val="0"/>
        <c:axId val="126090240"/>
        <c:axId val="128187776"/>
      </c:lineChart>
      <c:lineChart>
        <c:grouping val="standard"/>
        <c:varyColors val="0"/>
        <c:ser>
          <c:idx val="1"/>
          <c:order val="1"/>
          <c:tx>
            <c:strRef>
              <c:f>List1!$N$7</c:f>
              <c:strCache>
                <c:ptCount val="1"/>
                <c:pt idx="0">
                  <c:v>počet domů</c:v>
                </c:pt>
              </c:strCache>
            </c:strRef>
          </c:tx>
          <c:spPr>
            <a:ln>
              <a:solidFill>
                <a:schemeClr val="accent1">
                  <a:lumMod val="75000"/>
                </a:schemeClr>
              </a:solidFill>
            </a:ln>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E-F8CC-443C-83FA-C46D6E7F9073}"/>
                </c:ext>
              </c:extLst>
            </c:dLbl>
            <c:dLbl>
              <c:idx val="1"/>
              <c:delete val="1"/>
              <c:extLst>
                <c:ext xmlns:c15="http://schemas.microsoft.com/office/drawing/2012/chart" uri="{CE6537A1-D6FC-4f65-9D91-7224C49458BB}"/>
                <c:ext xmlns:c16="http://schemas.microsoft.com/office/drawing/2014/chart" uri="{C3380CC4-5D6E-409C-BE32-E72D297353CC}">
                  <c16:uniqueId val="{0000000F-F8CC-443C-83FA-C46D6E7F9073}"/>
                </c:ext>
              </c:extLst>
            </c:dLbl>
            <c:dLbl>
              <c:idx val="2"/>
              <c:delete val="1"/>
              <c:extLst>
                <c:ext xmlns:c15="http://schemas.microsoft.com/office/drawing/2012/chart" uri="{CE6537A1-D6FC-4f65-9D91-7224C49458BB}"/>
                <c:ext xmlns:c16="http://schemas.microsoft.com/office/drawing/2014/chart" uri="{C3380CC4-5D6E-409C-BE32-E72D297353CC}">
                  <c16:uniqueId val="{00000010-F8CC-443C-83FA-C46D6E7F9073}"/>
                </c:ext>
              </c:extLst>
            </c:dLbl>
            <c:dLbl>
              <c:idx val="3"/>
              <c:delete val="1"/>
              <c:extLst>
                <c:ext xmlns:c15="http://schemas.microsoft.com/office/drawing/2012/chart" uri="{CE6537A1-D6FC-4f65-9D91-7224C49458BB}"/>
                <c:ext xmlns:c16="http://schemas.microsoft.com/office/drawing/2014/chart" uri="{C3380CC4-5D6E-409C-BE32-E72D297353CC}">
                  <c16:uniqueId val="{00000011-F8CC-443C-83FA-C46D6E7F9073}"/>
                </c:ext>
              </c:extLst>
            </c:dLbl>
            <c:dLbl>
              <c:idx val="4"/>
              <c:delete val="1"/>
              <c:extLst>
                <c:ext xmlns:c15="http://schemas.microsoft.com/office/drawing/2012/chart" uri="{CE6537A1-D6FC-4f65-9D91-7224C49458BB}"/>
                <c:ext xmlns:c16="http://schemas.microsoft.com/office/drawing/2014/chart" uri="{C3380CC4-5D6E-409C-BE32-E72D297353CC}">
                  <c16:uniqueId val="{00000012-F8CC-443C-83FA-C46D6E7F9073}"/>
                </c:ext>
              </c:extLst>
            </c:dLbl>
            <c:dLbl>
              <c:idx val="5"/>
              <c:delete val="1"/>
              <c:extLst>
                <c:ext xmlns:c15="http://schemas.microsoft.com/office/drawing/2012/chart" uri="{CE6537A1-D6FC-4f65-9D91-7224C49458BB}"/>
                <c:ext xmlns:c16="http://schemas.microsoft.com/office/drawing/2014/chart" uri="{C3380CC4-5D6E-409C-BE32-E72D297353CC}">
                  <c16:uniqueId val="{00000013-F8CC-443C-83FA-C46D6E7F9073}"/>
                </c:ext>
              </c:extLst>
            </c:dLbl>
            <c:dLbl>
              <c:idx val="6"/>
              <c:delete val="1"/>
              <c:extLst>
                <c:ext xmlns:c15="http://schemas.microsoft.com/office/drawing/2012/chart" uri="{CE6537A1-D6FC-4f65-9D91-7224C49458BB}"/>
                <c:ext xmlns:c16="http://schemas.microsoft.com/office/drawing/2014/chart" uri="{C3380CC4-5D6E-409C-BE32-E72D297353CC}">
                  <c16:uniqueId val="{00000014-F8CC-443C-83FA-C46D6E7F9073}"/>
                </c:ext>
              </c:extLst>
            </c:dLbl>
            <c:dLbl>
              <c:idx val="8"/>
              <c:delete val="1"/>
              <c:extLst>
                <c:ext xmlns:c15="http://schemas.microsoft.com/office/drawing/2012/chart" uri="{CE6537A1-D6FC-4f65-9D91-7224C49458BB}"/>
                <c:ext xmlns:c16="http://schemas.microsoft.com/office/drawing/2014/chart" uri="{C3380CC4-5D6E-409C-BE32-E72D297353CC}">
                  <c16:uniqueId val="{00000015-F8CC-443C-83FA-C46D6E7F9073}"/>
                </c:ext>
              </c:extLst>
            </c:dLbl>
            <c:dLbl>
              <c:idx val="9"/>
              <c:delete val="1"/>
              <c:extLst>
                <c:ext xmlns:c15="http://schemas.microsoft.com/office/drawing/2012/chart" uri="{CE6537A1-D6FC-4f65-9D91-7224C49458BB}"/>
                <c:ext xmlns:c16="http://schemas.microsoft.com/office/drawing/2014/chart" uri="{C3380CC4-5D6E-409C-BE32-E72D297353CC}">
                  <c16:uniqueId val="{00000016-F8CC-443C-83FA-C46D6E7F9073}"/>
                </c:ext>
              </c:extLst>
            </c:dLbl>
            <c:dLbl>
              <c:idx val="10"/>
              <c:delete val="1"/>
              <c:extLst>
                <c:ext xmlns:c15="http://schemas.microsoft.com/office/drawing/2012/chart" uri="{CE6537A1-D6FC-4f65-9D91-7224C49458BB}"/>
                <c:ext xmlns:c16="http://schemas.microsoft.com/office/drawing/2014/chart" uri="{C3380CC4-5D6E-409C-BE32-E72D297353CC}">
                  <c16:uniqueId val="{00000017-F8CC-443C-83FA-C46D6E7F9073}"/>
                </c:ext>
              </c:extLst>
            </c:dLbl>
            <c:dLbl>
              <c:idx val="11"/>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F8CC-443C-83FA-C46D6E7F9073}"/>
                </c:ext>
              </c:extLst>
            </c:dLbl>
            <c:dLbl>
              <c:idx val="12"/>
              <c:delete val="1"/>
              <c:extLst>
                <c:ext xmlns:c15="http://schemas.microsoft.com/office/drawing/2012/chart" uri="{CE6537A1-D6FC-4f65-9D91-7224C49458BB}"/>
                <c:ext xmlns:c16="http://schemas.microsoft.com/office/drawing/2014/chart" uri="{C3380CC4-5D6E-409C-BE32-E72D297353CC}">
                  <c16:uniqueId val="{00000019-F8CC-443C-83FA-C46D6E7F9073}"/>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F8CC-443C-83FA-C46D6E7F9073}"/>
                </c:ext>
              </c:extLst>
            </c:dLbl>
            <c:spPr>
              <a:noFill/>
              <a:ln>
                <a:noFill/>
              </a:ln>
              <a:effectLst/>
            </c:spPr>
            <c:txPr>
              <a:bodyPr/>
              <a:lstStyle/>
              <a:p>
                <a:pPr>
                  <a:defRPr>
                    <a:solidFill>
                      <a:schemeClr val="accent1">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List1!$A$1:$N$1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List1!$Q$28:$AD$28</c:f>
              <c:numCache>
                <c:formatCode>#,##0</c:formatCode>
                <c:ptCount val="14"/>
                <c:pt idx="0">
                  <c:v>17</c:v>
                </c:pt>
                <c:pt idx="1">
                  <c:v>17</c:v>
                </c:pt>
                <c:pt idx="2">
                  <c:v>17</c:v>
                </c:pt>
                <c:pt idx="3">
                  <c:v>17</c:v>
                </c:pt>
                <c:pt idx="4">
                  <c:v>19</c:v>
                </c:pt>
                <c:pt idx="5">
                  <c:v>20</c:v>
                </c:pt>
                <c:pt idx="6">
                  <c:v>32</c:v>
                </c:pt>
                <c:pt idx="7">
                  <c:v>42</c:v>
                </c:pt>
                <c:pt idx="9">
                  <c:v>44</c:v>
                </c:pt>
                <c:pt idx="10">
                  <c:v>41</c:v>
                </c:pt>
                <c:pt idx="11">
                  <c:v>45</c:v>
                </c:pt>
                <c:pt idx="12">
                  <c:v>44</c:v>
                </c:pt>
                <c:pt idx="13">
                  <c:v>44</c:v>
                </c:pt>
              </c:numCache>
            </c:numRef>
          </c:val>
          <c:smooth val="1"/>
          <c:extLst>
            <c:ext xmlns:c16="http://schemas.microsoft.com/office/drawing/2014/chart" uri="{C3380CC4-5D6E-409C-BE32-E72D297353CC}">
              <c16:uniqueId val="{0000001B-F8CC-443C-83FA-C46D6E7F9073}"/>
            </c:ext>
          </c:extLst>
        </c:ser>
        <c:dLbls>
          <c:showLegendKey val="0"/>
          <c:showVal val="1"/>
          <c:showCatName val="0"/>
          <c:showSerName val="0"/>
          <c:showPercent val="0"/>
          <c:showBubbleSize val="0"/>
        </c:dLbls>
        <c:marker val="1"/>
        <c:smooth val="0"/>
        <c:axId val="158828032"/>
        <c:axId val="149215872"/>
      </c:lineChart>
      <c:catAx>
        <c:axId val="126090240"/>
        <c:scaling>
          <c:orientation val="minMax"/>
        </c:scaling>
        <c:delete val="0"/>
        <c:axPos val="b"/>
        <c:majorGridlines/>
        <c:minorGridlines/>
        <c:numFmt formatCode="General" sourceLinked="1"/>
        <c:majorTickMark val="out"/>
        <c:minorTickMark val="none"/>
        <c:tickLblPos val="nextTo"/>
        <c:crossAx val="128187776"/>
        <c:crosses val="autoZero"/>
        <c:auto val="1"/>
        <c:lblAlgn val="ctr"/>
        <c:lblOffset val="100"/>
        <c:noMultiLvlLbl val="0"/>
      </c:catAx>
      <c:valAx>
        <c:axId val="128187776"/>
        <c:scaling>
          <c:orientation val="minMax"/>
        </c:scaling>
        <c:delete val="0"/>
        <c:axPos val="l"/>
        <c:majorGridlines/>
        <c:title>
          <c:tx>
            <c:rich>
              <a:bodyPr rot="-5400000" vert="horz"/>
              <a:lstStyle/>
              <a:p>
                <a:pPr>
                  <a:defRPr/>
                </a:pPr>
                <a:r>
                  <a:rPr lang="cs-CZ"/>
                  <a:t>počet obyvatel</a:t>
                </a:r>
              </a:p>
            </c:rich>
          </c:tx>
          <c:overlay val="0"/>
        </c:title>
        <c:numFmt formatCode="#,##0" sourceLinked="1"/>
        <c:majorTickMark val="out"/>
        <c:minorTickMark val="none"/>
        <c:tickLblPos val="nextTo"/>
        <c:crossAx val="126090240"/>
        <c:crosses val="autoZero"/>
        <c:crossBetween val="between"/>
      </c:valAx>
      <c:valAx>
        <c:axId val="149215872"/>
        <c:scaling>
          <c:orientation val="minMax"/>
        </c:scaling>
        <c:delete val="0"/>
        <c:axPos val="r"/>
        <c:title>
          <c:tx>
            <c:rich>
              <a:bodyPr rot="-5400000" vert="horz"/>
              <a:lstStyle/>
              <a:p>
                <a:pPr>
                  <a:defRPr/>
                </a:pPr>
                <a:r>
                  <a:rPr lang="cs-CZ"/>
                  <a:t>počet domů</a:t>
                </a:r>
              </a:p>
            </c:rich>
          </c:tx>
          <c:overlay val="0"/>
        </c:title>
        <c:numFmt formatCode="#,##0" sourceLinked="1"/>
        <c:majorTickMark val="out"/>
        <c:minorTickMark val="none"/>
        <c:tickLblPos val="nextTo"/>
        <c:crossAx val="158828032"/>
        <c:crosses val="max"/>
        <c:crossBetween val="between"/>
      </c:valAx>
      <c:catAx>
        <c:axId val="158828032"/>
        <c:scaling>
          <c:orientation val="minMax"/>
        </c:scaling>
        <c:delete val="1"/>
        <c:axPos val="b"/>
        <c:numFmt formatCode="General" sourceLinked="1"/>
        <c:majorTickMark val="out"/>
        <c:minorTickMark val="none"/>
        <c:tickLblPos val="none"/>
        <c:crossAx val="149215872"/>
        <c:crosses val="autoZero"/>
        <c:auto val="1"/>
        <c:lblAlgn val="ctr"/>
        <c:lblOffset val="100"/>
        <c:noMultiLvlLbl val="0"/>
      </c:catAx>
    </c:plotArea>
    <c:legend>
      <c:legendPos val="b"/>
      <c:overlay val="0"/>
    </c:legend>
    <c:plotVisOnly val="1"/>
    <c:dispBlanksAs val="gap"/>
    <c:showDLblsOverMax val="0"/>
  </c:chart>
  <c:spPr>
    <a:ln>
      <a:noFill/>
    </a:ln>
  </c:spPr>
  <c:externalData r:id="rId2">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cs-CZ"/>
  <c:roundedCorners val="0"/>
  <mc:AlternateContent xmlns:mc="http://schemas.openxmlformats.org/markup-compatibility/2006">
    <mc:Choice xmlns:c14="http://schemas.microsoft.com/office/drawing/2007/8/2/chart" Requires="c14">
      <c14:style val="106"/>
    </mc:Choice>
    <mc:Fallback>
      <c:style val="6"/>
    </mc:Fallback>
  </mc:AlternateContent>
  <c:clrMapOvr bg1="lt1" tx1="dk1" bg2="lt2" tx2="dk2" accent1="accent1" accent2="accent2" accent3="accent3" accent4="accent4" accent5="accent5" accent6="accent6" hlink="hlink" folHlink="folHlink"/>
  <c:chart>
    <c:title>
      <c:tx>
        <c:rich>
          <a:bodyPr/>
          <a:lstStyle/>
          <a:p>
            <a:pPr>
              <a:defRPr sz="900" i="1"/>
            </a:pPr>
            <a:r>
              <a:rPr lang="en-US" sz="900" i="1"/>
              <a:t>Dlouhodobý vývoj počtu obyvatel</a:t>
            </a:r>
            <a:r>
              <a:rPr lang="cs-CZ" sz="900" i="1"/>
              <a:t> a domů v sídle Vápensko</a:t>
            </a:r>
          </a:p>
        </c:rich>
      </c:tx>
      <c:overlay val="0"/>
    </c:title>
    <c:autoTitleDeleted val="0"/>
    <c:plotArea>
      <c:layout/>
      <c:lineChart>
        <c:grouping val="standard"/>
        <c:varyColors val="0"/>
        <c:ser>
          <c:idx val="0"/>
          <c:order val="0"/>
          <c:tx>
            <c:strRef>
              <c:f>List1!$N$6</c:f>
              <c:strCache>
                <c:ptCount val="1"/>
                <c:pt idx="0">
                  <c:v>počet obyvatel</c:v>
                </c:pt>
              </c:strCache>
            </c:strRef>
          </c:tx>
          <c:spPr>
            <a:ln>
              <a:solidFill>
                <a:schemeClr val="accent6">
                  <a:lumMod val="75000"/>
                </a:schemeClr>
              </a:solidFill>
            </a:ln>
          </c:spPr>
          <c:marker>
            <c:symbol val="none"/>
          </c:marker>
          <c:dLbls>
            <c:dLbl>
              <c:idx val="1"/>
              <c:delete val="1"/>
              <c:extLst>
                <c:ext xmlns:c15="http://schemas.microsoft.com/office/drawing/2012/chart" uri="{CE6537A1-D6FC-4f65-9D91-7224C49458BB}"/>
                <c:ext xmlns:c16="http://schemas.microsoft.com/office/drawing/2014/chart" uri="{C3380CC4-5D6E-409C-BE32-E72D297353CC}">
                  <c16:uniqueId val="{00000000-D022-47E4-B187-3E094242F1C9}"/>
                </c:ext>
              </c:extLst>
            </c:dLbl>
            <c:dLbl>
              <c:idx val="2"/>
              <c:delete val="1"/>
              <c:extLst>
                <c:ext xmlns:c15="http://schemas.microsoft.com/office/drawing/2012/chart" uri="{CE6537A1-D6FC-4f65-9D91-7224C49458BB}"/>
                <c:ext xmlns:c16="http://schemas.microsoft.com/office/drawing/2014/chart" uri="{C3380CC4-5D6E-409C-BE32-E72D297353CC}">
                  <c16:uniqueId val="{00000001-D022-47E4-B187-3E094242F1C9}"/>
                </c:ext>
              </c:extLst>
            </c:dLbl>
            <c:dLbl>
              <c:idx val="3"/>
              <c:delete val="1"/>
              <c:extLst>
                <c:ext xmlns:c15="http://schemas.microsoft.com/office/drawing/2012/chart" uri="{CE6537A1-D6FC-4f65-9D91-7224C49458BB}"/>
                <c:ext xmlns:c16="http://schemas.microsoft.com/office/drawing/2014/chart" uri="{C3380CC4-5D6E-409C-BE32-E72D297353CC}">
                  <c16:uniqueId val="{00000002-D022-47E4-B187-3E094242F1C9}"/>
                </c:ext>
              </c:extLst>
            </c:dLbl>
            <c:dLbl>
              <c:idx val="4"/>
              <c:delete val="1"/>
              <c:extLst>
                <c:ext xmlns:c15="http://schemas.microsoft.com/office/drawing/2012/chart" uri="{CE6537A1-D6FC-4f65-9D91-7224C49458BB}"/>
                <c:ext xmlns:c16="http://schemas.microsoft.com/office/drawing/2014/chart" uri="{C3380CC4-5D6E-409C-BE32-E72D297353CC}">
                  <c16:uniqueId val="{00000003-D022-47E4-B187-3E094242F1C9}"/>
                </c:ext>
              </c:extLst>
            </c:dLbl>
            <c:dLbl>
              <c:idx val="5"/>
              <c:delete val="1"/>
              <c:extLst>
                <c:ext xmlns:c15="http://schemas.microsoft.com/office/drawing/2012/chart" uri="{CE6537A1-D6FC-4f65-9D91-7224C49458BB}"/>
                <c:ext xmlns:c16="http://schemas.microsoft.com/office/drawing/2014/chart" uri="{C3380CC4-5D6E-409C-BE32-E72D297353CC}">
                  <c16:uniqueId val="{00000004-D022-47E4-B187-3E094242F1C9}"/>
                </c:ext>
              </c:extLst>
            </c:dLbl>
            <c:dLbl>
              <c:idx val="6"/>
              <c:delete val="1"/>
              <c:extLst>
                <c:ext xmlns:c15="http://schemas.microsoft.com/office/drawing/2012/chart" uri="{CE6537A1-D6FC-4f65-9D91-7224C49458BB}"/>
                <c:ext xmlns:c16="http://schemas.microsoft.com/office/drawing/2014/chart" uri="{C3380CC4-5D6E-409C-BE32-E72D297353CC}">
                  <c16:uniqueId val="{00000005-D022-47E4-B187-3E094242F1C9}"/>
                </c:ext>
              </c:extLst>
            </c:dLbl>
            <c:dLbl>
              <c:idx val="7"/>
              <c:delete val="1"/>
              <c:extLst>
                <c:ext xmlns:c15="http://schemas.microsoft.com/office/drawing/2012/chart" uri="{CE6537A1-D6FC-4f65-9D91-7224C49458BB}"/>
                <c:ext xmlns:c16="http://schemas.microsoft.com/office/drawing/2014/chart" uri="{C3380CC4-5D6E-409C-BE32-E72D297353CC}">
                  <c16:uniqueId val="{00000006-D022-47E4-B187-3E094242F1C9}"/>
                </c:ext>
              </c:extLst>
            </c:dLbl>
            <c:dLbl>
              <c:idx val="8"/>
              <c:delete val="1"/>
              <c:extLst>
                <c:ext xmlns:c15="http://schemas.microsoft.com/office/drawing/2012/chart" uri="{CE6537A1-D6FC-4f65-9D91-7224C49458BB}"/>
                <c:ext xmlns:c16="http://schemas.microsoft.com/office/drawing/2014/chart" uri="{C3380CC4-5D6E-409C-BE32-E72D297353CC}">
                  <c16:uniqueId val="{00000007-D022-47E4-B187-3E094242F1C9}"/>
                </c:ext>
              </c:extLst>
            </c:dLbl>
            <c:dLbl>
              <c:idx val="9"/>
              <c:delete val="1"/>
              <c:extLst>
                <c:ext xmlns:c15="http://schemas.microsoft.com/office/drawing/2012/chart" uri="{CE6537A1-D6FC-4f65-9D91-7224C49458BB}"/>
                <c:ext xmlns:c16="http://schemas.microsoft.com/office/drawing/2014/chart" uri="{C3380CC4-5D6E-409C-BE32-E72D297353CC}">
                  <c16:uniqueId val="{00000008-D022-47E4-B187-3E094242F1C9}"/>
                </c:ext>
              </c:extLst>
            </c:dLbl>
            <c:dLbl>
              <c:idx val="10"/>
              <c:delete val="1"/>
              <c:extLst>
                <c:ext xmlns:c15="http://schemas.microsoft.com/office/drawing/2012/chart" uri="{CE6537A1-D6FC-4f65-9D91-7224C49458BB}"/>
                <c:ext xmlns:c16="http://schemas.microsoft.com/office/drawing/2014/chart" uri="{C3380CC4-5D6E-409C-BE32-E72D297353CC}">
                  <c16:uniqueId val="{00000009-D022-47E4-B187-3E094242F1C9}"/>
                </c:ext>
              </c:extLst>
            </c:dLbl>
            <c:dLbl>
              <c:idx val="11"/>
              <c:delete val="1"/>
              <c:extLst>
                <c:ext xmlns:c15="http://schemas.microsoft.com/office/drawing/2012/chart" uri="{CE6537A1-D6FC-4f65-9D91-7224C49458BB}"/>
                <c:ext xmlns:c16="http://schemas.microsoft.com/office/drawing/2014/chart" uri="{C3380CC4-5D6E-409C-BE32-E72D297353CC}">
                  <c16:uniqueId val="{0000000A-D022-47E4-B187-3E094242F1C9}"/>
                </c:ext>
              </c:extLst>
            </c:dLbl>
            <c:dLbl>
              <c:idx val="12"/>
              <c:delete val="1"/>
              <c:extLst>
                <c:ext xmlns:c15="http://schemas.microsoft.com/office/drawing/2012/chart" uri="{CE6537A1-D6FC-4f65-9D91-7224C49458BB}"/>
                <c:ext xmlns:c16="http://schemas.microsoft.com/office/drawing/2014/chart" uri="{C3380CC4-5D6E-409C-BE32-E72D297353CC}">
                  <c16:uniqueId val="{0000000B-D022-47E4-B187-3E094242F1C9}"/>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022-47E4-B187-3E094242F1C9}"/>
                </c:ext>
              </c:extLst>
            </c:dLbl>
            <c:spPr>
              <a:noFill/>
              <a:ln>
                <a:noFill/>
              </a:ln>
              <a:effectLst/>
            </c:spPr>
            <c:txPr>
              <a:bodyPr/>
              <a:lstStyle/>
              <a:p>
                <a:pPr>
                  <a:defRPr>
                    <a:solidFill>
                      <a:schemeClr val="accent6">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List1!$A$1:$N$1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List1!$A$52:$N$52</c:f>
              <c:numCache>
                <c:formatCode>#,##0</c:formatCode>
                <c:ptCount val="14"/>
                <c:pt idx="0">
                  <c:v>131</c:v>
                </c:pt>
                <c:pt idx="1">
                  <c:v>142</c:v>
                </c:pt>
                <c:pt idx="2">
                  <c:v>131</c:v>
                </c:pt>
                <c:pt idx="3">
                  <c:v>130</c:v>
                </c:pt>
                <c:pt idx="4">
                  <c:v>138</c:v>
                </c:pt>
                <c:pt idx="5">
                  <c:v>136</c:v>
                </c:pt>
                <c:pt idx="6">
                  <c:v>141</c:v>
                </c:pt>
                <c:pt idx="7">
                  <c:v>116</c:v>
                </c:pt>
                <c:pt idx="8">
                  <c:v>97</c:v>
                </c:pt>
                <c:pt idx="9">
                  <c:v>97</c:v>
                </c:pt>
                <c:pt idx="10">
                  <c:v>69</c:v>
                </c:pt>
                <c:pt idx="11">
                  <c:v>59</c:v>
                </c:pt>
                <c:pt idx="12">
                  <c:v>43</c:v>
                </c:pt>
                <c:pt idx="13">
                  <c:v>60</c:v>
                </c:pt>
              </c:numCache>
            </c:numRef>
          </c:val>
          <c:smooth val="1"/>
          <c:extLst>
            <c:ext xmlns:c16="http://schemas.microsoft.com/office/drawing/2014/chart" uri="{C3380CC4-5D6E-409C-BE32-E72D297353CC}">
              <c16:uniqueId val="{0000000D-D022-47E4-B187-3E094242F1C9}"/>
            </c:ext>
          </c:extLst>
        </c:ser>
        <c:dLbls>
          <c:showLegendKey val="0"/>
          <c:showVal val="1"/>
          <c:showCatName val="0"/>
          <c:showSerName val="0"/>
          <c:showPercent val="0"/>
          <c:showBubbleSize val="0"/>
        </c:dLbls>
        <c:marker val="1"/>
        <c:smooth val="0"/>
        <c:axId val="158799360"/>
        <c:axId val="158918144"/>
      </c:lineChart>
      <c:lineChart>
        <c:grouping val="standard"/>
        <c:varyColors val="0"/>
        <c:ser>
          <c:idx val="1"/>
          <c:order val="1"/>
          <c:tx>
            <c:strRef>
              <c:f>List1!$N$7</c:f>
              <c:strCache>
                <c:ptCount val="1"/>
                <c:pt idx="0">
                  <c:v>počet domů</c:v>
                </c:pt>
              </c:strCache>
            </c:strRef>
          </c:tx>
          <c:spPr>
            <a:ln>
              <a:solidFill>
                <a:schemeClr val="accent1">
                  <a:lumMod val="75000"/>
                </a:schemeClr>
              </a:solidFill>
            </a:ln>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E-D022-47E4-B187-3E094242F1C9}"/>
                </c:ext>
              </c:extLst>
            </c:dLbl>
            <c:dLbl>
              <c:idx val="1"/>
              <c:delete val="1"/>
              <c:extLst>
                <c:ext xmlns:c15="http://schemas.microsoft.com/office/drawing/2012/chart" uri="{CE6537A1-D6FC-4f65-9D91-7224C49458BB}"/>
                <c:ext xmlns:c16="http://schemas.microsoft.com/office/drawing/2014/chart" uri="{C3380CC4-5D6E-409C-BE32-E72D297353CC}">
                  <c16:uniqueId val="{0000000F-D022-47E4-B187-3E094242F1C9}"/>
                </c:ext>
              </c:extLst>
            </c:dLbl>
            <c:dLbl>
              <c:idx val="2"/>
              <c:delete val="1"/>
              <c:extLst>
                <c:ext xmlns:c15="http://schemas.microsoft.com/office/drawing/2012/chart" uri="{CE6537A1-D6FC-4f65-9D91-7224C49458BB}"/>
                <c:ext xmlns:c16="http://schemas.microsoft.com/office/drawing/2014/chart" uri="{C3380CC4-5D6E-409C-BE32-E72D297353CC}">
                  <c16:uniqueId val="{00000010-D022-47E4-B187-3E094242F1C9}"/>
                </c:ext>
              </c:extLst>
            </c:dLbl>
            <c:dLbl>
              <c:idx val="3"/>
              <c:delete val="1"/>
              <c:extLst>
                <c:ext xmlns:c15="http://schemas.microsoft.com/office/drawing/2012/chart" uri="{CE6537A1-D6FC-4f65-9D91-7224C49458BB}"/>
                <c:ext xmlns:c16="http://schemas.microsoft.com/office/drawing/2014/chart" uri="{C3380CC4-5D6E-409C-BE32-E72D297353CC}">
                  <c16:uniqueId val="{00000011-D022-47E4-B187-3E094242F1C9}"/>
                </c:ext>
              </c:extLst>
            </c:dLbl>
            <c:dLbl>
              <c:idx val="4"/>
              <c:delete val="1"/>
              <c:extLst>
                <c:ext xmlns:c15="http://schemas.microsoft.com/office/drawing/2012/chart" uri="{CE6537A1-D6FC-4f65-9D91-7224C49458BB}"/>
                <c:ext xmlns:c16="http://schemas.microsoft.com/office/drawing/2014/chart" uri="{C3380CC4-5D6E-409C-BE32-E72D297353CC}">
                  <c16:uniqueId val="{00000012-D022-47E4-B187-3E094242F1C9}"/>
                </c:ext>
              </c:extLst>
            </c:dLbl>
            <c:dLbl>
              <c:idx val="5"/>
              <c:delete val="1"/>
              <c:extLst>
                <c:ext xmlns:c15="http://schemas.microsoft.com/office/drawing/2012/chart" uri="{CE6537A1-D6FC-4f65-9D91-7224C49458BB}"/>
                <c:ext xmlns:c16="http://schemas.microsoft.com/office/drawing/2014/chart" uri="{C3380CC4-5D6E-409C-BE32-E72D297353CC}">
                  <c16:uniqueId val="{00000013-D022-47E4-B187-3E094242F1C9}"/>
                </c:ext>
              </c:extLst>
            </c:dLbl>
            <c:dLbl>
              <c:idx val="6"/>
              <c:delete val="1"/>
              <c:extLst>
                <c:ext xmlns:c15="http://schemas.microsoft.com/office/drawing/2012/chart" uri="{CE6537A1-D6FC-4f65-9D91-7224C49458BB}"/>
                <c:ext xmlns:c16="http://schemas.microsoft.com/office/drawing/2014/chart" uri="{C3380CC4-5D6E-409C-BE32-E72D297353CC}">
                  <c16:uniqueId val="{00000014-D022-47E4-B187-3E094242F1C9}"/>
                </c:ext>
              </c:extLst>
            </c:dLbl>
            <c:dLbl>
              <c:idx val="8"/>
              <c:delete val="1"/>
              <c:extLst>
                <c:ext xmlns:c15="http://schemas.microsoft.com/office/drawing/2012/chart" uri="{CE6537A1-D6FC-4f65-9D91-7224C49458BB}"/>
                <c:ext xmlns:c16="http://schemas.microsoft.com/office/drawing/2014/chart" uri="{C3380CC4-5D6E-409C-BE32-E72D297353CC}">
                  <c16:uniqueId val="{00000015-D022-47E4-B187-3E094242F1C9}"/>
                </c:ext>
              </c:extLst>
            </c:dLbl>
            <c:dLbl>
              <c:idx val="9"/>
              <c:delete val="1"/>
              <c:extLst>
                <c:ext xmlns:c15="http://schemas.microsoft.com/office/drawing/2012/chart" uri="{CE6537A1-D6FC-4f65-9D91-7224C49458BB}"/>
                <c:ext xmlns:c16="http://schemas.microsoft.com/office/drawing/2014/chart" uri="{C3380CC4-5D6E-409C-BE32-E72D297353CC}">
                  <c16:uniqueId val="{00000016-D022-47E4-B187-3E094242F1C9}"/>
                </c:ext>
              </c:extLst>
            </c:dLbl>
            <c:dLbl>
              <c:idx val="10"/>
              <c:delete val="1"/>
              <c:extLst>
                <c:ext xmlns:c15="http://schemas.microsoft.com/office/drawing/2012/chart" uri="{CE6537A1-D6FC-4f65-9D91-7224C49458BB}"/>
                <c:ext xmlns:c16="http://schemas.microsoft.com/office/drawing/2014/chart" uri="{C3380CC4-5D6E-409C-BE32-E72D297353CC}">
                  <c16:uniqueId val="{00000017-D022-47E4-B187-3E094242F1C9}"/>
                </c:ext>
              </c:extLst>
            </c:dLbl>
            <c:dLbl>
              <c:idx val="11"/>
              <c:delete val="1"/>
              <c:extLst>
                <c:ext xmlns:c15="http://schemas.microsoft.com/office/drawing/2012/chart" uri="{CE6537A1-D6FC-4f65-9D91-7224C49458BB}"/>
                <c:ext xmlns:c16="http://schemas.microsoft.com/office/drawing/2014/chart" uri="{C3380CC4-5D6E-409C-BE32-E72D297353CC}">
                  <c16:uniqueId val="{00000018-D022-47E4-B187-3E094242F1C9}"/>
                </c:ext>
              </c:extLst>
            </c:dLbl>
            <c:dLbl>
              <c:idx val="12"/>
              <c:dLblPos val="b"/>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D022-47E4-B187-3E094242F1C9}"/>
                </c:ext>
              </c:extLst>
            </c:dLbl>
            <c:dLbl>
              <c:idx val="13"/>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D022-47E4-B187-3E094242F1C9}"/>
                </c:ext>
              </c:extLst>
            </c:dLbl>
            <c:spPr>
              <a:noFill/>
              <a:ln>
                <a:noFill/>
              </a:ln>
              <a:effectLst/>
            </c:spPr>
            <c:txPr>
              <a:bodyPr/>
              <a:lstStyle/>
              <a:p>
                <a:pPr>
                  <a:defRPr>
                    <a:solidFill>
                      <a:schemeClr val="accent1">
                        <a:lumMod val="75000"/>
                      </a:schemeClr>
                    </a:solidFill>
                  </a:defRPr>
                </a:pPr>
                <a:endParaRPr lang="cs-CZ"/>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List1!$A$1:$N$1</c:f>
              <c:numCache>
                <c:formatCode>General</c:formatCode>
                <c:ptCount val="14"/>
                <c:pt idx="0">
                  <c:v>1869</c:v>
                </c:pt>
                <c:pt idx="1">
                  <c:v>1880</c:v>
                </c:pt>
                <c:pt idx="2">
                  <c:v>1890</c:v>
                </c:pt>
                <c:pt idx="3">
                  <c:v>1900</c:v>
                </c:pt>
                <c:pt idx="4">
                  <c:v>1910</c:v>
                </c:pt>
                <c:pt idx="5">
                  <c:v>1921</c:v>
                </c:pt>
                <c:pt idx="6">
                  <c:v>1930</c:v>
                </c:pt>
                <c:pt idx="7">
                  <c:v>1950</c:v>
                </c:pt>
                <c:pt idx="8">
                  <c:v>1961</c:v>
                </c:pt>
                <c:pt idx="9">
                  <c:v>1970</c:v>
                </c:pt>
                <c:pt idx="10">
                  <c:v>1980</c:v>
                </c:pt>
                <c:pt idx="11">
                  <c:v>1991</c:v>
                </c:pt>
                <c:pt idx="12">
                  <c:v>2001</c:v>
                </c:pt>
                <c:pt idx="13">
                  <c:v>2011</c:v>
                </c:pt>
              </c:numCache>
            </c:numRef>
          </c:cat>
          <c:val>
            <c:numRef>
              <c:f>List1!$A$53:$N$53</c:f>
              <c:numCache>
                <c:formatCode>#,##0</c:formatCode>
                <c:ptCount val="14"/>
                <c:pt idx="0">
                  <c:v>21</c:v>
                </c:pt>
                <c:pt idx="1">
                  <c:v>22</c:v>
                </c:pt>
                <c:pt idx="2">
                  <c:v>21</c:v>
                </c:pt>
                <c:pt idx="3">
                  <c:v>24</c:v>
                </c:pt>
                <c:pt idx="4">
                  <c:v>26</c:v>
                </c:pt>
                <c:pt idx="5">
                  <c:v>26</c:v>
                </c:pt>
                <c:pt idx="6">
                  <c:v>30</c:v>
                </c:pt>
                <c:pt idx="7">
                  <c:v>35</c:v>
                </c:pt>
                <c:pt idx="9">
                  <c:v>30</c:v>
                </c:pt>
                <c:pt idx="10">
                  <c:v>29</c:v>
                </c:pt>
                <c:pt idx="11">
                  <c:v>30</c:v>
                </c:pt>
                <c:pt idx="12">
                  <c:v>31</c:v>
                </c:pt>
                <c:pt idx="13">
                  <c:v>32</c:v>
                </c:pt>
              </c:numCache>
            </c:numRef>
          </c:val>
          <c:smooth val="1"/>
          <c:extLst>
            <c:ext xmlns:c16="http://schemas.microsoft.com/office/drawing/2014/chart" uri="{C3380CC4-5D6E-409C-BE32-E72D297353CC}">
              <c16:uniqueId val="{0000001B-D022-47E4-B187-3E094242F1C9}"/>
            </c:ext>
          </c:extLst>
        </c:ser>
        <c:dLbls>
          <c:showLegendKey val="0"/>
          <c:showVal val="1"/>
          <c:showCatName val="0"/>
          <c:showSerName val="0"/>
          <c:showPercent val="0"/>
          <c:showBubbleSize val="0"/>
        </c:dLbls>
        <c:marker val="1"/>
        <c:smooth val="0"/>
        <c:axId val="151134208"/>
        <c:axId val="400353152"/>
      </c:lineChart>
      <c:catAx>
        <c:axId val="158799360"/>
        <c:scaling>
          <c:orientation val="minMax"/>
        </c:scaling>
        <c:delete val="0"/>
        <c:axPos val="b"/>
        <c:majorGridlines/>
        <c:minorGridlines/>
        <c:numFmt formatCode="General" sourceLinked="1"/>
        <c:majorTickMark val="out"/>
        <c:minorTickMark val="none"/>
        <c:tickLblPos val="nextTo"/>
        <c:crossAx val="158918144"/>
        <c:crosses val="autoZero"/>
        <c:auto val="1"/>
        <c:lblAlgn val="ctr"/>
        <c:lblOffset val="100"/>
        <c:noMultiLvlLbl val="0"/>
      </c:catAx>
      <c:valAx>
        <c:axId val="158918144"/>
        <c:scaling>
          <c:orientation val="minMax"/>
        </c:scaling>
        <c:delete val="0"/>
        <c:axPos val="l"/>
        <c:majorGridlines/>
        <c:title>
          <c:tx>
            <c:rich>
              <a:bodyPr rot="-5400000" vert="horz"/>
              <a:lstStyle/>
              <a:p>
                <a:pPr>
                  <a:defRPr/>
                </a:pPr>
                <a:r>
                  <a:rPr lang="cs-CZ"/>
                  <a:t>počet obyvatel</a:t>
                </a:r>
              </a:p>
            </c:rich>
          </c:tx>
          <c:overlay val="0"/>
        </c:title>
        <c:numFmt formatCode="#,##0" sourceLinked="1"/>
        <c:majorTickMark val="out"/>
        <c:minorTickMark val="none"/>
        <c:tickLblPos val="nextTo"/>
        <c:crossAx val="158799360"/>
        <c:crosses val="autoZero"/>
        <c:crossBetween val="between"/>
      </c:valAx>
      <c:valAx>
        <c:axId val="400353152"/>
        <c:scaling>
          <c:orientation val="minMax"/>
        </c:scaling>
        <c:delete val="0"/>
        <c:axPos val="r"/>
        <c:title>
          <c:tx>
            <c:rich>
              <a:bodyPr rot="-5400000" vert="horz"/>
              <a:lstStyle/>
              <a:p>
                <a:pPr>
                  <a:defRPr/>
                </a:pPr>
                <a:r>
                  <a:rPr lang="cs-CZ"/>
                  <a:t>počet domů</a:t>
                </a:r>
              </a:p>
            </c:rich>
          </c:tx>
          <c:overlay val="0"/>
        </c:title>
        <c:numFmt formatCode="#,##0" sourceLinked="1"/>
        <c:majorTickMark val="out"/>
        <c:minorTickMark val="none"/>
        <c:tickLblPos val="nextTo"/>
        <c:crossAx val="151134208"/>
        <c:crosses val="max"/>
        <c:crossBetween val="between"/>
      </c:valAx>
      <c:catAx>
        <c:axId val="151134208"/>
        <c:scaling>
          <c:orientation val="minMax"/>
        </c:scaling>
        <c:delete val="1"/>
        <c:axPos val="b"/>
        <c:numFmt formatCode="General" sourceLinked="1"/>
        <c:majorTickMark val="out"/>
        <c:minorTickMark val="none"/>
        <c:tickLblPos val="none"/>
        <c:crossAx val="400353152"/>
        <c:crosses val="autoZero"/>
        <c:auto val="1"/>
        <c:lblAlgn val="ctr"/>
        <c:lblOffset val="100"/>
        <c:noMultiLvlLbl val="0"/>
      </c:catAx>
    </c:plotArea>
    <c:legend>
      <c:legendPos val="b"/>
      <c:overlay val="0"/>
    </c:legend>
    <c:plotVisOnly val="1"/>
    <c:dispBlanksAs val="gap"/>
    <c:showDLblsOverMax val="0"/>
  </c:chart>
  <c:spPr>
    <a:ln>
      <a:noFill/>
    </a:ln>
  </c:spPr>
  <c:externalData r:id="rId2">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Motiv Office">
  <a:themeElements>
    <a:clrScheme name="Kancelář">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Kancelář">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3.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5.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6.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7.xml><?xml version="1.0" encoding="utf-8"?>
<a:themeOverride xmlns:a="http://schemas.openxmlformats.org/drawingml/2006/main">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D232480-825C-4692-A045-DA7CCE8AB22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2746</TotalTime>
  <Pages>187</Pages>
  <Words>94284</Words>
  <Characters>556281</Characters>
  <Application>Microsoft Office Word</Application>
  <DocSecurity>0</DocSecurity>
  <Lines>4635</Lines>
  <Paragraphs>1298</Paragraphs>
  <ScaleCrop>false</ScaleCrop>
  <HeadingPairs>
    <vt:vector size="2" baseType="variant">
      <vt:variant>
        <vt:lpstr>Název</vt:lpstr>
      </vt:variant>
      <vt:variant>
        <vt:i4>1</vt:i4>
      </vt:variant>
    </vt:vector>
  </HeadingPairs>
  <TitlesOfParts>
    <vt:vector size="1" baseType="lpstr">
      <vt:lpstr>OÚP Kostomlaty nad Labem</vt:lpstr>
    </vt:vector>
  </TitlesOfParts>
  <Company>Hewlett-Packard Company</Company>
  <LinksUpToDate>false</LinksUpToDate>
  <CharactersWithSpaces>649267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OÚP Kostomlaty nad Labem</dc:title>
  <dc:subject/>
  <dc:creator>ŽALUDA, projektová kancelář</dc:creator>
  <cp:keywords/>
  <dc:description/>
  <cp:lastModifiedBy>Miroslav Vrtiška</cp:lastModifiedBy>
  <cp:revision>40</cp:revision>
  <cp:lastPrinted>2025-10-30T10:40:00Z</cp:lastPrinted>
  <dcterms:created xsi:type="dcterms:W3CDTF">2023-11-07T15:46:00Z</dcterms:created>
  <dcterms:modified xsi:type="dcterms:W3CDTF">2025-10-30T10:50:00Z</dcterms:modified>
</cp:coreProperties>
</file>